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A2" w:rsidRDefault="001043E7" w:rsidP="00E9218A">
      <w:pPr>
        <w:jc w:val="center"/>
        <w:rPr>
          <w:rFonts w:asciiTheme="majorBidi" w:hAnsiTheme="majorBidi" w:cstheme="majorBidi"/>
          <w:b/>
          <w:bCs/>
          <w:sz w:val="24"/>
          <w:szCs w:val="24"/>
        </w:rPr>
      </w:pPr>
      <w:bookmarkStart w:id="0" w:name="_GoBack"/>
      <w:r w:rsidRPr="00E9218A">
        <w:rPr>
          <w:rFonts w:asciiTheme="majorBidi" w:hAnsiTheme="majorBidi" w:cstheme="majorBidi"/>
          <w:b/>
          <w:bCs/>
          <w:sz w:val="24"/>
          <w:szCs w:val="24"/>
        </w:rPr>
        <w:t>REGULATION OF BOD</w:t>
      </w:r>
      <w:r w:rsidR="00212712" w:rsidRPr="00E9218A">
        <w:rPr>
          <w:rFonts w:asciiTheme="majorBidi" w:hAnsiTheme="majorBidi" w:cstheme="majorBidi"/>
          <w:b/>
          <w:bCs/>
          <w:sz w:val="24"/>
          <w:szCs w:val="24"/>
        </w:rPr>
        <w:t>IL</w:t>
      </w:r>
      <w:r w:rsidRPr="00E9218A">
        <w:rPr>
          <w:rFonts w:asciiTheme="majorBidi" w:hAnsiTheme="majorBidi" w:cstheme="majorBidi"/>
          <w:b/>
          <w:bCs/>
          <w:sz w:val="24"/>
          <w:szCs w:val="24"/>
        </w:rPr>
        <w:t>Y PARTS</w:t>
      </w:r>
      <w:r w:rsidR="009B4AB0" w:rsidRPr="00E9218A">
        <w:rPr>
          <w:rFonts w:asciiTheme="majorBidi" w:hAnsiTheme="majorBidi" w:cstheme="majorBidi"/>
          <w:b/>
          <w:bCs/>
          <w:sz w:val="24"/>
          <w:szCs w:val="24"/>
        </w:rPr>
        <w:t xml:space="preserve">: </w:t>
      </w:r>
      <w:r w:rsidRPr="00E9218A">
        <w:rPr>
          <w:rFonts w:asciiTheme="majorBidi" w:hAnsiTheme="majorBidi" w:cstheme="majorBidi"/>
          <w:b/>
          <w:bCs/>
          <w:sz w:val="24"/>
          <w:szCs w:val="24"/>
        </w:rPr>
        <w:t>UNDERSTANDING BOD</w:t>
      </w:r>
      <w:r w:rsidR="00212712" w:rsidRPr="00E9218A">
        <w:rPr>
          <w:rFonts w:asciiTheme="majorBidi" w:hAnsiTheme="majorBidi" w:cstheme="majorBidi"/>
          <w:b/>
          <w:bCs/>
          <w:sz w:val="24"/>
          <w:szCs w:val="24"/>
        </w:rPr>
        <w:t>IL</w:t>
      </w:r>
      <w:r w:rsidRPr="00E9218A">
        <w:rPr>
          <w:rFonts w:asciiTheme="majorBidi" w:hAnsiTheme="majorBidi" w:cstheme="majorBidi"/>
          <w:b/>
          <w:bCs/>
          <w:sz w:val="24"/>
          <w:szCs w:val="24"/>
        </w:rPr>
        <w:t xml:space="preserve">Y PARTS </w:t>
      </w:r>
      <w:r w:rsidR="009B4AB0" w:rsidRPr="00E9218A">
        <w:rPr>
          <w:rFonts w:asciiTheme="majorBidi" w:hAnsiTheme="majorBidi" w:cstheme="majorBidi"/>
          <w:b/>
          <w:bCs/>
          <w:sz w:val="24"/>
          <w:szCs w:val="24"/>
        </w:rPr>
        <w:t>A</w:t>
      </w:r>
      <w:r w:rsidRPr="00E9218A">
        <w:rPr>
          <w:rFonts w:asciiTheme="majorBidi" w:hAnsiTheme="majorBidi" w:cstheme="majorBidi"/>
          <w:b/>
          <w:bCs/>
          <w:sz w:val="24"/>
          <w:szCs w:val="24"/>
        </w:rPr>
        <w:t>S A DUPLEX</w:t>
      </w:r>
    </w:p>
    <w:bookmarkEnd w:id="0"/>
    <w:p w:rsidR="008657ED" w:rsidRDefault="00CC4670" w:rsidP="008657ED">
      <w:pPr>
        <w:jc w:val="center"/>
        <w:rPr>
          <w:rFonts w:asciiTheme="majorBidi" w:hAnsiTheme="majorBidi" w:cstheme="majorBidi"/>
          <w:b/>
          <w:bCs/>
          <w:sz w:val="24"/>
          <w:szCs w:val="24"/>
        </w:rPr>
      </w:pPr>
      <w:r>
        <w:rPr>
          <w:rFonts w:asciiTheme="majorBidi" w:hAnsiTheme="majorBidi" w:cstheme="majorBidi"/>
          <w:b/>
          <w:bCs/>
          <w:sz w:val="24"/>
          <w:szCs w:val="24"/>
        </w:rPr>
        <w:t>Remigius N Nwabueze*</w:t>
      </w:r>
    </w:p>
    <w:p w:rsidR="00FC4865" w:rsidRDefault="00FC4865" w:rsidP="00E9218A">
      <w:pPr>
        <w:jc w:val="center"/>
        <w:rPr>
          <w:rFonts w:asciiTheme="majorBidi" w:hAnsiTheme="majorBidi" w:cstheme="majorBidi"/>
          <w:b/>
          <w:bCs/>
          <w:sz w:val="24"/>
          <w:szCs w:val="24"/>
        </w:rPr>
      </w:pPr>
    </w:p>
    <w:p w:rsidR="00E756A2" w:rsidRDefault="00E756A2" w:rsidP="00AB6E93">
      <w:pPr>
        <w:pStyle w:val="ListParagraph"/>
        <w:numPr>
          <w:ilvl w:val="0"/>
          <w:numId w:val="2"/>
        </w:numPr>
        <w:jc w:val="center"/>
        <w:rPr>
          <w:rFonts w:asciiTheme="majorBidi" w:hAnsiTheme="majorBidi" w:cstheme="majorBidi"/>
          <w:bCs/>
        </w:rPr>
      </w:pPr>
      <w:r w:rsidRPr="00AB6E93">
        <w:rPr>
          <w:rFonts w:asciiTheme="majorBidi" w:hAnsiTheme="majorBidi" w:cstheme="majorBidi"/>
          <w:bCs/>
        </w:rPr>
        <w:t>I</w:t>
      </w:r>
      <w:r w:rsidR="00C43034" w:rsidRPr="00AB6E93">
        <w:rPr>
          <w:rFonts w:asciiTheme="majorBidi" w:hAnsiTheme="majorBidi" w:cstheme="majorBidi"/>
          <w:bCs/>
        </w:rPr>
        <w:t>NTRO</w:t>
      </w:r>
      <w:r w:rsidR="007508C6" w:rsidRPr="00AB6E93">
        <w:rPr>
          <w:rFonts w:asciiTheme="majorBidi" w:hAnsiTheme="majorBidi" w:cstheme="majorBidi"/>
          <w:bCs/>
        </w:rPr>
        <w:t>D</w:t>
      </w:r>
      <w:r w:rsidR="00C43034" w:rsidRPr="00AB6E93">
        <w:rPr>
          <w:rFonts w:asciiTheme="majorBidi" w:hAnsiTheme="majorBidi" w:cstheme="majorBidi"/>
          <w:bCs/>
        </w:rPr>
        <w:t>UCTION</w:t>
      </w:r>
    </w:p>
    <w:p w:rsidR="00AB6E93" w:rsidRPr="00AB6E93" w:rsidRDefault="00AB6E93" w:rsidP="00AB6E93">
      <w:pPr>
        <w:pStyle w:val="ListParagraph"/>
        <w:rPr>
          <w:rFonts w:asciiTheme="majorBidi" w:hAnsiTheme="majorBidi" w:cstheme="majorBidi"/>
          <w:bCs/>
        </w:rPr>
      </w:pPr>
    </w:p>
    <w:p w:rsidR="008C7B60" w:rsidRDefault="008C0668" w:rsidP="00A75994">
      <w:pPr>
        <w:jc w:val="both"/>
        <w:rPr>
          <w:rFonts w:asciiTheme="majorBidi" w:hAnsiTheme="majorBidi" w:cstheme="majorBidi"/>
          <w:sz w:val="24"/>
          <w:szCs w:val="24"/>
        </w:rPr>
      </w:pPr>
      <w:r>
        <w:rPr>
          <w:rFonts w:asciiTheme="majorBidi" w:hAnsiTheme="majorBidi" w:cstheme="majorBidi"/>
          <w:sz w:val="24"/>
          <w:szCs w:val="24"/>
        </w:rPr>
        <w:t>The human body and bodily parts have always had pharmacological, therapeutic, artistic, educational and instrumental values. In the middle ages, up to the eighteenth century, bodily parts ‘harvested’ from the cadavers of young men that met violent death</w:t>
      </w:r>
      <w:r w:rsidR="00272795">
        <w:rPr>
          <w:rFonts w:asciiTheme="majorBidi" w:hAnsiTheme="majorBidi" w:cstheme="majorBidi"/>
          <w:sz w:val="24"/>
          <w:szCs w:val="24"/>
        </w:rPr>
        <w:t>s</w:t>
      </w:r>
      <w:r>
        <w:rPr>
          <w:rFonts w:asciiTheme="majorBidi" w:hAnsiTheme="majorBidi" w:cstheme="majorBidi"/>
          <w:sz w:val="24"/>
          <w:szCs w:val="24"/>
        </w:rPr>
        <w:t xml:space="preserve"> were used in medic</w:t>
      </w:r>
      <w:r w:rsidR="00324BC1">
        <w:rPr>
          <w:rFonts w:asciiTheme="majorBidi" w:hAnsiTheme="majorBidi" w:cstheme="majorBidi"/>
          <w:sz w:val="24"/>
          <w:szCs w:val="24"/>
        </w:rPr>
        <w:t>inal</w:t>
      </w:r>
      <w:r>
        <w:rPr>
          <w:rFonts w:asciiTheme="majorBidi" w:hAnsiTheme="majorBidi" w:cstheme="majorBidi"/>
          <w:sz w:val="24"/>
          <w:szCs w:val="24"/>
        </w:rPr>
        <w:t xml:space="preserve"> preparation</w:t>
      </w:r>
      <w:r w:rsidR="00330540">
        <w:rPr>
          <w:rFonts w:asciiTheme="majorBidi" w:hAnsiTheme="majorBidi" w:cstheme="majorBidi"/>
          <w:sz w:val="24"/>
          <w:szCs w:val="24"/>
        </w:rPr>
        <w:t>s</w:t>
      </w:r>
      <w:r>
        <w:rPr>
          <w:rFonts w:asciiTheme="majorBidi" w:hAnsiTheme="majorBidi" w:cstheme="majorBidi"/>
          <w:sz w:val="24"/>
          <w:szCs w:val="24"/>
        </w:rPr>
        <w:t xml:space="preserve"> called </w:t>
      </w:r>
      <w:r w:rsidRPr="008C0668">
        <w:rPr>
          <w:rFonts w:asciiTheme="majorBidi" w:hAnsiTheme="majorBidi" w:cstheme="majorBidi"/>
          <w:i/>
          <w:iCs/>
          <w:sz w:val="24"/>
          <w:szCs w:val="24"/>
        </w:rPr>
        <w:t>mumia</w:t>
      </w:r>
      <w:r>
        <w:rPr>
          <w:rFonts w:asciiTheme="majorBidi" w:hAnsiTheme="majorBidi" w:cstheme="majorBidi"/>
          <w:sz w:val="24"/>
          <w:szCs w:val="24"/>
        </w:rPr>
        <w:t>; as corpse pharmacology, mumia was ingested for the cure of epilepsy and other serious diseases in that era</w:t>
      </w:r>
      <w:r w:rsidR="007508C6">
        <w:rPr>
          <w:rFonts w:asciiTheme="majorBidi" w:hAnsiTheme="majorBidi" w:cstheme="majorBidi"/>
          <w:sz w:val="24"/>
          <w:szCs w:val="24"/>
        </w:rPr>
        <w:t xml:space="preserve"> </w:t>
      </w:r>
      <w:r w:rsidR="00A75994">
        <w:rPr>
          <w:rFonts w:asciiTheme="majorBidi" w:hAnsiTheme="majorBidi" w:cstheme="majorBidi"/>
          <w:sz w:val="24"/>
          <w:szCs w:val="24"/>
        </w:rPr>
        <w:t>in</w:t>
      </w:r>
      <w:r w:rsidR="007508C6">
        <w:rPr>
          <w:rFonts w:asciiTheme="majorBidi" w:hAnsiTheme="majorBidi" w:cstheme="majorBidi"/>
          <w:sz w:val="24"/>
          <w:szCs w:val="24"/>
        </w:rPr>
        <w:t xml:space="preserve"> most</w:t>
      </w:r>
      <w:r w:rsidR="00A75994">
        <w:rPr>
          <w:rFonts w:asciiTheme="majorBidi" w:hAnsiTheme="majorBidi" w:cstheme="majorBidi"/>
          <w:sz w:val="24"/>
          <w:szCs w:val="24"/>
        </w:rPr>
        <w:t xml:space="preserve"> parts</w:t>
      </w:r>
      <w:r w:rsidR="007508C6">
        <w:rPr>
          <w:rFonts w:asciiTheme="majorBidi" w:hAnsiTheme="majorBidi" w:cstheme="majorBidi"/>
          <w:sz w:val="24"/>
          <w:szCs w:val="24"/>
        </w:rPr>
        <w:t xml:space="preserve"> of Europe, including the UK</w:t>
      </w:r>
      <w:r>
        <w:rPr>
          <w:rFonts w:asciiTheme="majorBidi" w:hAnsiTheme="majorBidi" w:cstheme="majorBidi"/>
          <w:sz w:val="24"/>
          <w:szCs w:val="24"/>
        </w:rPr>
        <w:t>. Medicinal cannibalism based on mumia was not the practice of a mystical or fringe group; rather, medicinal cannibalism</w:t>
      </w:r>
      <w:r w:rsidR="00B9026E">
        <w:rPr>
          <w:rFonts w:asciiTheme="majorBidi" w:hAnsiTheme="majorBidi" w:cstheme="majorBidi"/>
          <w:sz w:val="24"/>
          <w:szCs w:val="24"/>
        </w:rPr>
        <w:t xml:space="preserve"> was an integral part of the medical orthodoxy of th</w:t>
      </w:r>
      <w:r w:rsidR="00324BC1">
        <w:rPr>
          <w:rFonts w:asciiTheme="majorBidi" w:hAnsiTheme="majorBidi" w:cstheme="majorBidi"/>
          <w:sz w:val="24"/>
          <w:szCs w:val="24"/>
        </w:rPr>
        <w:t>e</w:t>
      </w:r>
      <w:r w:rsidR="00B9026E">
        <w:rPr>
          <w:rFonts w:asciiTheme="majorBidi" w:hAnsiTheme="majorBidi" w:cstheme="majorBidi"/>
          <w:sz w:val="24"/>
          <w:szCs w:val="24"/>
        </w:rPr>
        <w:t xml:space="preserve"> era. Instead of mumia today, we have a range of sophisticated and innovative biomedical applications and products based on bodily parts. Bodily parts are used in organ transplantation, automobile crash tests and test</w:t>
      </w:r>
      <w:r w:rsidR="00324BC1">
        <w:rPr>
          <w:rFonts w:asciiTheme="majorBidi" w:hAnsiTheme="majorBidi" w:cstheme="majorBidi"/>
          <w:sz w:val="24"/>
          <w:szCs w:val="24"/>
        </w:rPr>
        <w:t>s</w:t>
      </w:r>
      <w:r w:rsidR="00B9026E">
        <w:rPr>
          <w:rFonts w:asciiTheme="majorBidi" w:hAnsiTheme="majorBidi" w:cstheme="majorBidi"/>
          <w:sz w:val="24"/>
          <w:szCs w:val="24"/>
        </w:rPr>
        <w:t xml:space="preserve"> of</w:t>
      </w:r>
      <w:r w:rsidR="00324BC1">
        <w:rPr>
          <w:rFonts w:asciiTheme="majorBidi" w:hAnsiTheme="majorBidi" w:cstheme="majorBidi"/>
          <w:sz w:val="24"/>
          <w:szCs w:val="24"/>
        </w:rPr>
        <w:t xml:space="preserve"> protective shoes against</w:t>
      </w:r>
      <w:r w:rsidR="00B9026E">
        <w:rPr>
          <w:rFonts w:asciiTheme="majorBidi" w:hAnsiTheme="majorBidi" w:cstheme="majorBidi"/>
          <w:sz w:val="24"/>
          <w:szCs w:val="24"/>
        </w:rPr>
        <w:t xml:space="preserve"> landmine</w:t>
      </w:r>
      <w:r w:rsidR="00324BC1">
        <w:rPr>
          <w:rFonts w:asciiTheme="majorBidi" w:hAnsiTheme="majorBidi" w:cstheme="majorBidi"/>
          <w:sz w:val="24"/>
          <w:szCs w:val="24"/>
        </w:rPr>
        <w:t>s</w:t>
      </w:r>
      <w:r w:rsidR="00B9026E">
        <w:rPr>
          <w:rFonts w:asciiTheme="majorBidi" w:hAnsiTheme="majorBidi" w:cstheme="majorBidi"/>
          <w:sz w:val="24"/>
          <w:szCs w:val="24"/>
        </w:rPr>
        <w:t xml:space="preserve">; </w:t>
      </w:r>
      <w:r w:rsidR="00324BC1">
        <w:rPr>
          <w:rFonts w:asciiTheme="majorBidi" w:hAnsiTheme="majorBidi" w:cstheme="majorBidi"/>
          <w:sz w:val="24"/>
          <w:szCs w:val="24"/>
        </w:rPr>
        <w:t>bodily parts</w:t>
      </w:r>
      <w:r w:rsidR="00B9026E">
        <w:rPr>
          <w:rFonts w:asciiTheme="majorBidi" w:hAnsiTheme="majorBidi" w:cstheme="majorBidi"/>
          <w:sz w:val="24"/>
          <w:szCs w:val="24"/>
        </w:rPr>
        <w:t xml:space="preserve"> are also used in medical</w:t>
      </w:r>
      <w:r w:rsidR="00324BC1">
        <w:rPr>
          <w:rFonts w:asciiTheme="majorBidi" w:hAnsiTheme="majorBidi" w:cstheme="majorBidi"/>
          <w:sz w:val="24"/>
          <w:szCs w:val="24"/>
        </w:rPr>
        <w:t xml:space="preserve"> dissection,</w:t>
      </w:r>
      <w:r w:rsidR="00B9026E">
        <w:rPr>
          <w:rFonts w:asciiTheme="majorBidi" w:hAnsiTheme="majorBidi" w:cstheme="majorBidi"/>
          <w:sz w:val="24"/>
          <w:szCs w:val="24"/>
        </w:rPr>
        <w:t xml:space="preserve"> education, treatment and research</w:t>
      </w:r>
      <w:r w:rsidR="00324BC1">
        <w:rPr>
          <w:rFonts w:asciiTheme="majorBidi" w:hAnsiTheme="majorBidi" w:cstheme="majorBidi"/>
          <w:sz w:val="24"/>
          <w:szCs w:val="24"/>
        </w:rPr>
        <w:t>; they are used</w:t>
      </w:r>
      <w:r w:rsidR="00B9026E">
        <w:rPr>
          <w:rFonts w:asciiTheme="majorBidi" w:hAnsiTheme="majorBidi" w:cstheme="majorBidi"/>
          <w:sz w:val="24"/>
          <w:szCs w:val="24"/>
        </w:rPr>
        <w:t xml:space="preserve"> </w:t>
      </w:r>
      <w:r w:rsidR="00324BC1">
        <w:rPr>
          <w:rFonts w:asciiTheme="majorBidi" w:hAnsiTheme="majorBidi" w:cstheme="majorBidi"/>
          <w:sz w:val="24"/>
          <w:szCs w:val="24"/>
        </w:rPr>
        <w:t>for</w:t>
      </w:r>
      <w:r w:rsidR="00B9026E">
        <w:rPr>
          <w:rFonts w:asciiTheme="majorBidi" w:hAnsiTheme="majorBidi" w:cstheme="majorBidi"/>
          <w:sz w:val="24"/>
          <w:szCs w:val="24"/>
        </w:rPr>
        <w:t xml:space="preserve"> artistic casts and other</w:t>
      </w:r>
      <w:r w:rsidR="00324BC1">
        <w:rPr>
          <w:rFonts w:asciiTheme="majorBidi" w:hAnsiTheme="majorBidi" w:cstheme="majorBidi"/>
          <w:sz w:val="24"/>
          <w:szCs w:val="24"/>
        </w:rPr>
        <w:t xml:space="preserve"> modern</w:t>
      </w:r>
      <w:r w:rsidR="00B9026E">
        <w:rPr>
          <w:rFonts w:asciiTheme="majorBidi" w:hAnsiTheme="majorBidi" w:cstheme="majorBidi"/>
          <w:sz w:val="24"/>
          <w:szCs w:val="24"/>
        </w:rPr>
        <w:t xml:space="preserve"> art forms, such as plastination. Thus, bodily parts have enormous </w:t>
      </w:r>
      <w:r w:rsidR="00B9026E" w:rsidRPr="00324BC1">
        <w:rPr>
          <w:rFonts w:asciiTheme="majorBidi" w:hAnsiTheme="majorBidi" w:cstheme="majorBidi"/>
          <w:i/>
          <w:iCs/>
          <w:sz w:val="24"/>
          <w:szCs w:val="24"/>
        </w:rPr>
        <w:t>biovalue</w:t>
      </w:r>
      <w:r w:rsidR="00276177">
        <w:rPr>
          <w:rFonts w:asciiTheme="majorBidi" w:hAnsiTheme="majorBidi" w:cstheme="majorBidi"/>
          <w:i/>
          <w:iCs/>
          <w:sz w:val="24"/>
          <w:szCs w:val="24"/>
        </w:rPr>
        <w:t>,</w:t>
      </w:r>
      <w:r w:rsidR="00324BC1">
        <w:rPr>
          <w:rFonts w:asciiTheme="majorBidi" w:hAnsiTheme="majorBidi" w:cstheme="majorBidi"/>
          <w:sz w:val="24"/>
          <w:szCs w:val="24"/>
        </w:rPr>
        <w:t xml:space="preserve"> which is</w:t>
      </w:r>
      <w:r w:rsidR="00B9026E">
        <w:rPr>
          <w:rFonts w:asciiTheme="majorBidi" w:hAnsiTheme="majorBidi" w:cstheme="majorBidi"/>
          <w:sz w:val="24"/>
          <w:szCs w:val="24"/>
        </w:rPr>
        <w:t xml:space="preserve"> </w:t>
      </w:r>
      <w:r w:rsidR="00330540">
        <w:rPr>
          <w:rFonts w:asciiTheme="majorBidi" w:hAnsiTheme="majorBidi" w:cstheme="majorBidi"/>
          <w:sz w:val="24"/>
          <w:szCs w:val="24"/>
        </w:rPr>
        <w:t>‘extracted’</w:t>
      </w:r>
      <w:r w:rsidR="00B9026E">
        <w:rPr>
          <w:rFonts w:asciiTheme="majorBidi" w:hAnsiTheme="majorBidi" w:cstheme="majorBidi"/>
          <w:sz w:val="24"/>
          <w:szCs w:val="24"/>
        </w:rPr>
        <w:t xml:space="preserve"> by means of </w:t>
      </w:r>
      <w:r w:rsidR="00B9026E" w:rsidRPr="00324BC1">
        <w:rPr>
          <w:rFonts w:asciiTheme="majorBidi" w:hAnsiTheme="majorBidi" w:cstheme="majorBidi"/>
          <w:i/>
          <w:iCs/>
          <w:sz w:val="24"/>
          <w:szCs w:val="24"/>
        </w:rPr>
        <w:t>technicity</w:t>
      </w:r>
      <w:r w:rsidR="00B9026E">
        <w:rPr>
          <w:rFonts w:asciiTheme="majorBidi" w:hAnsiTheme="majorBidi" w:cstheme="majorBidi"/>
          <w:sz w:val="24"/>
          <w:szCs w:val="24"/>
        </w:rPr>
        <w:t>. But such wide-ranging applications of bodily parts have</w:t>
      </w:r>
      <w:r w:rsidR="00324BC1">
        <w:rPr>
          <w:rFonts w:asciiTheme="majorBidi" w:hAnsiTheme="majorBidi" w:cstheme="majorBidi"/>
          <w:sz w:val="24"/>
          <w:szCs w:val="24"/>
        </w:rPr>
        <w:t xml:space="preserve"> also</w:t>
      </w:r>
      <w:r w:rsidR="00B9026E">
        <w:rPr>
          <w:rFonts w:asciiTheme="majorBidi" w:hAnsiTheme="majorBidi" w:cstheme="majorBidi"/>
          <w:sz w:val="24"/>
          <w:szCs w:val="24"/>
        </w:rPr>
        <w:t xml:space="preserve"> presented</w:t>
      </w:r>
      <w:r w:rsidR="00324BC1">
        <w:rPr>
          <w:rFonts w:asciiTheme="majorBidi" w:hAnsiTheme="majorBidi" w:cstheme="majorBidi"/>
          <w:sz w:val="24"/>
          <w:szCs w:val="24"/>
        </w:rPr>
        <w:t xml:space="preserve"> some</w:t>
      </w:r>
      <w:r w:rsidR="00B9026E">
        <w:rPr>
          <w:rFonts w:asciiTheme="majorBidi" w:hAnsiTheme="majorBidi" w:cstheme="majorBidi"/>
          <w:sz w:val="24"/>
          <w:szCs w:val="24"/>
        </w:rPr>
        <w:t xml:space="preserve"> significant </w:t>
      </w:r>
      <w:r w:rsidR="00AB5F0C">
        <w:rPr>
          <w:rFonts w:asciiTheme="majorBidi" w:hAnsiTheme="majorBidi" w:cstheme="majorBidi"/>
          <w:sz w:val="24"/>
          <w:szCs w:val="24"/>
        </w:rPr>
        <w:t>challenges for</w:t>
      </w:r>
      <w:r w:rsidR="00DC0BB2">
        <w:rPr>
          <w:rFonts w:asciiTheme="majorBidi" w:hAnsiTheme="majorBidi" w:cstheme="majorBidi"/>
          <w:sz w:val="24"/>
          <w:szCs w:val="24"/>
        </w:rPr>
        <w:t xml:space="preserve"> legal</w:t>
      </w:r>
      <w:r w:rsidR="00B9026E">
        <w:rPr>
          <w:rFonts w:asciiTheme="majorBidi" w:hAnsiTheme="majorBidi" w:cstheme="majorBidi"/>
          <w:sz w:val="24"/>
          <w:szCs w:val="24"/>
        </w:rPr>
        <w:t xml:space="preserve"> regulation.</w:t>
      </w:r>
      <w:r w:rsidR="00DC0BB2">
        <w:rPr>
          <w:rFonts w:asciiTheme="majorBidi" w:hAnsiTheme="majorBidi" w:cstheme="majorBidi"/>
          <w:sz w:val="24"/>
          <w:szCs w:val="24"/>
        </w:rPr>
        <w:t xml:space="preserve"> How should we deal with non-consensual or unauthorised </w:t>
      </w:r>
      <w:r w:rsidR="00324BC1">
        <w:rPr>
          <w:rFonts w:asciiTheme="majorBidi" w:hAnsiTheme="majorBidi" w:cstheme="majorBidi"/>
          <w:sz w:val="24"/>
          <w:szCs w:val="24"/>
        </w:rPr>
        <w:t>dealings</w:t>
      </w:r>
      <w:r w:rsidR="00DC0BB2">
        <w:rPr>
          <w:rFonts w:asciiTheme="majorBidi" w:hAnsiTheme="majorBidi" w:cstheme="majorBidi"/>
          <w:sz w:val="24"/>
          <w:szCs w:val="24"/>
        </w:rPr>
        <w:t xml:space="preserve"> with bodily parts? </w:t>
      </w:r>
      <w:r w:rsidR="008C7B60">
        <w:rPr>
          <w:rFonts w:asciiTheme="majorBidi" w:hAnsiTheme="majorBidi" w:cstheme="majorBidi"/>
          <w:sz w:val="24"/>
          <w:szCs w:val="24"/>
        </w:rPr>
        <w:t xml:space="preserve">  </w:t>
      </w:r>
    </w:p>
    <w:p w:rsidR="00E2117F" w:rsidRDefault="00DC0BB2" w:rsidP="007D0578">
      <w:pPr>
        <w:ind w:firstLine="720"/>
        <w:jc w:val="both"/>
        <w:rPr>
          <w:rFonts w:asciiTheme="majorBidi" w:hAnsiTheme="majorBidi" w:cstheme="majorBidi"/>
          <w:sz w:val="24"/>
          <w:szCs w:val="24"/>
        </w:rPr>
      </w:pPr>
      <w:r>
        <w:rPr>
          <w:rFonts w:asciiTheme="majorBidi" w:hAnsiTheme="majorBidi" w:cstheme="majorBidi"/>
          <w:sz w:val="24"/>
          <w:szCs w:val="24"/>
        </w:rPr>
        <w:t>While the current law</w:t>
      </w:r>
      <w:r w:rsidR="00A20607">
        <w:rPr>
          <w:rFonts w:asciiTheme="majorBidi" w:hAnsiTheme="majorBidi" w:cstheme="majorBidi"/>
          <w:sz w:val="24"/>
          <w:szCs w:val="24"/>
        </w:rPr>
        <w:t xml:space="preserve"> in England and Wales</w:t>
      </w:r>
      <w:r>
        <w:rPr>
          <w:rFonts w:asciiTheme="majorBidi" w:hAnsiTheme="majorBidi" w:cstheme="majorBidi"/>
          <w:sz w:val="24"/>
          <w:szCs w:val="24"/>
        </w:rPr>
        <w:t xml:space="preserve"> generally adopts a no-property approach to</w:t>
      </w:r>
      <w:r w:rsidR="00324BC1">
        <w:rPr>
          <w:rFonts w:asciiTheme="majorBidi" w:hAnsiTheme="majorBidi" w:cstheme="majorBidi"/>
          <w:sz w:val="24"/>
          <w:szCs w:val="24"/>
        </w:rPr>
        <w:t xml:space="preserve"> cadavers and separated</w:t>
      </w:r>
      <w:r>
        <w:rPr>
          <w:rFonts w:asciiTheme="majorBidi" w:hAnsiTheme="majorBidi" w:cstheme="majorBidi"/>
          <w:sz w:val="24"/>
          <w:szCs w:val="24"/>
        </w:rPr>
        <w:t xml:space="preserve"> bodily parts, it ironically</w:t>
      </w:r>
      <w:r w:rsidR="00E46C08">
        <w:rPr>
          <w:rFonts w:asciiTheme="majorBidi" w:hAnsiTheme="majorBidi" w:cstheme="majorBidi"/>
          <w:sz w:val="24"/>
          <w:szCs w:val="24"/>
        </w:rPr>
        <w:t xml:space="preserve"> (and paradoxically)</w:t>
      </w:r>
      <w:r>
        <w:rPr>
          <w:rFonts w:asciiTheme="majorBidi" w:hAnsiTheme="majorBidi" w:cstheme="majorBidi"/>
          <w:sz w:val="24"/>
          <w:szCs w:val="24"/>
        </w:rPr>
        <w:t xml:space="preserve"> affords a proprietary protection to tissue users and innovators at the expense of tissue source</w:t>
      </w:r>
      <w:r w:rsidR="00581A9B">
        <w:rPr>
          <w:rFonts w:asciiTheme="majorBidi" w:hAnsiTheme="majorBidi" w:cstheme="majorBidi"/>
          <w:sz w:val="24"/>
          <w:szCs w:val="24"/>
        </w:rPr>
        <w:t>s</w:t>
      </w:r>
      <w:r>
        <w:rPr>
          <w:rFonts w:asciiTheme="majorBidi" w:hAnsiTheme="majorBidi" w:cstheme="majorBidi"/>
          <w:sz w:val="24"/>
          <w:szCs w:val="24"/>
        </w:rPr>
        <w:t>. Non-proprietary frameworks</w:t>
      </w:r>
      <w:r w:rsidR="00E46C08">
        <w:rPr>
          <w:rFonts w:asciiTheme="majorBidi" w:hAnsiTheme="majorBidi" w:cstheme="majorBidi"/>
          <w:sz w:val="24"/>
          <w:szCs w:val="24"/>
        </w:rPr>
        <w:t>, under which the claims of tissue sources are mostly analysed,</w:t>
      </w:r>
      <w:r>
        <w:rPr>
          <w:rFonts w:asciiTheme="majorBidi" w:hAnsiTheme="majorBidi" w:cstheme="majorBidi"/>
          <w:sz w:val="24"/>
          <w:szCs w:val="24"/>
        </w:rPr>
        <w:t xml:space="preserve"> can hardly</w:t>
      </w:r>
      <w:r w:rsidR="00E46C08">
        <w:rPr>
          <w:rFonts w:asciiTheme="majorBidi" w:hAnsiTheme="majorBidi" w:cstheme="majorBidi"/>
          <w:sz w:val="24"/>
          <w:szCs w:val="24"/>
        </w:rPr>
        <w:t xml:space="preserve"> offer effective legal</w:t>
      </w:r>
      <w:r>
        <w:rPr>
          <w:rFonts w:asciiTheme="majorBidi" w:hAnsiTheme="majorBidi" w:cstheme="majorBidi"/>
          <w:sz w:val="24"/>
          <w:szCs w:val="24"/>
        </w:rPr>
        <w:t xml:space="preserve"> redress</w:t>
      </w:r>
      <w:r w:rsidR="00E46C08">
        <w:rPr>
          <w:rFonts w:asciiTheme="majorBidi" w:hAnsiTheme="majorBidi" w:cstheme="majorBidi"/>
          <w:sz w:val="24"/>
          <w:szCs w:val="24"/>
        </w:rPr>
        <w:t xml:space="preserve"> to</w:t>
      </w:r>
      <w:r w:rsidR="00BD014C">
        <w:rPr>
          <w:rFonts w:asciiTheme="majorBidi" w:hAnsiTheme="majorBidi" w:cstheme="majorBidi"/>
          <w:sz w:val="24"/>
          <w:szCs w:val="24"/>
        </w:rPr>
        <w:t xml:space="preserve"> </w:t>
      </w:r>
      <w:r w:rsidR="00B017D7">
        <w:rPr>
          <w:rFonts w:asciiTheme="majorBidi" w:hAnsiTheme="majorBidi" w:cstheme="majorBidi"/>
          <w:sz w:val="24"/>
          <w:szCs w:val="24"/>
        </w:rPr>
        <w:t xml:space="preserve">such </w:t>
      </w:r>
      <w:r>
        <w:rPr>
          <w:rFonts w:asciiTheme="majorBidi" w:hAnsiTheme="majorBidi" w:cstheme="majorBidi"/>
          <w:sz w:val="24"/>
          <w:szCs w:val="24"/>
        </w:rPr>
        <w:t>claims</w:t>
      </w:r>
      <w:r w:rsidR="00B017D7">
        <w:rPr>
          <w:rFonts w:asciiTheme="majorBidi" w:hAnsiTheme="majorBidi" w:cstheme="majorBidi"/>
          <w:sz w:val="24"/>
          <w:szCs w:val="24"/>
        </w:rPr>
        <w:t xml:space="preserve"> </w:t>
      </w:r>
      <w:r>
        <w:rPr>
          <w:rFonts w:asciiTheme="majorBidi" w:hAnsiTheme="majorBidi" w:cstheme="majorBidi"/>
          <w:sz w:val="24"/>
          <w:szCs w:val="24"/>
        </w:rPr>
        <w:t>in most situations involving unauthorised dealings with bodily parts. The remedial fortunes of a tissue source-claimant would be significantly improved if the law were to deploy proprietary framework</w:t>
      </w:r>
      <w:r w:rsidR="00C93706">
        <w:rPr>
          <w:rFonts w:asciiTheme="majorBidi" w:hAnsiTheme="majorBidi" w:cstheme="majorBidi"/>
          <w:sz w:val="24"/>
          <w:szCs w:val="24"/>
        </w:rPr>
        <w:t>s</w:t>
      </w:r>
      <w:r>
        <w:rPr>
          <w:rFonts w:asciiTheme="majorBidi" w:hAnsiTheme="majorBidi" w:cstheme="majorBidi"/>
          <w:sz w:val="24"/>
          <w:szCs w:val="24"/>
        </w:rPr>
        <w:t xml:space="preserve"> along with non-proprietary frameworks in litigation involving bodily parts. In this article, and drawing from the work of th</w:t>
      </w:r>
      <w:r w:rsidR="006B4182">
        <w:rPr>
          <w:rFonts w:asciiTheme="majorBidi" w:hAnsiTheme="majorBidi" w:cstheme="majorBidi"/>
          <w:sz w:val="24"/>
          <w:szCs w:val="24"/>
        </w:rPr>
        <w:t>e famous social anthropologist, M</w:t>
      </w:r>
      <w:r w:rsidR="00AF4352">
        <w:rPr>
          <w:rFonts w:asciiTheme="majorBidi" w:hAnsiTheme="majorBidi" w:cstheme="majorBidi"/>
          <w:sz w:val="24"/>
          <w:szCs w:val="24"/>
        </w:rPr>
        <w:t>arilyn</w:t>
      </w:r>
      <w:r>
        <w:rPr>
          <w:rFonts w:asciiTheme="majorBidi" w:hAnsiTheme="majorBidi" w:cstheme="majorBidi"/>
          <w:sz w:val="24"/>
          <w:szCs w:val="24"/>
        </w:rPr>
        <w:t xml:space="preserve"> S</w:t>
      </w:r>
      <w:r w:rsidR="00AF4352">
        <w:rPr>
          <w:rFonts w:asciiTheme="majorBidi" w:hAnsiTheme="majorBidi" w:cstheme="majorBidi"/>
          <w:sz w:val="24"/>
          <w:szCs w:val="24"/>
        </w:rPr>
        <w:t>trathern,</w:t>
      </w:r>
      <w:r>
        <w:rPr>
          <w:rFonts w:asciiTheme="majorBidi" w:hAnsiTheme="majorBidi" w:cstheme="majorBidi"/>
          <w:sz w:val="24"/>
          <w:szCs w:val="24"/>
        </w:rPr>
        <w:t xml:space="preserve"> I suggest that such a flexible and eclectic approach</w:t>
      </w:r>
      <w:r w:rsidR="00AF4352">
        <w:rPr>
          <w:rFonts w:asciiTheme="majorBidi" w:hAnsiTheme="majorBidi" w:cstheme="majorBidi"/>
          <w:sz w:val="24"/>
          <w:szCs w:val="24"/>
        </w:rPr>
        <w:t xml:space="preserve"> might be facilitated by the concept of </w:t>
      </w:r>
      <w:r w:rsidR="00AF4352" w:rsidRPr="00711396">
        <w:rPr>
          <w:rFonts w:asciiTheme="majorBidi" w:hAnsiTheme="majorBidi" w:cstheme="majorBidi"/>
          <w:i/>
          <w:iCs/>
          <w:sz w:val="24"/>
          <w:szCs w:val="24"/>
        </w:rPr>
        <w:t>duplex</w:t>
      </w:r>
      <w:r w:rsidR="00AF4352">
        <w:rPr>
          <w:rFonts w:asciiTheme="majorBidi" w:hAnsiTheme="majorBidi" w:cstheme="majorBidi"/>
          <w:sz w:val="24"/>
          <w:szCs w:val="24"/>
        </w:rPr>
        <w:t>, an analytical tool that promotes divergent thinking and paradoxical conception</w:t>
      </w:r>
      <w:r w:rsidR="00711396">
        <w:rPr>
          <w:rFonts w:asciiTheme="majorBidi" w:hAnsiTheme="majorBidi" w:cstheme="majorBidi"/>
          <w:sz w:val="24"/>
          <w:szCs w:val="24"/>
        </w:rPr>
        <w:t>s</w:t>
      </w:r>
      <w:r w:rsidR="00AF4352">
        <w:rPr>
          <w:rFonts w:asciiTheme="majorBidi" w:hAnsiTheme="majorBidi" w:cstheme="majorBidi"/>
          <w:sz w:val="24"/>
          <w:szCs w:val="24"/>
        </w:rPr>
        <w:t xml:space="preserve"> of a given issue.</w:t>
      </w:r>
      <w:r w:rsidR="00FD4BC9">
        <w:rPr>
          <w:rFonts w:asciiTheme="majorBidi" w:hAnsiTheme="majorBidi" w:cstheme="majorBidi"/>
          <w:sz w:val="24"/>
          <w:szCs w:val="24"/>
        </w:rPr>
        <w:t xml:space="preserve"> Duplex </w:t>
      </w:r>
      <w:r w:rsidR="00B017D7">
        <w:rPr>
          <w:rFonts w:asciiTheme="majorBidi" w:hAnsiTheme="majorBidi" w:cstheme="majorBidi"/>
          <w:sz w:val="24"/>
          <w:szCs w:val="24"/>
        </w:rPr>
        <w:t>enables</w:t>
      </w:r>
      <w:r w:rsidR="00BD014C">
        <w:rPr>
          <w:rFonts w:asciiTheme="majorBidi" w:hAnsiTheme="majorBidi" w:cstheme="majorBidi"/>
          <w:sz w:val="24"/>
          <w:szCs w:val="24"/>
        </w:rPr>
        <w:t xml:space="preserve"> </w:t>
      </w:r>
      <w:r w:rsidR="00FD4BC9">
        <w:rPr>
          <w:rFonts w:asciiTheme="majorBidi" w:hAnsiTheme="majorBidi" w:cstheme="majorBidi"/>
          <w:sz w:val="24"/>
          <w:szCs w:val="24"/>
        </w:rPr>
        <w:t>the conceptualisation of an issue in diametrically opposed ways, such that the opposing conceptions coexist usefully and could be deployed simultaneously as the explanatory model of a social or legal reality</w:t>
      </w:r>
      <w:r w:rsidR="00F468B3">
        <w:rPr>
          <w:rFonts w:asciiTheme="majorBidi" w:hAnsiTheme="majorBidi" w:cstheme="majorBidi"/>
          <w:sz w:val="24"/>
          <w:szCs w:val="24"/>
        </w:rPr>
        <w:t>;</w:t>
      </w:r>
      <w:r w:rsidR="00FD4BC9">
        <w:rPr>
          <w:rFonts w:asciiTheme="majorBidi" w:hAnsiTheme="majorBidi" w:cstheme="majorBidi"/>
          <w:sz w:val="24"/>
          <w:szCs w:val="24"/>
        </w:rPr>
        <w:t xml:space="preserve"> as well</w:t>
      </w:r>
      <w:r w:rsidR="00F468B3">
        <w:rPr>
          <w:rFonts w:asciiTheme="majorBidi" w:hAnsiTheme="majorBidi" w:cstheme="majorBidi"/>
          <w:sz w:val="24"/>
          <w:szCs w:val="24"/>
        </w:rPr>
        <w:t>, duplex has</w:t>
      </w:r>
      <w:r w:rsidR="00EA5E65">
        <w:rPr>
          <w:rFonts w:asciiTheme="majorBidi" w:hAnsiTheme="majorBidi" w:cstheme="majorBidi"/>
          <w:sz w:val="24"/>
          <w:szCs w:val="24"/>
        </w:rPr>
        <w:t xml:space="preserve"> the potential of being </w:t>
      </w:r>
      <w:r w:rsidR="00FD4BC9">
        <w:rPr>
          <w:rFonts w:asciiTheme="majorBidi" w:hAnsiTheme="majorBidi" w:cstheme="majorBidi"/>
          <w:sz w:val="24"/>
          <w:szCs w:val="24"/>
        </w:rPr>
        <w:t xml:space="preserve">used normatively to solve a given </w:t>
      </w:r>
      <w:r w:rsidR="002B4A2F">
        <w:rPr>
          <w:rFonts w:asciiTheme="majorBidi" w:hAnsiTheme="majorBidi" w:cstheme="majorBidi"/>
          <w:sz w:val="24"/>
          <w:szCs w:val="24"/>
        </w:rPr>
        <w:t>problem.</w:t>
      </w:r>
      <w:r w:rsidR="00EA5E65">
        <w:rPr>
          <w:rFonts w:asciiTheme="majorBidi" w:hAnsiTheme="majorBidi" w:cstheme="majorBidi"/>
          <w:sz w:val="24"/>
          <w:szCs w:val="24"/>
        </w:rPr>
        <w:t xml:space="preserve"> </w:t>
      </w:r>
      <w:r w:rsidR="004F08F2">
        <w:rPr>
          <w:rFonts w:asciiTheme="majorBidi" w:hAnsiTheme="majorBidi" w:cstheme="majorBidi"/>
          <w:sz w:val="24"/>
          <w:szCs w:val="24"/>
        </w:rPr>
        <w:t>Here, therefore,</w:t>
      </w:r>
      <w:r w:rsidR="00EA5E65">
        <w:rPr>
          <w:rFonts w:asciiTheme="majorBidi" w:hAnsiTheme="majorBidi" w:cstheme="majorBidi"/>
          <w:sz w:val="24"/>
          <w:szCs w:val="24"/>
        </w:rPr>
        <w:t xml:space="preserve"> I aim to examine the</w:t>
      </w:r>
      <w:r w:rsidR="002B4A2F">
        <w:rPr>
          <w:rFonts w:asciiTheme="majorBidi" w:hAnsiTheme="majorBidi" w:cstheme="majorBidi"/>
          <w:sz w:val="24"/>
          <w:szCs w:val="24"/>
        </w:rPr>
        <w:t xml:space="preserve"> general no-property rule in bodily parts</w:t>
      </w:r>
      <w:r w:rsidR="00EA5E65">
        <w:rPr>
          <w:rFonts w:asciiTheme="majorBidi" w:hAnsiTheme="majorBidi" w:cstheme="majorBidi"/>
          <w:sz w:val="24"/>
          <w:szCs w:val="24"/>
        </w:rPr>
        <w:t>, and its proprietary manifestations,</w:t>
      </w:r>
      <w:r w:rsidR="002B4A2F">
        <w:rPr>
          <w:rFonts w:asciiTheme="majorBidi" w:hAnsiTheme="majorBidi" w:cstheme="majorBidi"/>
          <w:sz w:val="24"/>
          <w:szCs w:val="24"/>
        </w:rPr>
        <w:t xml:space="preserve"> through the prism of duplex</w:t>
      </w:r>
      <w:r w:rsidR="000D77A0">
        <w:rPr>
          <w:rFonts w:asciiTheme="majorBidi" w:hAnsiTheme="majorBidi" w:cstheme="majorBidi"/>
          <w:sz w:val="24"/>
          <w:szCs w:val="24"/>
        </w:rPr>
        <w:t xml:space="preserve">. I </w:t>
      </w:r>
      <w:r w:rsidR="00EA5E65">
        <w:rPr>
          <w:rFonts w:asciiTheme="majorBidi" w:hAnsiTheme="majorBidi" w:cstheme="majorBidi"/>
          <w:sz w:val="24"/>
          <w:szCs w:val="24"/>
        </w:rPr>
        <w:t>argue that while the</w:t>
      </w:r>
      <w:r w:rsidR="000D77A0">
        <w:rPr>
          <w:rFonts w:asciiTheme="majorBidi" w:hAnsiTheme="majorBidi" w:cstheme="majorBidi"/>
          <w:sz w:val="24"/>
          <w:szCs w:val="24"/>
        </w:rPr>
        <w:t xml:space="preserve"> no-property</w:t>
      </w:r>
      <w:r w:rsidR="00EA5E65">
        <w:rPr>
          <w:rFonts w:asciiTheme="majorBidi" w:hAnsiTheme="majorBidi" w:cstheme="majorBidi"/>
          <w:sz w:val="24"/>
          <w:szCs w:val="24"/>
        </w:rPr>
        <w:t xml:space="preserve"> rule reflects a duplex on bodily parts, the current scope of that duplex is narrow</w:t>
      </w:r>
      <w:r w:rsidR="009960AE">
        <w:rPr>
          <w:rFonts w:asciiTheme="majorBidi" w:hAnsiTheme="majorBidi" w:cstheme="majorBidi"/>
          <w:sz w:val="24"/>
          <w:szCs w:val="24"/>
        </w:rPr>
        <w:t xml:space="preserve"> in operation,</w:t>
      </w:r>
      <w:r w:rsidR="004F08F2">
        <w:rPr>
          <w:rFonts w:asciiTheme="majorBidi" w:hAnsiTheme="majorBidi" w:cstheme="majorBidi"/>
          <w:sz w:val="24"/>
          <w:szCs w:val="24"/>
        </w:rPr>
        <w:t xml:space="preserve"> and</w:t>
      </w:r>
      <w:r w:rsidR="009960AE">
        <w:rPr>
          <w:rFonts w:asciiTheme="majorBidi" w:hAnsiTheme="majorBidi" w:cstheme="majorBidi"/>
          <w:sz w:val="24"/>
          <w:szCs w:val="24"/>
        </w:rPr>
        <w:t xml:space="preserve"> thus,</w:t>
      </w:r>
      <w:r w:rsidR="004F08F2">
        <w:rPr>
          <w:rFonts w:asciiTheme="majorBidi" w:hAnsiTheme="majorBidi" w:cstheme="majorBidi"/>
          <w:sz w:val="24"/>
          <w:szCs w:val="24"/>
        </w:rPr>
        <w:t xml:space="preserve"> should be conceptualised</w:t>
      </w:r>
      <w:r w:rsidR="000D77A0">
        <w:rPr>
          <w:rFonts w:asciiTheme="majorBidi" w:hAnsiTheme="majorBidi" w:cstheme="majorBidi"/>
          <w:sz w:val="24"/>
          <w:szCs w:val="24"/>
        </w:rPr>
        <w:t xml:space="preserve"> more</w:t>
      </w:r>
      <w:r w:rsidR="009960AE">
        <w:rPr>
          <w:rFonts w:asciiTheme="majorBidi" w:hAnsiTheme="majorBidi" w:cstheme="majorBidi"/>
          <w:sz w:val="24"/>
          <w:szCs w:val="24"/>
        </w:rPr>
        <w:t xml:space="preserve"> broadly</w:t>
      </w:r>
      <w:r w:rsidR="004F08F2">
        <w:rPr>
          <w:rFonts w:asciiTheme="majorBidi" w:hAnsiTheme="majorBidi" w:cstheme="majorBidi"/>
          <w:sz w:val="24"/>
          <w:szCs w:val="24"/>
        </w:rPr>
        <w:t xml:space="preserve"> to cover the claims of tissue sources.</w:t>
      </w:r>
      <w:r w:rsidR="000D77A0">
        <w:rPr>
          <w:rFonts w:asciiTheme="majorBidi" w:hAnsiTheme="majorBidi" w:cstheme="majorBidi"/>
          <w:sz w:val="24"/>
          <w:szCs w:val="24"/>
        </w:rPr>
        <w:t xml:space="preserve"> As</w:t>
      </w:r>
      <w:r w:rsidR="001B5B54">
        <w:rPr>
          <w:rFonts w:asciiTheme="majorBidi" w:hAnsiTheme="majorBidi" w:cstheme="majorBidi"/>
          <w:sz w:val="24"/>
          <w:szCs w:val="24"/>
        </w:rPr>
        <w:t xml:space="preserve"> is</w:t>
      </w:r>
      <w:r w:rsidR="000D77A0">
        <w:rPr>
          <w:rFonts w:asciiTheme="majorBidi" w:hAnsiTheme="majorBidi" w:cstheme="majorBidi"/>
          <w:sz w:val="24"/>
          <w:szCs w:val="24"/>
        </w:rPr>
        <w:t xml:space="preserve"> well known,</w:t>
      </w:r>
      <w:r w:rsidR="004F08F2">
        <w:rPr>
          <w:rFonts w:asciiTheme="majorBidi" w:hAnsiTheme="majorBidi" w:cstheme="majorBidi"/>
          <w:sz w:val="24"/>
          <w:szCs w:val="24"/>
        </w:rPr>
        <w:t xml:space="preserve"> </w:t>
      </w:r>
      <w:r w:rsidR="000D77A0">
        <w:rPr>
          <w:rFonts w:asciiTheme="majorBidi" w:hAnsiTheme="majorBidi" w:cstheme="majorBidi"/>
          <w:sz w:val="24"/>
          <w:szCs w:val="24"/>
        </w:rPr>
        <w:t>t</w:t>
      </w:r>
      <w:r w:rsidR="004F08F2">
        <w:rPr>
          <w:rFonts w:asciiTheme="majorBidi" w:hAnsiTheme="majorBidi" w:cstheme="majorBidi"/>
          <w:sz w:val="24"/>
          <w:szCs w:val="24"/>
        </w:rPr>
        <w:t>h</w:t>
      </w:r>
      <w:r w:rsidR="002B4A2F">
        <w:rPr>
          <w:rFonts w:asciiTheme="majorBidi" w:hAnsiTheme="majorBidi" w:cstheme="majorBidi"/>
          <w:sz w:val="24"/>
          <w:szCs w:val="24"/>
        </w:rPr>
        <w:t xml:space="preserve">e </w:t>
      </w:r>
      <w:r w:rsidR="004F08F2">
        <w:rPr>
          <w:rFonts w:asciiTheme="majorBidi" w:hAnsiTheme="majorBidi" w:cstheme="majorBidi"/>
          <w:sz w:val="24"/>
          <w:szCs w:val="24"/>
        </w:rPr>
        <w:t xml:space="preserve">no-property </w:t>
      </w:r>
      <w:r w:rsidR="002B4A2F">
        <w:rPr>
          <w:rFonts w:asciiTheme="majorBidi" w:hAnsiTheme="majorBidi" w:cstheme="majorBidi"/>
          <w:sz w:val="24"/>
          <w:szCs w:val="24"/>
        </w:rPr>
        <w:t xml:space="preserve">rule disavows proprietary interests </w:t>
      </w:r>
      <w:r w:rsidR="004F08F2">
        <w:rPr>
          <w:rFonts w:asciiTheme="majorBidi" w:hAnsiTheme="majorBidi" w:cstheme="majorBidi"/>
          <w:sz w:val="24"/>
          <w:szCs w:val="24"/>
        </w:rPr>
        <w:t>in dead bodies and bodily parts; at the same time, however,</w:t>
      </w:r>
      <w:r w:rsidR="00D0568B">
        <w:rPr>
          <w:rFonts w:asciiTheme="majorBidi" w:hAnsiTheme="majorBidi" w:cstheme="majorBidi"/>
          <w:sz w:val="24"/>
          <w:szCs w:val="24"/>
        </w:rPr>
        <w:t xml:space="preserve"> prop</w:t>
      </w:r>
      <w:r w:rsidR="004F08F2">
        <w:rPr>
          <w:rFonts w:asciiTheme="majorBidi" w:hAnsiTheme="majorBidi" w:cstheme="majorBidi"/>
          <w:sz w:val="24"/>
          <w:szCs w:val="24"/>
        </w:rPr>
        <w:t>rietary interests</w:t>
      </w:r>
      <w:r w:rsidR="00D0568B">
        <w:rPr>
          <w:rFonts w:asciiTheme="majorBidi" w:hAnsiTheme="majorBidi" w:cstheme="majorBidi"/>
          <w:sz w:val="24"/>
          <w:szCs w:val="24"/>
        </w:rPr>
        <w:t xml:space="preserve"> exist in dead bodies and bodily parts</w:t>
      </w:r>
      <w:r w:rsidR="004F08F2">
        <w:rPr>
          <w:rFonts w:asciiTheme="majorBidi" w:hAnsiTheme="majorBidi" w:cstheme="majorBidi"/>
          <w:sz w:val="24"/>
          <w:szCs w:val="24"/>
        </w:rPr>
        <w:t>;</w:t>
      </w:r>
      <w:r w:rsidR="000D77A0">
        <w:rPr>
          <w:rFonts w:asciiTheme="majorBidi" w:hAnsiTheme="majorBidi" w:cstheme="majorBidi"/>
          <w:sz w:val="24"/>
          <w:szCs w:val="24"/>
        </w:rPr>
        <w:t xml:space="preserve"> while</w:t>
      </w:r>
      <w:r w:rsidR="004F08F2">
        <w:rPr>
          <w:rFonts w:asciiTheme="majorBidi" w:hAnsiTheme="majorBidi" w:cstheme="majorBidi"/>
          <w:sz w:val="24"/>
          <w:szCs w:val="24"/>
        </w:rPr>
        <w:t xml:space="preserve"> this</w:t>
      </w:r>
      <w:r w:rsidR="000D77A0">
        <w:rPr>
          <w:rFonts w:asciiTheme="majorBidi" w:hAnsiTheme="majorBidi" w:cstheme="majorBidi"/>
          <w:sz w:val="24"/>
          <w:szCs w:val="24"/>
        </w:rPr>
        <w:t xml:space="preserve"> appears to be</w:t>
      </w:r>
      <w:r w:rsidR="004F08F2">
        <w:rPr>
          <w:rFonts w:asciiTheme="majorBidi" w:hAnsiTheme="majorBidi" w:cstheme="majorBidi"/>
          <w:sz w:val="24"/>
          <w:szCs w:val="24"/>
        </w:rPr>
        <w:t xml:space="preserve"> a paradox</w:t>
      </w:r>
      <w:r w:rsidR="00657DF0">
        <w:rPr>
          <w:rFonts w:asciiTheme="majorBidi" w:hAnsiTheme="majorBidi" w:cstheme="majorBidi"/>
          <w:sz w:val="24"/>
          <w:szCs w:val="24"/>
        </w:rPr>
        <w:t>,</w:t>
      </w:r>
      <w:r w:rsidR="000D77A0">
        <w:rPr>
          <w:rFonts w:asciiTheme="majorBidi" w:hAnsiTheme="majorBidi" w:cstheme="majorBidi"/>
          <w:sz w:val="24"/>
          <w:szCs w:val="24"/>
        </w:rPr>
        <w:t xml:space="preserve"> </w:t>
      </w:r>
      <w:r w:rsidR="000D77A0">
        <w:rPr>
          <w:rFonts w:asciiTheme="majorBidi" w:hAnsiTheme="majorBidi" w:cstheme="majorBidi"/>
          <w:sz w:val="24"/>
          <w:szCs w:val="24"/>
        </w:rPr>
        <w:lastRenderedPageBreak/>
        <w:t>it is</w:t>
      </w:r>
      <w:r w:rsidR="004F08F2">
        <w:rPr>
          <w:rFonts w:asciiTheme="majorBidi" w:hAnsiTheme="majorBidi" w:cstheme="majorBidi"/>
          <w:sz w:val="24"/>
          <w:szCs w:val="24"/>
        </w:rPr>
        <w:t xml:space="preserve"> </w:t>
      </w:r>
      <w:r w:rsidR="00657DF0">
        <w:rPr>
          <w:rFonts w:asciiTheme="majorBidi" w:hAnsiTheme="majorBidi" w:cstheme="majorBidi"/>
          <w:sz w:val="24"/>
          <w:szCs w:val="24"/>
        </w:rPr>
        <w:t>(</w:t>
      </w:r>
      <w:r w:rsidR="004F08F2">
        <w:rPr>
          <w:rFonts w:asciiTheme="majorBidi" w:hAnsiTheme="majorBidi" w:cstheme="majorBidi"/>
          <w:sz w:val="24"/>
          <w:szCs w:val="24"/>
        </w:rPr>
        <w:t>as argued below</w:t>
      </w:r>
      <w:r w:rsidR="00657DF0">
        <w:rPr>
          <w:rFonts w:asciiTheme="majorBidi" w:hAnsiTheme="majorBidi" w:cstheme="majorBidi"/>
          <w:sz w:val="24"/>
          <w:szCs w:val="24"/>
        </w:rPr>
        <w:t>)</w:t>
      </w:r>
      <w:r w:rsidR="004F08F2">
        <w:rPr>
          <w:rFonts w:asciiTheme="majorBidi" w:hAnsiTheme="majorBidi" w:cstheme="majorBidi"/>
          <w:sz w:val="24"/>
          <w:szCs w:val="24"/>
        </w:rPr>
        <w:t xml:space="preserve"> a useful duplex.</w:t>
      </w:r>
      <w:r w:rsidR="00F3669A">
        <w:rPr>
          <w:rFonts w:asciiTheme="majorBidi" w:hAnsiTheme="majorBidi" w:cstheme="majorBidi"/>
          <w:sz w:val="24"/>
          <w:szCs w:val="24"/>
        </w:rPr>
        <w:t xml:space="preserve"> </w:t>
      </w:r>
      <w:r w:rsidR="000D77A0">
        <w:rPr>
          <w:rFonts w:asciiTheme="majorBidi" w:hAnsiTheme="majorBidi" w:cstheme="majorBidi"/>
          <w:sz w:val="24"/>
          <w:szCs w:val="24"/>
        </w:rPr>
        <w:t>Although</w:t>
      </w:r>
      <w:r w:rsidR="00F3669A">
        <w:rPr>
          <w:rFonts w:asciiTheme="majorBidi" w:hAnsiTheme="majorBidi" w:cstheme="majorBidi"/>
          <w:sz w:val="24"/>
          <w:szCs w:val="24"/>
        </w:rPr>
        <w:t xml:space="preserve"> the paradoxical delineation of the no-property rule above has been rationalised on the basis of the</w:t>
      </w:r>
      <w:r w:rsidR="00D0568B">
        <w:rPr>
          <w:rFonts w:asciiTheme="majorBidi" w:hAnsiTheme="majorBidi" w:cstheme="majorBidi"/>
          <w:sz w:val="24"/>
          <w:szCs w:val="24"/>
        </w:rPr>
        <w:t xml:space="preserve"> work or skill</w:t>
      </w:r>
      <w:r w:rsidR="00F3669A">
        <w:rPr>
          <w:rFonts w:asciiTheme="majorBidi" w:hAnsiTheme="majorBidi" w:cstheme="majorBidi"/>
          <w:sz w:val="24"/>
          <w:szCs w:val="24"/>
        </w:rPr>
        <w:t xml:space="preserve"> exception to the no-property rule,</w:t>
      </w:r>
      <w:r w:rsidR="00D0568B">
        <w:rPr>
          <w:rFonts w:asciiTheme="majorBidi" w:hAnsiTheme="majorBidi" w:cstheme="majorBidi"/>
          <w:sz w:val="24"/>
          <w:szCs w:val="24"/>
        </w:rPr>
        <w:t xml:space="preserve"> I argue below</w:t>
      </w:r>
      <w:r w:rsidR="00F3669A">
        <w:rPr>
          <w:rFonts w:asciiTheme="majorBidi" w:hAnsiTheme="majorBidi" w:cstheme="majorBidi"/>
          <w:sz w:val="24"/>
          <w:szCs w:val="24"/>
        </w:rPr>
        <w:t xml:space="preserve"> that the work or skill exception is a</w:t>
      </w:r>
      <w:r w:rsidR="0074639A">
        <w:rPr>
          <w:rFonts w:asciiTheme="majorBidi" w:hAnsiTheme="majorBidi" w:cstheme="majorBidi"/>
          <w:sz w:val="24"/>
          <w:szCs w:val="24"/>
        </w:rPr>
        <w:t>n</w:t>
      </w:r>
      <w:r w:rsidR="00F3669A">
        <w:rPr>
          <w:rFonts w:asciiTheme="majorBidi" w:hAnsiTheme="majorBidi" w:cstheme="majorBidi"/>
          <w:sz w:val="24"/>
          <w:szCs w:val="24"/>
        </w:rPr>
        <w:t xml:space="preserve"> </w:t>
      </w:r>
      <w:r w:rsidR="0074639A">
        <w:rPr>
          <w:rFonts w:asciiTheme="majorBidi" w:hAnsiTheme="majorBidi" w:cstheme="majorBidi"/>
          <w:sz w:val="24"/>
          <w:szCs w:val="24"/>
        </w:rPr>
        <w:t>in</w:t>
      </w:r>
      <w:r w:rsidR="00F3669A">
        <w:rPr>
          <w:rFonts w:asciiTheme="majorBidi" w:hAnsiTheme="majorBidi" w:cstheme="majorBidi"/>
          <w:sz w:val="24"/>
          <w:szCs w:val="24"/>
        </w:rPr>
        <w:t xml:space="preserve">sufficient explanatory model </w:t>
      </w:r>
      <w:r w:rsidR="00FB776F">
        <w:rPr>
          <w:rFonts w:asciiTheme="majorBidi" w:hAnsiTheme="majorBidi" w:cstheme="majorBidi"/>
          <w:sz w:val="24"/>
          <w:szCs w:val="24"/>
        </w:rPr>
        <w:t>f</w:t>
      </w:r>
      <w:r w:rsidR="00AF0B84">
        <w:rPr>
          <w:rFonts w:asciiTheme="majorBidi" w:hAnsiTheme="majorBidi" w:cstheme="majorBidi"/>
          <w:sz w:val="24"/>
          <w:szCs w:val="24"/>
        </w:rPr>
        <w:t>or</w:t>
      </w:r>
      <w:r w:rsidR="00F3669A">
        <w:rPr>
          <w:rFonts w:asciiTheme="majorBidi" w:hAnsiTheme="majorBidi" w:cstheme="majorBidi"/>
          <w:sz w:val="24"/>
          <w:szCs w:val="24"/>
        </w:rPr>
        <w:t xml:space="preserve"> the property regime foisted on the no-property rule</w:t>
      </w:r>
      <w:r w:rsidR="000D77A0">
        <w:rPr>
          <w:rFonts w:asciiTheme="majorBidi" w:hAnsiTheme="majorBidi" w:cstheme="majorBidi"/>
          <w:sz w:val="24"/>
          <w:szCs w:val="24"/>
        </w:rPr>
        <w:t>.</w:t>
      </w:r>
      <w:r w:rsidR="00DE4EA1">
        <w:rPr>
          <w:rFonts w:asciiTheme="majorBidi" w:hAnsiTheme="majorBidi" w:cstheme="majorBidi"/>
          <w:sz w:val="24"/>
          <w:szCs w:val="24"/>
        </w:rPr>
        <w:t xml:space="preserve"> </w:t>
      </w:r>
      <w:r w:rsidR="000D77A0">
        <w:rPr>
          <w:rFonts w:asciiTheme="majorBidi" w:hAnsiTheme="majorBidi" w:cstheme="majorBidi"/>
          <w:sz w:val="24"/>
          <w:szCs w:val="24"/>
        </w:rPr>
        <w:t>I</w:t>
      </w:r>
      <w:r w:rsidR="00DE4EA1">
        <w:rPr>
          <w:rFonts w:asciiTheme="majorBidi" w:hAnsiTheme="majorBidi" w:cstheme="majorBidi"/>
          <w:sz w:val="24"/>
          <w:szCs w:val="24"/>
        </w:rPr>
        <w:t>n contrast</w:t>
      </w:r>
      <w:r w:rsidR="00F3669A">
        <w:rPr>
          <w:rFonts w:asciiTheme="majorBidi" w:hAnsiTheme="majorBidi" w:cstheme="majorBidi"/>
          <w:sz w:val="24"/>
          <w:szCs w:val="24"/>
        </w:rPr>
        <w:t xml:space="preserve">, the </w:t>
      </w:r>
      <w:r w:rsidR="00200716">
        <w:rPr>
          <w:rFonts w:asciiTheme="majorBidi" w:hAnsiTheme="majorBidi" w:cstheme="majorBidi"/>
          <w:sz w:val="24"/>
          <w:szCs w:val="24"/>
        </w:rPr>
        <w:t>framework</w:t>
      </w:r>
      <w:r w:rsidR="00F3669A">
        <w:rPr>
          <w:rFonts w:asciiTheme="majorBidi" w:hAnsiTheme="majorBidi" w:cstheme="majorBidi"/>
          <w:sz w:val="24"/>
          <w:szCs w:val="24"/>
        </w:rPr>
        <w:t xml:space="preserve"> of duplex provides a more </w:t>
      </w:r>
      <w:r w:rsidR="0074639A">
        <w:rPr>
          <w:rFonts w:asciiTheme="majorBidi" w:hAnsiTheme="majorBidi" w:cstheme="majorBidi"/>
          <w:sz w:val="24"/>
          <w:szCs w:val="24"/>
        </w:rPr>
        <w:t>persuasive</w:t>
      </w:r>
      <w:r w:rsidR="00F3669A">
        <w:rPr>
          <w:rFonts w:asciiTheme="majorBidi" w:hAnsiTheme="majorBidi" w:cstheme="majorBidi"/>
          <w:sz w:val="24"/>
          <w:szCs w:val="24"/>
        </w:rPr>
        <w:t xml:space="preserve"> and </w:t>
      </w:r>
      <w:r w:rsidR="0074639A">
        <w:rPr>
          <w:rFonts w:asciiTheme="majorBidi" w:hAnsiTheme="majorBidi" w:cstheme="majorBidi"/>
          <w:sz w:val="24"/>
          <w:szCs w:val="24"/>
        </w:rPr>
        <w:t>compelling</w:t>
      </w:r>
      <w:r w:rsidR="00F3669A">
        <w:rPr>
          <w:rFonts w:asciiTheme="majorBidi" w:hAnsiTheme="majorBidi" w:cstheme="majorBidi"/>
          <w:sz w:val="24"/>
          <w:szCs w:val="24"/>
        </w:rPr>
        <w:t xml:space="preserve"> narrative.</w:t>
      </w:r>
      <w:r w:rsidR="00EB38C6">
        <w:rPr>
          <w:rFonts w:asciiTheme="majorBidi" w:hAnsiTheme="majorBidi" w:cstheme="majorBidi"/>
          <w:sz w:val="24"/>
          <w:szCs w:val="24"/>
        </w:rPr>
        <w:t xml:space="preserve"> Even then</w:t>
      </w:r>
      <w:r w:rsidR="00D0568B">
        <w:rPr>
          <w:rFonts w:asciiTheme="majorBidi" w:hAnsiTheme="majorBidi" w:cstheme="majorBidi"/>
          <w:sz w:val="24"/>
          <w:szCs w:val="24"/>
        </w:rPr>
        <w:t>,</w:t>
      </w:r>
      <w:r w:rsidR="005A2F97">
        <w:rPr>
          <w:rFonts w:asciiTheme="majorBidi" w:hAnsiTheme="majorBidi" w:cstheme="majorBidi"/>
          <w:sz w:val="24"/>
          <w:szCs w:val="24"/>
        </w:rPr>
        <w:t xml:space="preserve"> I argue that</w:t>
      </w:r>
      <w:r w:rsidR="00D0568B">
        <w:rPr>
          <w:rFonts w:asciiTheme="majorBidi" w:hAnsiTheme="majorBidi" w:cstheme="majorBidi"/>
          <w:sz w:val="24"/>
          <w:szCs w:val="24"/>
        </w:rPr>
        <w:t xml:space="preserve"> the work or skill exception</w:t>
      </w:r>
      <w:r w:rsidR="00EB38C6">
        <w:rPr>
          <w:rFonts w:asciiTheme="majorBidi" w:hAnsiTheme="majorBidi" w:cstheme="majorBidi"/>
          <w:sz w:val="24"/>
          <w:szCs w:val="24"/>
        </w:rPr>
        <w:t xml:space="preserve"> itself </w:t>
      </w:r>
      <w:r w:rsidR="00D0568B">
        <w:rPr>
          <w:rFonts w:asciiTheme="majorBidi" w:hAnsiTheme="majorBidi" w:cstheme="majorBidi"/>
          <w:sz w:val="24"/>
          <w:szCs w:val="24"/>
        </w:rPr>
        <w:t>reflects a duplex</w:t>
      </w:r>
      <w:r w:rsidR="005A2F97">
        <w:rPr>
          <w:rFonts w:asciiTheme="majorBidi" w:hAnsiTheme="majorBidi" w:cstheme="majorBidi"/>
          <w:sz w:val="24"/>
          <w:szCs w:val="24"/>
        </w:rPr>
        <w:t xml:space="preserve"> on bodily parts</w:t>
      </w:r>
      <w:r w:rsidR="00563970">
        <w:rPr>
          <w:rFonts w:asciiTheme="majorBidi" w:hAnsiTheme="majorBidi" w:cstheme="majorBidi"/>
          <w:sz w:val="24"/>
          <w:szCs w:val="24"/>
        </w:rPr>
        <w:t>;</w:t>
      </w:r>
      <w:r w:rsidR="00EB38C6">
        <w:rPr>
          <w:rFonts w:asciiTheme="majorBidi" w:hAnsiTheme="majorBidi" w:cstheme="majorBidi"/>
          <w:sz w:val="24"/>
          <w:szCs w:val="24"/>
        </w:rPr>
        <w:t xml:space="preserve"> under the exception, as argued below,</w:t>
      </w:r>
      <w:r w:rsidR="00563970">
        <w:rPr>
          <w:rFonts w:asciiTheme="majorBidi" w:hAnsiTheme="majorBidi" w:cstheme="majorBidi"/>
          <w:sz w:val="24"/>
          <w:szCs w:val="24"/>
        </w:rPr>
        <w:t xml:space="preserve"> proprietary</w:t>
      </w:r>
      <w:r w:rsidR="00EB38C6">
        <w:rPr>
          <w:rFonts w:asciiTheme="majorBidi" w:hAnsiTheme="majorBidi" w:cstheme="majorBidi"/>
          <w:sz w:val="24"/>
          <w:szCs w:val="24"/>
        </w:rPr>
        <w:t xml:space="preserve"> interests in bodily parts </w:t>
      </w:r>
      <w:r w:rsidR="00563970">
        <w:rPr>
          <w:rFonts w:asciiTheme="majorBidi" w:hAnsiTheme="majorBidi" w:cstheme="majorBidi"/>
          <w:sz w:val="24"/>
          <w:szCs w:val="24"/>
        </w:rPr>
        <w:t>both exist and do not exist</w:t>
      </w:r>
      <w:r w:rsidR="00EB38C6">
        <w:rPr>
          <w:rFonts w:asciiTheme="majorBidi" w:hAnsiTheme="majorBidi" w:cstheme="majorBidi"/>
          <w:sz w:val="24"/>
          <w:szCs w:val="24"/>
        </w:rPr>
        <w:t xml:space="preserve">, depending on whether the interest </w:t>
      </w:r>
      <w:r w:rsidR="00F81FA6">
        <w:rPr>
          <w:rFonts w:asciiTheme="majorBidi" w:hAnsiTheme="majorBidi" w:cstheme="majorBidi"/>
          <w:sz w:val="24"/>
          <w:szCs w:val="24"/>
        </w:rPr>
        <w:t xml:space="preserve">sought </w:t>
      </w:r>
      <w:r w:rsidR="00EB38C6">
        <w:rPr>
          <w:rFonts w:asciiTheme="majorBidi" w:hAnsiTheme="majorBidi" w:cstheme="majorBidi"/>
          <w:sz w:val="24"/>
          <w:szCs w:val="24"/>
        </w:rPr>
        <w:t xml:space="preserve">to be protected is that of a </w:t>
      </w:r>
      <w:r w:rsidR="00563970">
        <w:rPr>
          <w:rFonts w:asciiTheme="majorBidi" w:hAnsiTheme="majorBidi" w:cstheme="majorBidi"/>
          <w:sz w:val="24"/>
          <w:szCs w:val="24"/>
        </w:rPr>
        <w:t>tissue user</w:t>
      </w:r>
      <w:r w:rsidR="00EB38C6">
        <w:rPr>
          <w:rFonts w:asciiTheme="majorBidi" w:hAnsiTheme="majorBidi" w:cstheme="majorBidi"/>
          <w:sz w:val="24"/>
          <w:szCs w:val="24"/>
        </w:rPr>
        <w:t xml:space="preserve">/innovator or </w:t>
      </w:r>
      <w:r w:rsidR="00563970">
        <w:rPr>
          <w:rFonts w:asciiTheme="majorBidi" w:hAnsiTheme="majorBidi" w:cstheme="majorBidi"/>
          <w:sz w:val="24"/>
          <w:szCs w:val="24"/>
        </w:rPr>
        <w:t xml:space="preserve">tissue </w:t>
      </w:r>
      <w:r w:rsidR="00EB38C6">
        <w:rPr>
          <w:rFonts w:asciiTheme="majorBidi" w:hAnsiTheme="majorBidi" w:cstheme="majorBidi"/>
          <w:sz w:val="24"/>
          <w:szCs w:val="24"/>
        </w:rPr>
        <w:t>source</w:t>
      </w:r>
      <w:r w:rsidR="00563970">
        <w:rPr>
          <w:rFonts w:asciiTheme="majorBidi" w:hAnsiTheme="majorBidi" w:cstheme="majorBidi"/>
          <w:sz w:val="24"/>
          <w:szCs w:val="24"/>
        </w:rPr>
        <w:t xml:space="preserve">. </w:t>
      </w:r>
      <w:r w:rsidR="0074639A">
        <w:rPr>
          <w:rFonts w:asciiTheme="majorBidi" w:hAnsiTheme="majorBidi" w:cstheme="majorBidi"/>
          <w:sz w:val="24"/>
          <w:szCs w:val="24"/>
        </w:rPr>
        <w:t>Thus</w:t>
      </w:r>
      <w:r w:rsidR="00563970">
        <w:rPr>
          <w:rFonts w:asciiTheme="majorBidi" w:hAnsiTheme="majorBidi" w:cstheme="majorBidi"/>
          <w:sz w:val="24"/>
          <w:szCs w:val="24"/>
        </w:rPr>
        <w:t>, current legal regulation of bodily parts</w:t>
      </w:r>
      <w:r w:rsidR="0074639A">
        <w:rPr>
          <w:rFonts w:asciiTheme="majorBidi" w:hAnsiTheme="majorBidi" w:cstheme="majorBidi"/>
          <w:sz w:val="24"/>
          <w:szCs w:val="24"/>
        </w:rPr>
        <w:t xml:space="preserve"> reflects</w:t>
      </w:r>
      <w:r w:rsidR="00563970">
        <w:rPr>
          <w:rFonts w:asciiTheme="majorBidi" w:hAnsiTheme="majorBidi" w:cstheme="majorBidi"/>
          <w:sz w:val="24"/>
          <w:szCs w:val="24"/>
        </w:rPr>
        <w:t xml:space="preserve"> a </w:t>
      </w:r>
      <w:r w:rsidR="00E2117F">
        <w:rPr>
          <w:rFonts w:asciiTheme="majorBidi" w:hAnsiTheme="majorBidi" w:cstheme="majorBidi"/>
          <w:sz w:val="24"/>
          <w:szCs w:val="24"/>
        </w:rPr>
        <w:t>bipartite</w:t>
      </w:r>
      <w:r w:rsidR="00563970">
        <w:rPr>
          <w:rFonts w:asciiTheme="majorBidi" w:hAnsiTheme="majorBidi" w:cstheme="majorBidi"/>
          <w:sz w:val="24"/>
          <w:szCs w:val="24"/>
        </w:rPr>
        <w:t xml:space="preserve"> duplex all of which favours only the claims of tissue users and innovator</w:t>
      </w:r>
      <w:r w:rsidR="005A2F97">
        <w:rPr>
          <w:rFonts w:asciiTheme="majorBidi" w:hAnsiTheme="majorBidi" w:cstheme="majorBidi"/>
          <w:sz w:val="24"/>
          <w:szCs w:val="24"/>
        </w:rPr>
        <w:t>s</w:t>
      </w:r>
      <w:r w:rsidR="00563970">
        <w:rPr>
          <w:rFonts w:asciiTheme="majorBidi" w:hAnsiTheme="majorBidi" w:cstheme="majorBidi"/>
          <w:sz w:val="24"/>
          <w:szCs w:val="24"/>
        </w:rPr>
        <w:t>.</w:t>
      </w:r>
      <w:r w:rsidR="00006180">
        <w:rPr>
          <w:rFonts w:asciiTheme="majorBidi" w:hAnsiTheme="majorBidi" w:cstheme="majorBidi"/>
          <w:sz w:val="24"/>
          <w:szCs w:val="24"/>
        </w:rPr>
        <w:t xml:space="preserve"> Furthermore, as the next section shows, the historiography of bodily parts</w:t>
      </w:r>
      <w:r w:rsidR="009A7148">
        <w:rPr>
          <w:rFonts w:asciiTheme="majorBidi" w:hAnsiTheme="majorBidi" w:cstheme="majorBidi"/>
          <w:sz w:val="24"/>
          <w:szCs w:val="24"/>
        </w:rPr>
        <w:t xml:space="preserve"> clearly</w:t>
      </w:r>
      <w:r w:rsidR="00006180">
        <w:rPr>
          <w:rFonts w:asciiTheme="majorBidi" w:hAnsiTheme="majorBidi" w:cstheme="majorBidi"/>
          <w:sz w:val="24"/>
          <w:szCs w:val="24"/>
        </w:rPr>
        <w:t xml:space="preserve"> delineates a duplex; while legal regulation</w:t>
      </w:r>
      <w:r w:rsidR="009A7148">
        <w:rPr>
          <w:rFonts w:asciiTheme="majorBidi" w:hAnsiTheme="majorBidi" w:cstheme="majorBidi"/>
          <w:sz w:val="24"/>
          <w:szCs w:val="24"/>
        </w:rPr>
        <w:t xml:space="preserve"> in England and Wales</w:t>
      </w:r>
      <w:r w:rsidR="00006180">
        <w:rPr>
          <w:rFonts w:asciiTheme="majorBidi" w:hAnsiTheme="majorBidi" w:cstheme="majorBidi"/>
          <w:sz w:val="24"/>
          <w:szCs w:val="24"/>
        </w:rPr>
        <w:t xml:space="preserve"> has all along </w:t>
      </w:r>
      <w:r w:rsidR="009A7148">
        <w:rPr>
          <w:rFonts w:asciiTheme="majorBidi" w:hAnsiTheme="majorBidi" w:cstheme="majorBidi"/>
          <w:sz w:val="24"/>
          <w:szCs w:val="24"/>
        </w:rPr>
        <w:t>signposted</w:t>
      </w:r>
      <w:r w:rsidR="00006180">
        <w:rPr>
          <w:rFonts w:asciiTheme="majorBidi" w:hAnsiTheme="majorBidi" w:cstheme="majorBidi"/>
          <w:sz w:val="24"/>
          <w:szCs w:val="24"/>
        </w:rPr>
        <w:t xml:space="preserve"> a no-property rule </w:t>
      </w:r>
      <w:r w:rsidR="009A7148">
        <w:rPr>
          <w:rFonts w:asciiTheme="majorBidi" w:hAnsiTheme="majorBidi" w:cstheme="majorBidi"/>
          <w:sz w:val="24"/>
          <w:szCs w:val="24"/>
        </w:rPr>
        <w:t>on</w:t>
      </w:r>
      <w:r w:rsidR="00006180">
        <w:rPr>
          <w:rFonts w:asciiTheme="majorBidi" w:hAnsiTheme="majorBidi" w:cstheme="majorBidi"/>
          <w:sz w:val="24"/>
          <w:szCs w:val="24"/>
        </w:rPr>
        <w:t xml:space="preserve"> bodily parts, medical, pharmacological and social</w:t>
      </w:r>
      <w:r w:rsidR="009A7148">
        <w:rPr>
          <w:rFonts w:asciiTheme="majorBidi" w:hAnsiTheme="majorBidi" w:cstheme="majorBidi"/>
          <w:sz w:val="24"/>
          <w:szCs w:val="24"/>
        </w:rPr>
        <w:t xml:space="preserve"> transactions and</w:t>
      </w:r>
      <w:r w:rsidR="00006180">
        <w:rPr>
          <w:rFonts w:asciiTheme="majorBidi" w:hAnsiTheme="majorBidi" w:cstheme="majorBidi"/>
          <w:sz w:val="24"/>
          <w:szCs w:val="24"/>
        </w:rPr>
        <w:t xml:space="preserve"> markets</w:t>
      </w:r>
      <w:r w:rsidR="00F81FA6">
        <w:rPr>
          <w:rFonts w:asciiTheme="majorBidi" w:hAnsiTheme="majorBidi" w:cstheme="majorBidi"/>
          <w:sz w:val="24"/>
          <w:szCs w:val="24"/>
        </w:rPr>
        <w:t xml:space="preserve"> on bodily parts</w:t>
      </w:r>
      <w:r w:rsidR="00006180">
        <w:rPr>
          <w:rFonts w:asciiTheme="majorBidi" w:hAnsiTheme="majorBidi" w:cstheme="majorBidi"/>
          <w:sz w:val="24"/>
          <w:szCs w:val="24"/>
        </w:rPr>
        <w:t xml:space="preserve"> have</w:t>
      </w:r>
      <w:r w:rsidR="009A7148">
        <w:rPr>
          <w:rFonts w:asciiTheme="majorBidi" w:hAnsiTheme="majorBidi" w:cstheme="majorBidi"/>
          <w:sz w:val="24"/>
          <w:szCs w:val="24"/>
        </w:rPr>
        <w:t xml:space="preserve"> since</w:t>
      </w:r>
      <w:r w:rsidR="00006180">
        <w:rPr>
          <w:rFonts w:asciiTheme="majorBidi" w:hAnsiTheme="majorBidi" w:cstheme="majorBidi"/>
          <w:sz w:val="24"/>
          <w:szCs w:val="24"/>
        </w:rPr>
        <w:t xml:space="preserve"> the medieval times</w:t>
      </w:r>
      <w:r w:rsidR="009A7148">
        <w:rPr>
          <w:rFonts w:asciiTheme="majorBidi" w:hAnsiTheme="majorBidi" w:cstheme="majorBidi"/>
          <w:sz w:val="24"/>
          <w:szCs w:val="24"/>
        </w:rPr>
        <w:t xml:space="preserve"> practically</w:t>
      </w:r>
      <w:r w:rsidR="00006180">
        <w:rPr>
          <w:rFonts w:asciiTheme="majorBidi" w:hAnsiTheme="majorBidi" w:cstheme="majorBidi"/>
          <w:sz w:val="24"/>
          <w:szCs w:val="24"/>
        </w:rPr>
        <w:t xml:space="preserve"> treated bodily parts</w:t>
      </w:r>
      <w:r w:rsidR="009A7148">
        <w:rPr>
          <w:rFonts w:asciiTheme="majorBidi" w:hAnsiTheme="majorBidi" w:cstheme="majorBidi"/>
          <w:sz w:val="24"/>
          <w:szCs w:val="24"/>
        </w:rPr>
        <w:t xml:space="preserve"> </w:t>
      </w:r>
      <w:r w:rsidR="00006180">
        <w:rPr>
          <w:rFonts w:asciiTheme="majorBidi" w:hAnsiTheme="majorBidi" w:cstheme="majorBidi"/>
          <w:sz w:val="24"/>
          <w:szCs w:val="24"/>
        </w:rPr>
        <w:t>as property</w:t>
      </w:r>
      <w:r w:rsidR="00B86D75">
        <w:rPr>
          <w:rFonts w:asciiTheme="majorBidi" w:hAnsiTheme="majorBidi" w:cstheme="majorBidi"/>
          <w:sz w:val="24"/>
          <w:szCs w:val="24"/>
        </w:rPr>
        <w:t>;</w:t>
      </w:r>
      <w:r w:rsidR="00006180">
        <w:rPr>
          <w:rFonts w:asciiTheme="majorBidi" w:hAnsiTheme="majorBidi" w:cstheme="majorBidi"/>
          <w:sz w:val="24"/>
          <w:szCs w:val="24"/>
        </w:rPr>
        <w:t xml:space="preserve"> this</w:t>
      </w:r>
      <w:r w:rsidR="009A7148">
        <w:rPr>
          <w:rFonts w:asciiTheme="majorBidi" w:hAnsiTheme="majorBidi" w:cstheme="majorBidi"/>
          <w:sz w:val="24"/>
          <w:szCs w:val="24"/>
        </w:rPr>
        <w:t xml:space="preserve"> sort of treatment</w:t>
      </w:r>
      <w:r w:rsidR="00F81FA6">
        <w:rPr>
          <w:rFonts w:asciiTheme="majorBidi" w:hAnsiTheme="majorBidi" w:cstheme="majorBidi"/>
          <w:sz w:val="24"/>
          <w:szCs w:val="24"/>
        </w:rPr>
        <w:t xml:space="preserve"> has</w:t>
      </w:r>
      <w:r w:rsidR="00006180">
        <w:rPr>
          <w:rFonts w:asciiTheme="majorBidi" w:hAnsiTheme="majorBidi" w:cstheme="majorBidi"/>
          <w:sz w:val="24"/>
          <w:szCs w:val="24"/>
        </w:rPr>
        <w:t xml:space="preserve"> continue</w:t>
      </w:r>
      <w:r w:rsidR="00F81FA6">
        <w:rPr>
          <w:rFonts w:asciiTheme="majorBidi" w:hAnsiTheme="majorBidi" w:cstheme="majorBidi"/>
          <w:sz w:val="24"/>
          <w:szCs w:val="24"/>
        </w:rPr>
        <w:t>d</w:t>
      </w:r>
      <w:r w:rsidR="00006180">
        <w:rPr>
          <w:rFonts w:asciiTheme="majorBidi" w:hAnsiTheme="majorBidi" w:cstheme="majorBidi"/>
          <w:sz w:val="24"/>
          <w:szCs w:val="24"/>
        </w:rPr>
        <w:t xml:space="preserve"> </w:t>
      </w:r>
      <w:r w:rsidR="0075678B">
        <w:rPr>
          <w:rFonts w:asciiTheme="majorBidi" w:hAnsiTheme="majorBidi" w:cstheme="majorBidi"/>
          <w:sz w:val="24"/>
          <w:szCs w:val="24"/>
        </w:rPr>
        <w:t>to</w:t>
      </w:r>
      <w:r w:rsidR="00006180">
        <w:rPr>
          <w:rFonts w:asciiTheme="majorBidi" w:hAnsiTheme="majorBidi" w:cstheme="majorBidi"/>
          <w:sz w:val="24"/>
          <w:szCs w:val="24"/>
        </w:rPr>
        <w:t xml:space="preserve"> our modern era</w:t>
      </w:r>
      <w:r w:rsidR="00000E2D">
        <w:rPr>
          <w:rFonts w:asciiTheme="majorBidi" w:hAnsiTheme="majorBidi" w:cstheme="majorBidi"/>
          <w:sz w:val="24"/>
          <w:szCs w:val="24"/>
        </w:rPr>
        <w:t>.</w:t>
      </w:r>
      <w:r w:rsidR="00000E2D">
        <w:rPr>
          <w:rStyle w:val="FootnoteReference"/>
          <w:rFonts w:asciiTheme="majorBidi" w:hAnsiTheme="majorBidi" w:cstheme="majorBidi"/>
          <w:sz w:val="24"/>
          <w:szCs w:val="24"/>
        </w:rPr>
        <w:footnoteReference w:id="2"/>
      </w:r>
      <w:r w:rsidR="00383D26">
        <w:rPr>
          <w:rFonts w:asciiTheme="majorBidi" w:hAnsiTheme="majorBidi" w:cstheme="majorBidi"/>
          <w:sz w:val="24"/>
          <w:szCs w:val="24"/>
        </w:rPr>
        <w:t xml:space="preserve"> </w:t>
      </w:r>
      <w:r w:rsidR="00006180">
        <w:rPr>
          <w:rFonts w:asciiTheme="majorBidi" w:hAnsiTheme="majorBidi" w:cstheme="majorBidi"/>
          <w:sz w:val="24"/>
          <w:szCs w:val="24"/>
        </w:rPr>
        <w:t>I argue that the theory of duplex not only helps</w:t>
      </w:r>
      <w:r w:rsidR="00A13999">
        <w:rPr>
          <w:rFonts w:asciiTheme="majorBidi" w:hAnsiTheme="majorBidi" w:cstheme="majorBidi"/>
          <w:sz w:val="24"/>
          <w:szCs w:val="24"/>
        </w:rPr>
        <w:t xml:space="preserve"> us</w:t>
      </w:r>
      <w:r w:rsidR="00006180">
        <w:rPr>
          <w:rFonts w:asciiTheme="majorBidi" w:hAnsiTheme="majorBidi" w:cstheme="majorBidi"/>
          <w:sz w:val="24"/>
          <w:szCs w:val="24"/>
        </w:rPr>
        <w:t xml:space="preserve"> to</w:t>
      </w:r>
      <w:r w:rsidR="00A13999">
        <w:rPr>
          <w:rFonts w:asciiTheme="majorBidi" w:hAnsiTheme="majorBidi" w:cstheme="majorBidi"/>
          <w:sz w:val="24"/>
          <w:szCs w:val="24"/>
        </w:rPr>
        <w:t xml:space="preserve"> understand and capture</w:t>
      </w:r>
      <w:r w:rsidR="00006180">
        <w:rPr>
          <w:rFonts w:asciiTheme="majorBidi" w:hAnsiTheme="majorBidi" w:cstheme="majorBidi"/>
          <w:sz w:val="24"/>
          <w:szCs w:val="24"/>
        </w:rPr>
        <w:t xml:space="preserve"> the historic and modern reality of bodily parts</w:t>
      </w:r>
      <w:r w:rsidR="00EF5CFB">
        <w:rPr>
          <w:rFonts w:asciiTheme="majorBidi" w:hAnsiTheme="majorBidi" w:cstheme="majorBidi"/>
          <w:sz w:val="24"/>
          <w:szCs w:val="24"/>
        </w:rPr>
        <w:t>,</w:t>
      </w:r>
      <w:r w:rsidR="00006180">
        <w:rPr>
          <w:rFonts w:asciiTheme="majorBidi" w:hAnsiTheme="majorBidi" w:cstheme="majorBidi"/>
          <w:sz w:val="24"/>
          <w:szCs w:val="24"/>
        </w:rPr>
        <w:t xml:space="preserve"> as</w:t>
      </w:r>
      <w:r w:rsidR="00A13999">
        <w:rPr>
          <w:rFonts w:asciiTheme="majorBidi" w:hAnsiTheme="majorBidi" w:cstheme="majorBidi"/>
          <w:sz w:val="24"/>
          <w:szCs w:val="24"/>
        </w:rPr>
        <w:t xml:space="preserve"> being</w:t>
      </w:r>
      <w:r w:rsidR="00006180">
        <w:rPr>
          <w:rFonts w:asciiTheme="majorBidi" w:hAnsiTheme="majorBidi" w:cstheme="majorBidi"/>
          <w:sz w:val="24"/>
          <w:szCs w:val="24"/>
        </w:rPr>
        <w:t xml:space="preserve"> at once</w:t>
      </w:r>
      <w:r w:rsidR="00A13999">
        <w:rPr>
          <w:rFonts w:asciiTheme="majorBidi" w:hAnsiTheme="majorBidi" w:cstheme="majorBidi"/>
          <w:sz w:val="24"/>
          <w:szCs w:val="24"/>
        </w:rPr>
        <w:t xml:space="preserve"> property and non-property; but also,</w:t>
      </w:r>
      <w:r w:rsidR="00DC59B1">
        <w:rPr>
          <w:rFonts w:asciiTheme="majorBidi" w:hAnsiTheme="majorBidi" w:cstheme="majorBidi"/>
          <w:sz w:val="24"/>
          <w:szCs w:val="24"/>
        </w:rPr>
        <w:t xml:space="preserve"> justice requires that</w:t>
      </w:r>
      <w:r w:rsidR="00A13999">
        <w:rPr>
          <w:rFonts w:asciiTheme="majorBidi" w:hAnsiTheme="majorBidi" w:cstheme="majorBidi"/>
          <w:sz w:val="24"/>
          <w:szCs w:val="24"/>
        </w:rPr>
        <w:t xml:space="preserve"> since the claims of tissue sources are currently excluded from this useful duplex on bodily parts</w:t>
      </w:r>
      <w:r w:rsidR="00B86D75">
        <w:rPr>
          <w:rFonts w:asciiTheme="majorBidi" w:hAnsiTheme="majorBidi" w:cstheme="majorBidi"/>
          <w:sz w:val="24"/>
          <w:szCs w:val="24"/>
        </w:rPr>
        <w:t>,</w:t>
      </w:r>
      <w:r w:rsidR="00A13999">
        <w:rPr>
          <w:rFonts w:asciiTheme="majorBidi" w:hAnsiTheme="majorBidi" w:cstheme="majorBidi"/>
          <w:sz w:val="24"/>
          <w:szCs w:val="24"/>
        </w:rPr>
        <w:t xml:space="preserve"> we should embark on the</w:t>
      </w:r>
      <w:r w:rsidR="00563970">
        <w:rPr>
          <w:rFonts w:asciiTheme="majorBidi" w:hAnsiTheme="majorBidi" w:cstheme="majorBidi"/>
          <w:sz w:val="24"/>
          <w:szCs w:val="24"/>
        </w:rPr>
        <w:t xml:space="preserve"> equalisation and broad </w:t>
      </w:r>
      <w:r w:rsidR="00563970" w:rsidRPr="00080614">
        <w:rPr>
          <w:rFonts w:asciiTheme="majorBidi" w:hAnsiTheme="majorBidi" w:cstheme="majorBidi"/>
          <w:i/>
          <w:iCs/>
          <w:sz w:val="24"/>
          <w:szCs w:val="24"/>
        </w:rPr>
        <w:t>normativisation</w:t>
      </w:r>
      <w:r w:rsidR="00563970">
        <w:rPr>
          <w:rFonts w:asciiTheme="majorBidi" w:hAnsiTheme="majorBidi" w:cstheme="majorBidi"/>
          <w:sz w:val="24"/>
          <w:szCs w:val="24"/>
        </w:rPr>
        <w:t xml:space="preserve"> of th</w:t>
      </w:r>
      <w:r w:rsidR="004A7E67">
        <w:rPr>
          <w:rFonts w:asciiTheme="majorBidi" w:hAnsiTheme="majorBidi" w:cstheme="majorBidi"/>
          <w:sz w:val="24"/>
          <w:szCs w:val="24"/>
        </w:rPr>
        <w:t>e</w:t>
      </w:r>
      <w:r w:rsidR="00563970">
        <w:rPr>
          <w:rFonts w:asciiTheme="majorBidi" w:hAnsiTheme="majorBidi" w:cstheme="majorBidi"/>
          <w:sz w:val="24"/>
          <w:szCs w:val="24"/>
        </w:rPr>
        <w:t xml:space="preserve"> duplex</w:t>
      </w:r>
      <w:r w:rsidR="00A13999">
        <w:rPr>
          <w:rFonts w:asciiTheme="majorBidi" w:hAnsiTheme="majorBidi" w:cstheme="majorBidi"/>
          <w:sz w:val="24"/>
          <w:szCs w:val="24"/>
        </w:rPr>
        <w:t xml:space="preserve"> in order to </w:t>
      </w:r>
      <w:r w:rsidR="00EF5CFB">
        <w:rPr>
          <w:rFonts w:asciiTheme="majorBidi" w:hAnsiTheme="majorBidi" w:cstheme="majorBidi"/>
          <w:sz w:val="24"/>
          <w:szCs w:val="24"/>
        </w:rPr>
        <w:t>embrace</w:t>
      </w:r>
      <w:r w:rsidR="003C06F7">
        <w:rPr>
          <w:rFonts w:asciiTheme="majorBidi" w:hAnsiTheme="majorBidi" w:cstheme="majorBidi"/>
          <w:sz w:val="24"/>
          <w:szCs w:val="24"/>
        </w:rPr>
        <w:t xml:space="preserve"> the proprietary claims of tissue sources.</w:t>
      </w:r>
      <w:r w:rsidR="00AF4352">
        <w:rPr>
          <w:rFonts w:asciiTheme="majorBidi" w:hAnsiTheme="majorBidi" w:cstheme="majorBidi"/>
          <w:sz w:val="24"/>
          <w:szCs w:val="24"/>
        </w:rPr>
        <w:t xml:space="preserve"> </w:t>
      </w:r>
      <w:r w:rsidR="007D0578">
        <w:rPr>
          <w:rFonts w:asciiTheme="majorBidi" w:hAnsiTheme="majorBidi" w:cstheme="majorBidi"/>
          <w:sz w:val="24"/>
          <w:szCs w:val="24"/>
        </w:rPr>
        <w:t>Simply and concisely</w:t>
      </w:r>
      <w:r w:rsidR="003C06F7">
        <w:rPr>
          <w:rFonts w:asciiTheme="majorBidi" w:hAnsiTheme="majorBidi" w:cstheme="majorBidi"/>
          <w:sz w:val="24"/>
          <w:szCs w:val="24"/>
        </w:rPr>
        <w:t xml:space="preserve"> put, I argue</w:t>
      </w:r>
      <w:r w:rsidR="00AF4352">
        <w:rPr>
          <w:rFonts w:asciiTheme="majorBidi" w:hAnsiTheme="majorBidi" w:cstheme="majorBidi"/>
          <w:sz w:val="24"/>
          <w:szCs w:val="24"/>
        </w:rPr>
        <w:t xml:space="preserve"> that bodily parts reflect a duplex; at once, they are property and no</w:t>
      </w:r>
      <w:r w:rsidR="005E55F6">
        <w:rPr>
          <w:rFonts w:asciiTheme="majorBidi" w:hAnsiTheme="majorBidi" w:cstheme="majorBidi"/>
          <w:sz w:val="24"/>
          <w:szCs w:val="24"/>
        </w:rPr>
        <w:t>n</w:t>
      </w:r>
      <w:r w:rsidR="003C06F7">
        <w:rPr>
          <w:rFonts w:asciiTheme="majorBidi" w:hAnsiTheme="majorBidi" w:cstheme="majorBidi"/>
          <w:sz w:val="24"/>
          <w:szCs w:val="24"/>
        </w:rPr>
        <w:t>-property; this sort of</w:t>
      </w:r>
      <w:r w:rsidR="00AF4352">
        <w:rPr>
          <w:rFonts w:asciiTheme="majorBidi" w:hAnsiTheme="majorBidi" w:cstheme="majorBidi"/>
          <w:sz w:val="24"/>
          <w:szCs w:val="24"/>
        </w:rPr>
        <w:t xml:space="preserve"> duplex thinking over bodily parts is both historical and entrenched,</w:t>
      </w:r>
      <w:r w:rsidR="00711396">
        <w:rPr>
          <w:rFonts w:asciiTheme="majorBidi" w:hAnsiTheme="majorBidi" w:cstheme="majorBidi"/>
          <w:sz w:val="24"/>
          <w:szCs w:val="24"/>
        </w:rPr>
        <w:t xml:space="preserve"> and it is already evident in</w:t>
      </w:r>
      <w:r w:rsidR="00C93706">
        <w:rPr>
          <w:rFonts w:asciiTheme="majorBidi" w:hAnsiTheme="majorBidi" w:cstheme="majorBidi"/>
          <w:sz w:val="24"/>
          <w:szCs w:val="24"/>
        </w:rPr>
        <w:t xml:space="preserve"> current</w:t>
      </w:r>
      <w:r w:rsidR="00711396">
        <w:rPr>
          <w:rFonts w:asciiTheme="majorBidi" w:hAnsiTheme="majorBidi" w:cstheme="majorBidi"/>
          <w:sz w:val="24"/>
          <w:szCs w:val="24"/>
        </w:rPr>
        <w:t xml:space="preserve"> legal regulation and the praxis of common law on bodily parts.</w:t>
      </w:r>
      <w:r w:rsidR="003C06F7">
        <w:rPr>
          <w:rFonts w:asciiTheme="majorBidi" w:hAnsiTheme="majorBidi" w:cstheme="majorBidi"/>
          <w:sz w:val="24"/>
          <w:szCs w:val="24"/>
        </w:rPr>
        <w:t xml:space="preserve"> To be clear,</w:t>
      </w:r>
      <w:r w:rsidR="00B31597">
        <w:rPr>
          <w:rFonts w:asciiTheme="majorBidi" w:hAnsiTheme="majorBidi" w:cstheme="majorBidi"/>
          <w:sz w:val="24"/>
          <w:szCs w:val="24"/>
        </w:rPr>
        <w:t xml:space="preserve"> therefore,</w:t>
      </w:r>
      <w:r w:rsidR="003C06F7">
        <w:rPr>
          <w:rFonts w:asciiTheme="majorBidi" w:hAnsiTheme="majorBidi" w:cstheme="majorBidi"/>
          <w:sz w:val="24"/>
          <w:szCs w:val="24"/>
        </w:rPr>
        <w:t xml:space="preserve"> I support this duplex on bodily parts, but argue that since the tissue sources</w:t>
      </w:r>
      <w:r w:rsidR="00527181">
        <w:rPr>
          <w:rFonts w:asciiTheme="majorBidi" w:hAnsiTheme="majorBidi" w:cstheme="majorBidi"/>
          <w:sz w:val="24"/>
          <w:szCs w:val="24"/>
        </w:rPr>
        <w:t>’</w:t>
      </w:r>
      <w:r w:rsidR="003C06F7">
        <w:rPr>
          <w:rFonts w:asciiTheme="majorBidi" w:hAnsiTheme="majorBidi" w:cstheme="majorBidi"/>
          <w:sz w:val="24"/>
          <w:szCs w:val="24"/>
        </w:rPr>
        <w:t xml:space="preserve"> claims are outside its current sphere of practical operation</w:t>
      </w:r>
      <w:r w:rsidR="00E2117F">
        <w:rPr>
          <w:rFonts w:asciiTheme="majorBidi" w:hAnsiTheme="majorBidi" w:cstheme="majorBidi"/>
          <w:sz w:val="24"/>
          <w:szCs w:val="24"/>
        </w:rPr>
        <w:t>, the duplex on bodily parts needs to be normatively extended to</w:t>
      </w:r>
      <w:r w:rsidR="004A7E67">
        <w:rPr>
          <w:rFonts w:asciiTheme="majorBidi" w:hAnsiTheme="majorBidi" w:cstheme="majorBidi"/>
          <w:sz w:val="24"/>
          <w:szCs w:val="24"/>
        </w:rPr>
        <w:t xml:space="preserve"> cover</w:t>
      </w:r>
      <w:r w:rsidR="00E2117F">
        <w:rPr>
          <w:rFonts w:asciiTheme="majorBidi" w:hAnsiTheme="majorBidi" w:cstheme="majorBidi"/>
          <w:sz w:val="24"/>
          <w:szCs w:val="24"/>
        </w:rPr>
        <w:t xml:space="preserve"> the proprietary claims of tissue sources.</w:t>
      </w:r>
      <w:r w:rsidR="00711396">
        <w:rPr>
          <w:rFonts w:asciiTheme="majorBidi" w:hAnsiTheme="majorBidi" w:cstheme="majorBidi"/>
          <w:sz w:val="24"/>
          <w:szCs w:val="24"/>
        </w:rPr>
        <w:t xml:space="preserve"> </w:t>
      </w:r>
      <w:r w:rsidR="00E2117F">
        <w:rPr>
          <w:rFonts w:asciiTheme="majorBidi" w:hAnsiTheme="majorBidi" w:cstheme="majorBidi"/>
          <w:sz w:val="24"/>
          <w:szCs w:val="24"/>
        </w:rPr>
        <w:t xml:space="preserve"> </w:t>
      </w:r>
    </w:p>
    <w:p w:rsidR="00BB7E21" w:rsidRDefault="00E2117F" w:rsidP="00F16308">
      <w:pPr>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7852F0">
        <w:rPr>
          <w:rFonts w:asciiTheme="majorBidi" w:hAnsiTheme="majorBidi" w:cstheme="majorBidi"/>
          <w:sz w:val="24"/>
          <w:szCs w:val="24"/>
        </w:rPr>
        <w:t>Therefore,</w:t>
      </w:r>
      <w:r w:rsidR="0044767B">
        <w:rPr>
          <w:rFonts w:asciiTheme="majorBidi" w:hAnsiTheme="majorBidi" w:cstheme="majorBidi"/>
          <w:sz w:val="24"/>
          <w:szCs w:val="24"/>
        </w:rPr>
        <w:t xml:space="preserve"> I</w:t>
      </w:r>
      <w:r w:rsidR="00AF4352">
        <w:rPr>
          <w:rFonts w:asciiTheme="majorBidi" w:hAnsiTheme="majorBidi" w:cstheme="majorBidi"/>
          <w:sz w:val="24"/>
          <w:szCs w:val="24"/>
        </w:rPr>
        <w:t xml:space="preserve"> suggest that a</w:t>
      </w:r>
      <w:r w:rsidR="0044767B">
        <w:rPr>
          <w:rFonts w:asciiTheme="majorBidi" w:hAnsiTheme="majorBidi" w:cstheme="majorBidi"/>
          <w:sz w:val="24"/>
          <w:szCs w:val="24"/>
        </w:rPr>
        <w:t xml:space="preserve"> broad</w:t>
      </w:r>
      <w:r w:rsidR="007852F0">
        <w:rPr>
          <w:rFonts w:asciiTheme="majorBidi" w:hAnsiTheme="majorBidi" w:cstheme="majorBidi"/>
          <w:sz w:val="24"/>
          <w:szCs w:val="24"/>
        </w:rPr>
        <w:t xml:space="preserve"> </w:t>
      </w:r>
      <w:r w:rsidR="007852F0" w:rsidRPr="004D281D">
        <w:rPr>
          <w:rFonts w:asciiTheme="majorBidi" w:hAnsiTheme="majorBidi" w:cstheme="majorBidi"/>
          <w:i/>
          <w:sz w:val="24"/>
          <w:szCs w:val="24"/>
        </w:rPr>
        <w:t>normativisation</w:t>
      </w:r>
      <w:r w:rsidR="007852F0">
        <w:rPr>
          <w:rFonts w:asciiTheme="majorBidi" w:hAnsiTheme="majorBidi" w:cstheme="majorBidi"/>
          <w:sz w:val="24"/>
          <w:szCs w:val="24"/>
        </w:rPr>
        <w:t xml:space="preserve"> and extension of the</w:t>
      </w:r>
      <w:r w:rsidR="00AF4352">
        <w:rPr>
          <w:rFonts w:asciiTheme="majorBidi" w:hAnsiTheme="majorBidi" w:cstheme="majorBidi"/>
          <w:sz w:val="24"/>
          <w:szCs w:val="24"/>
        </w:rPr>
        <w:t xml:space="preserve"> duplex</w:t>
      </w:r>
      <w:r w:rsidR="007852F0">
        <w:rPr>
          <w:rFonts w:asciiTheme="majorBidi" w:hAnsiTheme="majorBidi" w:cstheme="majorBidi"/>
          <w:sz w:val="24"/>
          <w:szCs w:val="24"/>
        </w:rPr>
        <w:t xml:space="preserve"> </w:t>
      </w:r>
      <w:r w:rsidR="00AF4352">
        <w:rPr>
          <w:rFonts w:asciiTheme="majorBidi" w:hAnsiTheme="majorBidi" w:cstheme="majorBidi"/>
          <w:sz w:val="24"/>
          <w:szCs w:val="24"/>
        </w:rPr>
        <w:t>o</w:t>
      </w:r>
      <w:r w:rsidR="007852F0">
        <w:rPr>
          <w:rFonts w:asciiTheme="majorBidi" w:hAnsiTheme="majorBidi" w:cstheme="majorBidi"/>
          <w:sz w:val="24"/>
          <w:szCs w:val="24"/>
        </w:rPr>
        <w:t>n</w:t>
      </w:r>
      <w:r w:rsidR="00AF4352">
        <w:rPr>
          <w:rFonts w:asciiTheme="majorBidi" w:hAnsiTheme="majorBidi" w:cstheme="majorBidi"/>
          <w:sz w:val="24"/>
          <w:szCs w:val="24"/>
        </w:rPr>
        <w:t xml:space="preserve"> bodily parts</w:t>
      </w:r>
      <w:r w:rsidR="007852F0">
        <w:rPr>
          <w:rFonts w:asciiTheme="majorBidi" w:hAnsiTheme="majorBidi" w:cstheme="majorBidi"/>
          <w:sz w:val="24"/>
          <w:szCs w:val="24"/>
        </w:rPr>
        <w:t xml:space="preserve"> to cover the proprietary claims of tissue sources</w:t>
      </w:r>
      <w:r w:rsidR="00AF4352">
        <w:rPr>
          <w:rFonts w:asciiTheme="majorBidi" w:hAnsiTheme="majorBidi" w:cstheme="majorBidi"/>
          <w:sz w:val="24"/>
          <w:szCs w:val="24"/>
        </w:rPr>
        <w:t xml:space="preserve"> would </w:t>
      </w:r>
      <w:r w:rsidR="00E972BC">
        <w:rPr>
          <w:rFonts w:asciiTheme="majorBidi" w:hAnsiTheme="majorBidi" w:cstheme="majorBidi"/>
          <w:sz w:val="24"/>
          <w:szCs w:val="24"/>
        </w:rPr>
        <w:t>challenge</w:t>
      </w:r>
      <w:r w:rsidR="0031188F">
        <w:rPr>
          <w:rFonts w:asciiTheme="majorBidi" w:hAnsiTheme="majorBidi" w:cstheme="majorBidi"/>
          <w:sz w:val="24"/>
          <w:szCs w:val="24"/>
        </w:rPr>
        <w:t xml:space="preserve"> the current </w:t>
      </w:r>
      <w:r w:rsidR="0031188F" w:rsidRPr="00BC37A6">
        <w:rPr>
          <w:rFonts w:asciiTheme="majorBidi" w:hAnsiTheme="majorBidi" w:cstheme="majorBidi"/>
          <w:i/>
          <w:iCs/>
          <w:sz w:val="24"/>
          <w:szCs w:val="24"/>
        </w:rPr>
        <w:t>exclusive</w:t>
      </w:r>
      <w:r w:rsidR="0031188F">
        <w:rPr>
          <w:rFonts w:asciiTheme="majorBidi" w:hAnsiTheme="majorBidi" w:cstheme="majorBidi"/>
          <w:sz w:val="24"/>
          <w:szCs w:val="24"/>
        </w:rPr>
        <w:t xml:space="preserve"> application of non-proprietary frameworks to claims instituted by tissue sources.</w:t>
      </w:r>
      <w:r w:rsidR="007852F0">
        <w:rPr>
          <w:rFonts w:asciiTheme="majorBidi" w:hAnsiTheme="majorBidi" w:cstheme="majorBidi"/>
          <w:sz w:val="24"/>
          <w:szCs w:val="24"/>
        </w:rPr>
        <w:t xml:space="preserve"> </w:t>
      </w:r>
      <w:r w:rsidR="00545B7C">
        <w:rPr>
          <w:rFonts w:asciiTheme="majorBidi" w:hAnsiTheme="majorBidi" w:cstheme="majorBidi"/>
          <w:sz w:val="24"/>
          <w:szCs w:val="24"/>
        </w:rPr>
        <w:t>To</w:t>
      </w:r>
      <w:r w:rsidR="00527181">
        <w:rPr>
          <w:rFonts w:asciiTheme="majorBidi" w:hAnsiTheme="majorBidi" w:cstheme="majorBidi"/>
          <w:sz w:val="24"/>
          <w:szCs w:val="24"/>
        </w:rPr>
        <w:t xml:space="preserve"> clarify</w:t>
      </w:r>
      <w:r w:rsidR="00545B7C">
        <w:rPr>
          <w:rFonts w:asciiTheme="majorBidi" w:hAnsiTheme="majorBidi" w:cstheme="majorBidi"/>
          <w:sz w:val="24"/>
          <w:szCs w:val="24"/>
        </w:rPr>
        <w:t xml:space="preserve">, </w:t>
      </w:r>
      <w:r w:rsidR="00BC37A6">
        <w:rPr>
          <w:rFonts w:asciiTheme="majorBidi" w:hAnsiTheme="majorBidi" w:cstheme="majorBidi"/>
          <w:sz w:val="24"/>
          <w:szCs w:val="24"/>
        </w:rPr>
        <w:t>as</w:t>
      </w:r>
      <w:r w:rsidR="00527181">
        <w:rPr>
          <w:rFonts w:asciiTheme="majorBidi" w:hAnsiTheme="majorBidi" w:cstheme="majorBidi"/>
          <w:sz w:val="24"/>
          <w:szCs w:val="24"/>
        </w:rPr>
        <w:t xml:space="preserve"> underscored by</w:t>
      </w:r>
      <w:r w:rsidR="00BC37A6">
        <w:rPr>
          <w:rFonts w:asciiTheme="majorBidi" w:hAnsiTheme="majorBidi" w:cstheme="majorBidi"/>
          <w:sz w:val="24"/>
          <w:szCs w:val="24"/>
        </w:rPr>
        <w:t xml:space="preserve"> the italicisation above, </w:t>
      </w:r>
      <w:r w:rsidR="00545B7C">
        <w:rPr>
          <w:rFonts w:asciiTheme="majorBidi" w:hAnsiTheme="majorBidi" w:cstheme="majorBidi"/>
          <w:sz w:val="24"/>
          <w:szCs w:val="24"/>
        </w:rPr>
        <w:t>I am not calling for an abrogation of the no-property</w:t>
      </w:r>
      <w:r w:rsidR="00BC37A6">
        <w:rPr>
          <w:rFonts w:asciiTheme="majorBidi" w:hAnsiTheme="majorBidi" w:cstheme="majorBidi"/>
          <w:sz w:val="24"/>
          <w:szCs w:val="24"/>
        </w:rPr>
        <w:t xml:space="preserve"> rule</w:t>
      </w:r>
      <w:r w:rsidR="00545B7C">
        <w:rPr>
          <w:rFonts w:asciiTheme="majorBidi" w:hAnsiTheme="majorBidi" w:cstheme="majorBidi"/>
          <w:sz w:val="24"/>
          <w:szCs w:val="24"/>
        </w:rPr>
        <w:t xml:space="preserve"> (at least not in this article)</w:t>
      </w:r>
      <w:r w:rsidR="004D0AE6">
        <w:rPr>
          <w:rFonts w:asciiTheme="majorBidi" w:hAnsiTheme="majorBidi" w:cstheme="majorBidi"/>
          <w:sz w:val="24"/>
          <w:szCs w:val="24"/>
        </w:rPr>
        <w:t>;</w:t>
      </w:r>
      <w:r w:rsidR="00545B7C">
        <w:rPr>
          <w:rFonts w:asciiTheme="majorBidi" w:hAnsiTheme="majorBidi" w:cstheme="majorBidi"/>
          <w:sz w:val="24"/>
          <w:szCs w:val="24"/>
        </w:rPr>
        <w:t xml:space="preserve"> nor</w:t>
      </w:r>
      <w:r w:rsidR="008C1C68">
        <w:rPr>
          <w:rFonts w:asciiTheme="majorBidi" w:hAnsiTheme="majorBidi" w:cstheme="majorBidi"/>
          <w:sz w:val="24"/>
          <w:szCs w:val="24"/>
        </w:rPr>
        <w:t xml:space="preserve"> am I</w:t>
      </w:r>
      <w:r w:rsidR="00545B7C">
        <w:rPr>
          <w:rFonts w:asciiTheme="majorBidi" w:hAnsiTheme="majorBidi" w:cstheme="majorBidi"/>
          <w:sz w:val="24"/>
          <w:szCs w:val="24"/>
        </w:rPr>
        <w:t xml:space="preserve"> disavowing</w:t>
      </w:r>
      <w:r w:rsidR="00446096">
        <w:rPr>
          <w:rFonts w:asciiTheme="majorBidi" w:hAnsiTheme="majorBidi" w:cstheme="majorBidi"/>
          <w:sz w:val="24"/>
          <w:szCs w:val="24"/>
        </w:rPr>
        <w:t xml:space="preserve"> the application of non-proprietary frameworks to claims of tissue sources. I simply urge that, through duplex, the no-property rule c</w:t>
      </w:r>
      <w:r w:rsidR="00BC37A6">
        <w:rPr>
          <w:rFonts w:asciiTheme="majorBidi" w:hAnsiTheme="majorBidi" w:cstheme="majorBidi"/>
          <w:sz w:val="24"/>
          <w:szCs w:val="24"/>
        </w:rPr>
        <w:t>an</w:t>
      </w:r>
      <w:r w:rsidR="00446096">
        <w:rPr>
          <w:rFonts w:asciiTheme="majorBidi" w:hAnsiTheme="majorBidi" w:cstheme="majorBidi"/>
          <w:sz w:val="24"/>
          <w:szCs w:val="24"/>
        </w:rPr>
        <w:t xml:space="preserve"> coexist usefully, albeit paradoxically, with a property rule for tissue sources.</w:t>
      </w:r>
      <w:r w:rsidR="0031188F">
        <w:rPr>
          <w:rFonts w:asciiTheme="majorBidi" w:hAnsiTheme="majorBidi" w:cstheme="majorBidi"/>
          <w:sz w:val="24"/>
          <w:szCs w:val="24"/>
        </w:rPr>
        <w:t xml:space="preserve"> </w:t>
      </w:r>
      <w:r w:rsidR="00E64315">
        <w:rPr>
          <w:rFonts w:asciiTheme="majorBidi" w:hAnsiTheme="majorBidi" w:cstheme="majorBidi"/>
          <w:sz w:val="24"/>
          <w:szCs w:val="24"/>
        </w:rPr>
        <w:t>Ability to see and conceptualise</w:t>
      </w:r>
      <w:r w:rsidR="0031188F">
        <w:rPr>
          <w:rFonts w:asciiTheme="majorBidi" w:hAnsiTheme="majorBidi" w:cstheme="majorBidi"/>
          <w:sz w:val="24"/>
          <w:szCs w:val="24"/>
        </w:rPr>
        <w:t xml:space="preserve"> bodily parts as </w:t>
      </w:r>
      <w:r w:rsidR="0031188F" w:rsidRPr="00C83432">
        <w:rPr>
          <w:rFonts w:asciiTheme="majorBidi" w:hAnsiTheme="majorBidi" w:cstheme="majorBidi"/>
          <w:i/>
          <w:iCs/>
          <w:sz w:val="24"/>
          <w:szCs w:val="24"/>
        </w:rPr>
        <w:t>also</w:t>
      </w:r>
      <w:r w:rsidR="0031188F">
        <w:rPr>
          <w:rFonts w:asciiTheme="majorBidi" w:hAnsiTheme="majorBidi" w:cstheme="majorBidi"/>
          <w:sz w:val="24"/>
          <w:szCs w:val="24"/>
        </w:rPr>
        <w:t xml:space="preserve"> property by virtue of their duplex might promote the proprietary remedification of claims</w:t>
      </w:r>
      <w:r w:rsidR="00C83432">
        <w:rPr>
          <w:rFonts w:asciiTheme="majorBidi" w:hAnsiTheme="majorBidi" w:cstheme="majorBidi"/>
          <w:sz w:val="24"/>
          <w:szCs w:val="24"/>
        </w:rPr>
        <w:t xml:space="preserve"> </w:t>
      </w:r>
      <w:r w:rsidR="00327920">
        <w:rPr>
          <w:rFonts w:asciiTheme="majorBidi" w:hAnsiTheme="majorBidi" w:cstheme="majorBidi"/>
          <w:sz w:val="24"/>
          <w:szCs w:val="24"/>
        </w:rPr>
        <w:t xml:space="preserve">brought </w:t>
      </w:r>
      <w:r w:rsidR="0031188F">
        <w:rPr>
          <w:rFonts w:asciiTheme="majorBidi" w:hAnsiTheme="majorBidi" w:cstheme="majorBidi"/>
          <w:sz w:val="24"/>
          <w:szCs w:val="24"/>
        </w:rPr>
        <w:t>by tissue sources.</w:t>
      </w:r>
      <w:r w:rsidR="0044767B">
        <w:rPr>
          <w:rFonts w:asciiTheme="majorBidi" w:hAnsiTheme="majorBidi" w:cstheme="majorBidi"/>
          <w:sz w:val="24"/>
          <w:szCs w:val="24"/>
        </w:rPr>
        <w:t xml:space="preserve"> </w:t>
      </w:r>
      <w:r w:rsidR="00E64315">
        <w:rPr>
          <w:rFonts w:asciiTheme="majorBidi" w:hAnsiTheme="majorBidi" w:cstheme="majorBidi"/>
          <w:sz w:val="24"/>
          <w:szCs w:val="24"/>
        </w:rPr>
        <w:t xml:space="preserve">Below, I proceed by </w:t>
      </w:r>
      <w:r w:rsidR="003300A8">
        <w:rPr>
          <w:rFonts w:asciiTheme="majorBidi" w:hAnsiTheme="majorBidi" w:cstheme="majorBidi"/>
          <w:sz w:val="24"/>
          <w:szCs w:val="24"/>
        </w:rPr>
        <w:t>examining</w:t>
      </w:r>
      <w:r w:rsidR="00E64315">
        <w:rPr>
          <w:rFonts w:asciiTheme="majorBidi" w:hAnsiTheme="majorBidi" w:cstheme="majorBidi"/>
          <w:sz w:val="24"/>
          <w:szCs w:val="24"/>
        </w:rPr>
        <w:t xml:space="preserve"> the value of bodily parts both diachronically and synchronically, and then</w:t>
      </w:r>
      <w:r w:rsidR="00C83432">
        <w:rPr>
          <w:rFonts w:asciiTheme="majorBidi" w:hAnsiTheme="majorBidi" w:cstheme="majorBidi"/>
          <w:sz w:val="24"/>
          <w:szCs w:val="24"/>
        </w:rPr>
        <w:t>,</w:t>
      </w:r>
      <w:r w:rsidR="003300A8">
        <w:rPr>
          <w:rFonts w:asciiTheme="majorBidi" w:hAnsiTheme="majorBidi" w:cstheme="majorBidi"/>
          <w:sz w:val="24"/>
          <w:szCs w:val="24"/>
        </w:rPr>
        <w:t xml:space="preserve"> I</w:t>
      </w:r>
      <w:r w:rsidR="00E64315">
        <w:rPr>
          <w:rFonts w:asciiTheme="majorBidi" w:hAnsiTheme="majorBidi" w:cstheme="majorBidi"/>
          <w:sz w:val="24"/>
          <w:szCs w:val="24"/>
        </w:rPr>
        <w:t xml:space="preserve"> </w:t>
      </w:r>
      <w:r w:rsidR="003300A8">
        <w:rPr>
          <w:rFonts w:asciiTheme="majorBidi" w:hAnsiTheme="majorBidi" w:cstheme="majorBidi"/>
          <w:sz w:val="24"/>
          <w:szCs w:val="24"/>
        </w:rPr>
        <w:t>highlight</w:t>
      </w:r>
      <w:r w:rsidR="00E64315">
        <w:rPr>
          <w:rFonts w:asciiTheme="majorBidi" w:hAnsiTheme="majorBidi" w:cstheme="majorBidi"/>
          <w:sz w:val="24"/>
          <w:szCs w:val="24"/>
        </w:rPr>
        <w:t xml:space="preserve"> the regulatory challenges posed by the multif</w:t>
      </w:r>
      <w:r w:rsidR="003300A8">
        <w:rPr>
          <w:rFonts w:asciiTheme="majorBidi" w:hAnsiTheme="majorBidi" w:cstheme="majorBidi"/>
          <w:sz w:val="24"/>
          <w:szCs w:val="24"/>
        </w:rPr>
        <w:t>a</w:t>
      </w:r>
      <w:r w:rsidR="00E64315">
        <w:rPr>
          <w:rFonts w:asciiTheme="majorBidi" w:hAnsiTheme="majorBidi" w:cstheme="majorBidi"/>
          <w:sz w:val="24"/>
          <w:szCs w:val="24"/>
        </w:rPr>
        <w:t>r</w:t>
      </w:r>
      <w:r w:rsidR="003300A8">
        <w:rPr>
          <w:rFonts w:asciiTheme="majorBidi" w:hAnsiTheme="majorBidi" w:cstheme="majorBidi"/>
          <w:sz w:val="24"/>
          <w:szCs w:val="24"/>
        </w:rPr>
        <w:t>i</w:t>
      </w:r>
      <w:r w:rsidR="00E64315">
        <w:rPr>
          <w:rFonts w:asciiTheme="majorBidi" w:hAnsiTheme="majorBidi" w:cstheme="majorBidi"/>
          <w:sz w:val="24"/>
          <w:szCs w:val="24"/>
        </w:rPr>
        <w:t>ous values inherent in bodily parts</w:t>
      </w:r>
      <w:r w:rsidR="003300A8">
        <w:rPr>
          <w:rFonts w:asciiTheme="majorBidi" w:hAnsiTheme="majorBidi" w:cstheme="majorBidi"/>
          <w:sz w:val="24"/>
          <w:szCs w:val="24"/>
        </w:rPr>
        <w:t>. In the following two sections, I respectively examine the challenges of regulating bodily parts under the non-</w:t>
      </w:r>
      <w:r w:rsidR="003300A8">
        <w:rPr>
          <w:rFonts w:asciiTheme="majorBidi" w:hAnsiTheme="majorBidi" w:cstheme="majorBidi"/>
          <w:sz w:val="24"/>
          <w:szCs w:val="24"/>
        </w:rPr>
        <w:lastRenderedPageBreak/>
        <w:t>proprietary frameworks of private law and</w:t>
      </w:r>
      <w:r w:rsidR="00CF66B7">
        <w:rPr>
          <w:rFonts w:asciiTheme="majorBidi" w:hAnsiTheme="majorBidi" w:cstheme="majorBidi"/>
          <w:sz w:val="24"/>
          <w:szCs w:val="24"/>
        </w:rPr>
        <w:t xml:space="preserve"> the</w:t>
      </w:r>
      <w:r w:rsidR="003300A8">
        <w:rPr>
          <w:rFonts w:asciiTheme="majorBidi" w:hAnsiTheme="majorBidi" w:cstheme="majorBidi"/>
          <w:sz w:val="24"/>
          <w:szCs w:val="24"/>
        </w:rPr>
        <w:t xml:space="preserve"> criminal law</w:t>
      </w:r>
      <w:r w:rsidR="006275E1">
        <w:rPr>
          <w:rFonts w:asciiTheme="majorBidi" w:hAnsiTheme="majorBidi" w:cstheme="majorBidi"/>
          <w:sz w:val="24"/>
          <w:szCs w:val="24"/>
        </w:rPr>
        <w:t>,</w:t>
      </w:r>
      <w:r w:rsidR="00CD2677">
        <w:rPr>
          <w:rFonts w:asciiTheme="majorBidi" w:hAnsiTheme="majorBidi" w:cstheme="majorBidi"/>
          <w:sz w:val="24"/>
          <w:szCs w:val="24"/>
        </w:rPr>
        <w:t xml:space="preserve"> and highlight the difference a duplex perspective might make</w:t>
      </w:r>
      <w:r w:rsidR="003300A8">
        <w:rPr>
          <w:rFonts w:asciiTheme="majorBidi" w:hAnsiTheme="majorBidi" w:cstheme="majorBidi"/>
          <w:sz w:val="24"/>
          <w:szCs w:val="24"/>
        </w:rPr>
        <w:t>. In the last section,</w:t>
      </w:r>
      <w:r w:rsidR="00CF66B7">
        <w:rPr>
          <w:rFonts w:asciiTheme="majorBidi" w:hAnsiTheme="majorBidi" w:cstheme="majorBidi"/>
          <w:sz w:val="24"/>
          <w:szCs w:val="24"/>
        </w:rPr>
        <w:t xml:space="preserve"> I call for a return to the private law solution</w:t>
      </w:r>
      <w:r w:rsidR="00481031">
        <w:rPr>
          <w:rFonts w:asciiTheme="majorBidi" w:hAnsiTheme="majorBidi" w:cstheme="majorBidi"/>
          <w:sz w:val="24"/>
          <w:szCs w:val="24"/>
        </w:rPr>
        <w:t xml:space="preserve"> based on the paradoxical mix of proprietary and non-proprietary frameworks.</w:t>
      </w:r>
      <w:r w:rsidR="003300A8">
        <w:rPr>
          <w:rFonts w:asciiTheme="majorBidi" w:hAnsiTheme="majorBidi" w:cstheme="majorBidi"/>
          <w:sz w:val="24"/>
          <w:szCs w:val="24"/>
        </w:rPr>
        <w:t xml:space="preserve"> I project the theory of duplex as a potentially helpful tool </w:t>
      </w:r>
      <w:r w:rsidR="00CF66B7">
        <w:rPr>
          <w:rFonts w:asciiTheme="majorBidi" w:hAnsiTheme="majorBidi" w:cstheme="majorBidi"/>
          <w:sz w:val="24"/>
          <w:szCs w:val="24"/>
        </w:rPr>
        <w:t>for the</w:t>
      </w:r>
      <w:r w:rsidR="003300A8">
        <w:rPr>
          <w:rFonts w:asciiTheme="majorBidi" w:hAnsiTheme="majorBidi" w:cstheme="majorBidi"/>
          <w:sz w:val="24"/>
          <w:szCs w:val="24"/>
        </w:rPr>
        <w:t xml:space="preserve"> legal regulation </w:t>
      </w:r>
      <w:r w:rsidR="00CF66B7">
        <w:rPr>
          <w:rFonts w:asciiTheme="majorBidi" w:hAnsiTheme="majorBidi" w:cstheme="majorBidi"/>
          <w:sz w:val="24"/>
          <w:szCs w:val="24"/>
        </w:rPr>
        <w:t>of</w:t>
      </w:r>
      <w:r w:rsidR="003300A8">
        <w:rPr>
          <w:rFonts w:asciiTheme="majorBidi" w:hAnsiTheme="majorBidi" w:cstheme="majorBidi"/>
          <w:sz w:val="24"/>
          <w:szCs w:val="24"/>
        </w:rPr>
        <w:t xml:space="preserve"> bodily parts, in the sense of</w:t>
      </w:r>
      <w:r w:rsidR="00CF66B7">
        <w:rPr>
          <w:rFonts w:asciiTheme="majorBidi" w:hAnsiTheme="majorBidi" w:cstheme="majorBidi"/>
          <w:sz w:val="24"/>
          <w:szCs w:val="24"/>
        </w:rPr>
        <w:t xml:space="preserve"> its ability to</w:t>
      </w:r>
      <w:r w:rsidR="003300A8">
        <w:rPr>
          <w:rFonts w:asciiTheme="majorBidi" w:hAnsiTheme="majorBidi" w:cstheme="majorBidi"/>
          <w:sz w:val="24"/>
          <w:szCs w:val="24"/>
        </w:rPr>
        <w:t xml:space="preserve"> facilitat</w:t>
      </w:r>
      <w:r w:rsidR="00CF66B7">
        <w:rPr>
          <w:rFonts w:asciiTheme="majorBidi" w:hAnsiTheme="majorBidi" w:cstheme="majorBidi"/>
          <w:sz w:val="24"/>
          <w:szCs w:val="24"/>
        </w:rPr>
        <w:t>e and promote</w:t>
      </w:r>
      <w:r w:rsidR="00F16308">
        <w:rPr>
          <w:rFonts w:asciiTheme="majorBidi" w:hAnsiTheme="majorBidi" w:cstheme="majorBidi"/>
          <w:sz w:val="24"/>
          <w:szCs w:val="24"/>
        </w:rPr>
        <w:t xml:space="preserve"> both p</w:t>
      </w:r>
      <w:r w:rsidR="003300A8">
        <w:rPr>
          <w:rFonts w:asciiTheme="majorBidi" w:hAnsiTheme="majorBidi" w:cstheme="majorBidi"/>
          <w:sz w:val="24"/>
          <w:szCs w:val="24"/>
        </w:rPr>
        <w:t>roprietary</w:t>
      </w:r>
      <w:r w:rsidR="00F16308">
        <w:rPr>
          <w:rFonts w:asciiTheme="majorBidi" w:hAnsiTheme="majorBidi" w:cstheme="majorBidi"/>
          <w:sz w:val="24"/>
          <w:szCs w:val="24"/>
        </w:rPr>
        <w:t xml:space="preserve"> and</w:t>
      </w:r>
      <w:r w:rsidR="004C68A8">
        <w:rPr>
          <w:rFonts w:asciiTheme="majorBidi" w:hAnsiTheme="majorBidi" w:cstheme="majorBidi"/>
          <w:sz w:val="24"/>
          <w:szCs w:val="24"/>
        </w:rPr>
        <w:t xml:space="preserve"> non-proprietary</w:t>
      </w:r>
      <w:r w:rsidR="003300A8">
        <w:rPr>
          <w:rFonts w:asciiTheme="majorBidi" w:hAnsiTheme="majorBidi" w:cstheme="majorBidi"/>
          <w:sz w:val="24"/>
          <w:szCs w:val="24"/>
        </w:rPr>
        <w:t xml:space="preserve"> thinking over bodily</w:t>
      </w:r>
      <w:r w:rsidR="00AF7B89">
        <w:rPr>
          <w:rFonts w:asciiTheme="majorBidi" w:hAnsiTheme="majorBidi" w:cstheme="majorBidi"/>
          <w:sz w:val="24"/>
          <w:szCs w:val="24"/>
        </w:rPr>
        <w:t xml:space="preserve"> </w:t>
      </w:r>
      <w:r w:rsidR="003300A8">
        <w:rPr>
          <w:rFonts w:asciiTheme="majorBidi" w:hAnsiTheme="majorBidi" w:cstheme="majorBidi"/>
          <w:sz w:val="24"/>
          <w:szCs w:val="24"/>
        </w:rPr>
        <w:t>parts</w:t>
      </w:r>
      <w:r w:rsidR="004C68A8">
        <w:rPr>
          <w:rFonts w:asciiTheme="majorBidi" w:hAnsiTheme="majorBidi" w:cstheme="majorBidi"/>
          <w:sz w:val="24"/>
          <w:szCs w:val="24"/>
        </w:rPr>
        <w:t>.</w:t>
      </w:r>
      <w:r w:rsidR="00AF4352">
        <w:rPr>
          <w:rFonts w:asciiTheme="majorBidi" w:hAnsiTheme="majorBidi" w:cstheme="majorBidi"/>
          <w:sz w:val="24"/>
          <w:szCs w:val="24"/>
        </w:rPr>
        <w:t xml:space="preserve"> </w:t>
      </w:r>
      <w:r w:rsidR="00B9026E">
        <w:rPr>
          <w:rFonts w:asciiTheme="majorBidi" w:hAnsiTheme="majorBidi" w:cstheme="majorBidi"/>
          <w:sz w:val="24"/>
          <w:szCs w:val="24"/>
        </w:rPr>
        <w:t xml:space="preserve"> </w:t>
      </w:r>
    </w:p>
    <w:p w:rsidR="009A4636" w:rsidRDefault="009A4636" w:rsidP="006B4182">
      <w:pPr>
        <w:jc w:val="both"/>
        <w:rPr>
          <w:rFonts w:asciiTheme="majorBidi" w:hAnsiTheme="majorBidi" w:cstheme="majorBidi"/>
          <w:sz w:val="24"/>
          <w:szCs w:val="24"/>
        </w:rPr>
      </w:pPr>
    </w:p>
    <w:p w:rsidR="00E756A2" w:rsidRDefault="00BB7E21" w:rsidP="00CD46C6">
      <w:pPr>
        <w:pStyle w:val="ListParagraph"/>
        <w:numPr>
          <w:ilvl w:val="0"/>
          <w:numId w:val="2"/>
        </w:numPr>
        <w:jc w:val="center"/>
        <w:rPr>
          <w:rFonts w:asciiTheme="majorBidi" w:hAnsiTheme="majorBidi" w:cstheme="majorBidi"/>
          <w:bCs/>
        </w:rPr>
      </w:pPr>
      <w:r w:rsidRPr="00CD46C6">
        <w:rPr>
          <w:rFonts w:asciiTheme="majorBidi" w:hAnsiTheme="majorBidi" w:cstheme="majorBidi"/>
          <w:bCs/>
        </w:rPr>
        <w:t>T</w:t>
      </w:r>
      <w:r w:rsidR="00C43034" w:rsidRPr="00CD46C6">
        <w:rPr>
          <w:rFonts w:asciiTheme="majorBidi" w:hAnsiTheme="majorBidi" w:cstheme="majorBidi"/>
          <w:bCs/>
        </w:rPr>
        <w:t>ECHNICITY</w:t>
      </w:r>
      <w:r w:rsidRPr="00CD46C6">
        <w:rPr>
          <w:rFonts w:asciiTheme="majorBidi" w:hAnsiTheme="majorBidi" w:cstheme="majorBidi"/>
          <w:bCs/>
        </w:rPr>
        <w:t>, B</w:t>
      </w:r>
      <w:r w:rsidR="00C43034" w:rsidRPr="00CD46C6">
        <w:rPr>
          <w:rFonts w:asciiTheme="majorBidi" w:hAnsiTheme="majorBidi" w:cstheme="majorBidi"/>
          <w:bCs/>
        </w:rPr>
        <w:t>IOVALUE</w:t>
      </w:r>
      <w:r w:rsidRPr="00CD46C6">
        <w:rPr>
          <w:rFonts w:asciiTheme="majorBidi" w:hAnsiTheme="majorBidi" w:cstheme="majorBidi"/>
          <w:bCs/>
        </w:rPr>
        <w:t xml:space="preserve"> </w:t>
      </w:r>
      <w:r w:rsidR="00C43034" w:rsidRPr="00CD46C6">
        <w:rPr>
          <w:rFonts w:asciiTheme="majorBidi" w:hAnsiTheme="majorBidi" w:cstheme="majorBidi"/>
          <w:bCs/>
        </w:rPr>
        <w:t>AND THE</w:t>
      </w:r>
      <w:r w:rsidRPr="00CD46C6">
        <w:rPr>
          <w:rFonts w:asciiTheme="majorBidi" w:hAnsiTheme="majorBidi" w:cstheme="majorBidi"/>
          <w:bCs/>
        </w:rPr>
        <w:t xml:space="preserve"> P</w:t>
      </w:r>
      <w:r w:rsidR="00C43034" w:rsidRPr="00CD46C6">
        <w:rPr>
          <w:rFonts w:asciiTheme="majorBidi" w:hAnsiTheme="majorBidi" w:cstheme="majorBidi"/>
          <w:bCs/>
        </w:rPr>
        <w:t xml:space="preserve">ROBLEM OF </w:t>
      </w:r>
      <w:r w:rsidRPr="00CD46C6">
        <w:rPr>
          <w:rFonts w:asciiTheme="majorBidi" w:hAnsiTheme="majorBidi" w:cstheme="majorBidi"/>
          <w:bCs/>
        </w:rPr>
        <w:t>R</w:t>
      </w:r>
      <w:r w:rsidR="00C43034" w:rsidRPr="00CD46C6">
        <w:rPr>
          <w:rFonts w:asciiTheme="majorBidi" w:hAnsiTheme="majorBidi" w:cstheme="majorBidi"/>
          <w:bCs/>
        </w:rPr>
        <w:t>EGULATION</w:t>
      </w:r>
    </w:p>
    <w:p w:rsidR="00CD46C6" w:rsidRPr="00CD46C6" w:rsidRDefault="00CD46C6" w:rsidP="00CD46C6">
      <w:pPr>
        <w:pStyle w:val="ListParagraph"/>
        <w:rPr>
          <w:rFonts w:asciiTheme="majorBidi" w:hAnsiTheme="majorBidi" w:cstheme="majorBidi"/>
          <w:bCs/>
        </w:rPr>
      </w:pPr>
    </w:p>
    <w:p w:rsidR="006A193C" w:rsidRDefault="007E0CFF" w:rsidP="00644DCD">
      <w:pPr>
        <w:jc w:val="both"/>
        <w:rPr>
          <w:rFonts w:asciiTheme="majorBidi" w:hAnsiTheme="majorBidi" w:cstheme="majorBidi"/>
          <w:sz w:val="24"/>
          <w:szCs w:val="24"/>
        </w:rPr>
      </w:pPr>
      <w:r w:rsidRPr="007E0CFF">
        <w:rPr>
          <w:rFonts w:asciiTheme="majorBidi" w:hAnsiTheme="majorBidi" w:cstheme="majorBidi"/>
          <w:i/>
          <w:iCs/>
          <w:sz w:val="24"/>
          <w:szCs w:val="24"/>
        </w:rPr>
        <w:t>Biovalue</w:t>
      </w:r>
      <w:r w:rsidR="00C43034">
        <w:rPr>
          <w:rFonts w:asciiTheme="majorBidi" w:hAnsiTheme="majorBidi" w:cstheme="majorBidi"/>
          <w:sz w:val="24"/>
          <w:szCs w:val="24"/>
        </w:rPr>
        <w:t xml:space="preserve"> is a </w:t>
      </w:r>
      <w:r w:rsidR="00D43AEB">
        <w:rPr>
          <w:rFonts w:asciiTheme="majorBidi" w:hAnsiTheme="majorBidi" w:cstheme="majorBidi"/>
          <w:sz w:val="24"/>
          <w:szCs w:val="24"/>
        </w:rPr>
        <w:t>neologism</w:t>
      </w:r>
      <w:r>
        <w:rPr>
          <w:rFonts w:asciiTheme="majorBidi" w:hAnsiTheme="majorBidi" w:cstheme="majorBidi"/>
          <w:sz w:val="24"/>
          <w:szCs w:val="24"/>
        </w:rPr>
        <w:t xml:space="preserve"> developed by Waldby and Mitchell to capture the</w:t>
      </w:r>
      <w:r w:rsidR="00441C3B">
        <w:rPr>
          <w:rFonts w:asciiTheme="majorBidi" w:hAnsiTheme="majorBidi" w:cstheme="majorBidi"/>
          <w:sz w:val="24"/>
          <w:szCs w:val="24"/>
        </w:rPr>
        <w:t xml:space="preserve"> productivity and maximisation of</w:t>
      </w:r>
      <w:r>
        <w:rPr>
          <w:rFonts w:asciiTheme="majorBidi" w:hAnsiTheme="majorBidi" w:cstheme="majorBidi"/>
          <w:sz w:val="24"/>
          <w:szCs w:val="24"/>
        </w:rPr>
        <w:t xml:space="preserve"> value</w:t>
      </w:r>
      <w:r w:rsidR="00441C3B">
        <w:rPr>
          <w:rFonts w:asciiTheme="majorBidi" w:hAnsiTheme="majorBidi" w:cstheme="majorBidi"/>
          <w:sz w:val="24"/>
          <w:szCs w:val="24"/>
        </w:rPr>
        <w:t>s</w:t>
      </w:r>
      <w:r w:rsidR="001A3309">
        <w:rPr>
          <w:rFonts w:asciiTheme="majorBidi" w:hAnsiTheme="majorBidi" w:cstheme="majorBidi"/>
          <w:sz w:val="24"/>
          <w:szCs w:val="24"/>
        </w:rPr>
        <w:t xml:space="preserve"> </w:t>
      </w:r>
      <w:r>
        <w:rPr>
          <w:rFonts w:asciiTheme="majorBidi" w:hAnsiTheme="majorBidi" w:cstheme="majorBidi"/>
          <w:sz w:val="24"/>
          <w:szCs w:val="24"/>
        </w:rPr>
        <w:t>inhere</w:t>
      </w:r>
      <w:r w:rsidR="00CF165E">
        <w:rPr>
          <w:rFonts w:asciiTheme="majorBidi" w:hAnsiTheme="majorBidi" w:cstheme="majorBidi"/>
          <w:sz w:val="24"/>
          <w:szCs w:val="24"/>
        </w:rPr>
        <w:t>nt</w:t>
      </w:r>
      <w:r>
        <w:rPr>
          <w:rFonts w:asciiTheme="majorBidi" w:hAnsiTheme="majorBidi" w:cstheme="majorBidi"/>
          <w:sz w:val="24"/>
          <w:szCs w:val="24"/>
        </w:rPr>
        <w:t xml:space="preserve"> in</w:t>
      </w:r>
      <w:r w:rsidR="00CF165E">
        <w:rPr>
          <w:rFonts w:asciiTheme="majorBidi" w:hAnsiTheme="majorBidi" w:cstheme="majorBidi"/>
          <w:sz w:val="24"/>
          <w:szCs w:val="24"/>
        </w:rPr>
        <w:t xml:space="preserve"> the</w:t>
      </w:r>
      <w:r w:rsidR="007930E1">
        <w:rPr>
          <w:rFonts w:asciiTheme="majorBidi" w:hAnsiTheme="majorBidi" w:cstheme="majorBidi"/>
          <w:sz w:val="24"/>
          <w:szCs w:val="24"/>
        </w:rPr>
        <w:t xml:space="preserve"> </w:t>
      </w:r>
      <w:r>
        <w:rPr>
          <w:rFonts w:asciiTheme="majorBidi" w:hAnsiTheme="majorBidi" w:cstheme="majorBidi"/>
          <w:sz w:val="24"/>
          <w:szCs w:val="24"/>
        </w:rPr>
        <w:t>tissues and parts</w:t>
      </w:r>
      <w:r w:rsidR="007930E1">
        <w:rPr>
          <w:rFonts w:asciiTheme="majorBidi" w:hAnsiTheme="majorBidi" w:cstheme="majorBidi"/>
          <w:sz w:val="24"/>
          <w:szCs w:val="24"/>
        </w:rPr>
        <w:t xml:space="preserve"> of</w:t>
      </w:r>
      <w:r w:rsidR="001A3309">
        <w:rPr>
          <w:rFonts w:asciiTheme="majorBidi" w:hAnsiTheme="majorBidi" w:cstheme="majorBidi"/>
          <w:sz w:val="24"/>
          <w:szCs w:val="24"/>
        </w:rPr>
        <w:t xml:space="preserve"> a</w:t>
      </w:r>
      <w:r w:rsidR="007930E1">
        <w:rPr>
          <w:rFonts w:asciiTheme="majorBidi" w:hAnsiTheme="majorBidi" w:cstheme="majorBidi"/>
          <w:sz w:val="24"/>
          <w:szCs w:val="24"/>
        </w:rPr>
        <w:t xml:space="preserve"> human body;</w:t>
      </w:r>
      <w:r w:rsidR="007930E1" w:rsidRPr="007930E1">
        <w:rPr>
          <w:rStyle w:val="FootnoteReference"/>
          <w:rFonts w:asciiTheme="majorBidi" w:hAnsiTheme="majorBidi" w:cstheme="majorBidi"/>
          <w:sz w:val="24"/>
          <w:szCs w:val="24"/>
        </w:rPr>
        <w:t xml:space="preserve"> </w:t>
      </w:r>
      <w:r w:rsidR="007930E1">
        <w:rPr>
          <w:rStyle w:val="FootnoteReference"/>
          <w:rFonts w:asciiTheme="majorBidi" w:hAnsiTheme="majorBidi" w:cstheme="majorBidi"/>
          <w:sz w:val="24"/>
          <w:szCs w:val="24"/>
        </w:rPr>
        <w:footnoteReference w:id="3"/>
      </w:r>
      <w:r w:rsidR="007930E1">
        <w:rPr>
          <w:rFonts w:asciiTheme="majorBidi" w:hAnsiTheme="majorBidi" w:cstheme="majorBidi"/>
          <w:sz w:val="24"/>
          <w:szCs w:val="24"/>
        </w:rPr>
        <w:t xml:space="preserve"> that is, </w:t>
      </w:r>
      <w:r w:rsidR="001A3309">
        <w:rPr>
          <w:rFonts w:asciiTheme="majorBidi" w:hAnsiTheme="majorBidi" w:cstheme="majorBidi"/>
          <w:sz w:val="24"/>
          <w:szCs w:val="24"/>
        </w:rPr>
        <w:t>the</w:t>
      </w:r>
      <w:r w:rsidR="007930E1">
        <w:rPr>
          <w:rFonts w:asciiTheme="majorBidi" w:hAnsiTheme="majorBidi" w:cstheme="majorBidi"/>
          <w:sz w:val="24"/>
          <w:szCs w:val="24"/>
        </w:rPr>
        <w:t xml:space="preserve"> ‘surplus of in vitro vitality’ produced through a biotechnological process identified as </w:t>
      </w:r>
      <w:r w:rsidR="007930E1" w:rsidRPr="007930E1">
        <w:rPr>
          <w:rFonts w:asciiTheme="majorBidi" w:hAnsiTheme="majorBidi" w:cstheme="majorBidi"/>
          <w:i/>
          <w:iCs/>
          <w:sz w:val="24"/>
          <w:szCs w:val="24"/>
        </w:rPr>
        <w:t>technicity</w:t>
      </w:r>
      <w:r w:rsidR="007930E1">
        <w:rPr>
          <w:rFonts w:asciiTheme="majorBidi" w:hAnsiTheme="majorBidi" w:cstheme="majorBidi"/>
          <w:sz w:val="24"/>
          <w:szCs w:val="24"/>
        </w:rPr>
        <w:t>.</w:t>
      </w:r>
      <w:r w:rsidR="007930E1">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r w:rsidR="00D856B3">
        <w:rPr>
          <w:rFonts w:asciiTheme="majorBidi" w:hAnsiTheme="majorBidi" w:cstheme="majorBidi"/>
          <w:i/>
          <w:iCs/>
          <w:sz w:val="24"/>
          <w:szCs w:val="24"/>
        </w:rPr>
        <w:t>B</w:t>
      </w:r>
      <w:r w:rsidR="001A3309" w:rsidRPr="001A3309">
        <w:rPr>
          <w:rFonts w:asciiTheme="majorBidi" w:hAnsiTheme="majorBidi" w:cstheme="majorBidi"/>
          <w:i/>
          <w:iCs/>
          <w:sz w:val="24"/>
          <w:szCs w:val="24"/>
        </w:rPr>
        <w:t>iovalue</w:t>
      </w:r>
      <w:r w:rsidR="008B13AC">
        <w:rPr>
          <w:rFonts w:asciiTheme="majorBidi" w:hAnsiTheme="majorBidi" w:cstheme="majorBidi"/>
          <w:sz w:val="24"/>
          <w:szCs w:val="24"/>
        </w:rPr>
        <w:t xml:space="preserve"> is</w:t>
      </w:r>
      <w:r w:rsidR="00D856B3">
        <w:rPr>
          <w:rFonts w:asciiTheme="majorBidi" w:hAnsiTheme="majorBidi" w:cstheme="majorBidi"/>
          <w:sz w:val="24"/>
          <w:szCs w:val="24"/>
        </w:rPr>
        <w:t>, in essence,</w:t>
      </w:r>
      <w:r w:rsidR="008B13AC">
        <w:rPr>
          <w:rFonts w:asciiTheme="majorBidi" w:hAnsiTheme="majorBidi" w:cstheme="majorBidi"/>
          <w:sz w:val="24"/>
          <w:szCs w:val="24"/>
        </w:rPr>
        <w:t xml:space="preserve"> the</w:t>
      </w:r>
      <w:r w:rsidR="007930E1">
        <w:rPr>
          <w:rFonts w:asciiTheme="majorBidi" w:hAnsiTheme="majorBidi" w:cstheme="majorBidi"/>
          <w:sz w:val="24"/>
          <w:szCs w:val="24"/>
        </w:rPr>
        <w:t xml:space="preserve"> potentiation and</w:t>
      </w:r>
      <w:r w:rsidR="008B13AC">
        <w:rPr>
          <w:rFonts w:asciiTheme="majorBidi" w:hAnsiTheme="majorBidi" w:cstheme="majorBidi"/>
          <w:sz w:val="24"/>
          <w:szCs w:val="24"/>
        </w:rPr>
        <w:t xml:space="preserve"> amplification of the biological materials of the human body for</w:t>
      </w:r>
      <w:r>
        <w:rPr>
          <w:rFonts w:asciiTheme="majorBidi" w:hAnsiTheme="majorBidi" w:cstheme="majorBidi"/>
          <w:sz w:val="24"/>
          <w:szCs w:val="24"/>
        </w:rPr>
        <w:t xml:space="preserve"> therapeutic, social or scientific </w:t>
      </w:r>
      <w:r w:rsidR="008B13AC">
        <w:rPr>
          <w:rFonts w:asciiTheme="majorBidi" w:hAnsiTheme="majorBidi" w:cstheme="majorBidi"/>
          <w:sz w:val="24"/>
          <w:szCs w:val="24"/>
        </w:rPr>
        <w:t>end</w:t>
      </w:r>
      <w:r w:rsidR="00FC44C2">
        <w:rPr>
          <w:rFonts w:asciiTheme="majorBidi" w:hAnsiTheme="majorBidi" w:cstheme="majorBidi"/>
          <w:sz w:val="24"/>
          <w:szCs w:val="24"/>
        </w:rPr>
        <w:t>s.</w:t>
      </w:r>
      <w:r>
        <w:rPr>
          <w:rStyle w:val="FootnoteReference"/>
          <w:rFonts w:asciiTheme="majorBidi" w:hAnsiTheme="majorBidi" w:cstheme="majorBidi"/>
          <w:sz w:val="24"/>
          <w:szCs w:val="24"/>
        </w:rPr>
        <w:footnoteReference w:id="5"/>
      </w:r>
      <w:r w:rsidR="00FC44C2">
        <w:rPr>
          <w:rFonts w:asciiTheme="majorBidi" w:hAnsiTheme="majorBidi" w:cstheme="majorBidi"/>
          <w:sz w:val="24"/>
          <w:szCs w:val="24"/>
        </w:rPr>
        <w:t xml:space="preserve"> While</w:t>
      </w:r>
      <w:r>
        <w:rPr>
          <w:rFonts w:asciiTheme="majorBidi" w:hAnsiTheme="majorBidi" w:cstheme="majorBidi"/>
          <w:sz w:val="24"/>
          <w:szCs w:val="24"/>
        </w:rPr>
        <w:t xml:space="preserve"> </w:t>
      </w:r>
      <w:r w:rsidR="001A3309">
        <w:rPr>
          <w:rFonts w:asciiTheme="majorBidi" w:hAnsiTheme="majorBidi" w:cstheme="majorBidi"/>
          <w:sz w:val="24"/>
          <w:szCs w:val="24"/>
        </w:rPr>
        <w:t>t</w:t>
      </w:r>
      <w:r>
        <w:rPr>
          <w:rFonts w:asciiTheme="majorBidi" w:hAnsiTheme="majorBidi" w:cstheme="majorBidi"/>
          <w:sz w:val="24"/>
          <w:szCs w:val="24"/>
        </w:rPr>
        <w:t>he</w:t>
      </w:r>
      <w:r w:rsidR="00745845">
        <w:rPr>
          <w:rFonts w:asciiTheme="majorBidi" w:hAnsiTheme="majorBidi" w:cstheme="majorBidi"/>
          <w:sz w:val="24"/>
          <w:szCs w:val="24"/>
        </w:rPr>
        <w:t xml:space="preserve">re is </w:t>
      </w:r>
      <w:r w:rsidR="009F55DC">
        <w:rPr>
          <w:rFonts w:asciiTheme="majorBidi" w:hAnsiTheme="majorBidi" w:cstheme="majorBidi"/>
          <w:sz w:val="24"/>
          <w:szCs w:val="24"/>
        </w:rPr>
        <w:t>some support</w:t>
      </w:r>
      <w:r w:rsidR="00745845">
        <w:rPr>
          <w:rFonts w:asciiTheme="majorBidi" w:hAnsiTheme="majorBidi" w:cstheme="majorBidi"/>
          <w:sz w:val="24"/>
          <w:szCs w:val="24"/>
        </w:rPr>
        <w:t xml:space="preserve"> for th</w:t>
      </w:r>
      <w:r w:rsidR="00B74155">
        <w:rPr>
          <w:rFonts w:asciiTheme="majorBidi" w:hAnsiTheme="majorBidi" w:cstheme="majorBidi"/>
          <w:sz w:val="24"/>
          <w:szCs w:val="24"/>
        </w:rPr>
        <w:t>at</w:t>
      </w:r>
      <w:r w:rsidR="008B13AC">
        <w:rPr>
          <w:rFonts w:asciiTheme="majorBidi" w:hAnsiTheme="majorBidi" w:cstheme="majorBidi"/>
          <w:sz w:val="24"/>
          <w:szCs w:val="24"/>
        </w:rPr>
        <w:t xml:space="preserve"> </w:t>
      </w:r>
      <w:r w:rsidR="001A3309">
        <w:rPr>
          <w:rFonts w:asciiTheme="majorBidi" w:hAnsiTheme="majorBidi" w:cstheme="majorBidi"/>
          <w:sz w:val="24"/>
          <w:szCs w:val="24"/>
        </w:rPr>
        <w:t>locution</w:t>
      </w:r>
      <w:r w:rsidR="005D620E">
        <w:rPr>
          <w:rFonts w:asciiTheme="majorBidi" w:hAnsiTheme="majorBidi" w:cstheme="majorBidi"/>
          <w:sz w:val="24"/>
          <w:szCs w:val="24"/>
        </w:rPr>
        <w:t xml:space="preserve"> in</w:t>
      </w:r>
      <w:r w:rsidR="00FC44C2">
        <w:rPr>
          <w:rFonts w:asciiTheme="majorBidi" w:hAnsiTheme="majorBidi" w:cstheme="majorBidi"/>
          <w:sz w:val="24"/>
          <w:szCs w:val="24"/>
        </w:rPr>
        <w:t xml:space="preserve"> the current</w:t>
      </w:r>
      <w:r w:rsidR="005D620E">
        <w:rPr>
          <w:rFonts w:asciiTheme="majorBidi" w:hAnsiTheme="majorBidi" w:cstheme="majorBidi"/>
          <w:sz w:val="24"/>
          <w:szCs w:val="24"/>
        </w:rPr>
        <w:t xml:space="preserve"> medico-legal literature</w:t>
      </w:r>
      <w:r w:rsidR="00FC44C2">
        <w:rPr>
          <w:rFonts w:asciiTheme="majorBidi" w:hAnsiTheme="majorBidi" w:cstheme="majorBidi"/>
          <w:sz w:val="24"/>
          <w:szCs w:val="24"/>
        </w:rPr>
        <w:t>,</w:t>
      </w:r>
      <w:r w:rsidR="00453EF1">
        <w:rPr>
          <w:rStyle w:val="FootnoteReference"/>
          <w:rFonts w:asciiTheme="majorBidi" w:hAnsiTheme="majorBidi" w:cstheme="majorBidi"/>
          <w:sz w:val="24"/>
          <w:szCs w:val="24"/>
        </w:rPr>
        <w:footnoteReference w:id="6"/>
      </w:r>
      <w:r w:rsidR="00DB1F35" w:rsidRPr="00FC44C2">
        <w:rPr>
          <w:rFonts w:asciiTheme="majorBidi" w:hAnsiTheme="majorBidi" w:cstheme="majorBidi"/>
          <w:i/>
          <w:iCs/>
          <w:sz w:val="24"/>
          <w:szCs w:val="24"/>
        </w:rPr>
        <w:t xml:space="preserve"> </w:t>
      </w:r>
      <w:r w:rsidR="00FC44C2" w:rsidRPr="00FC44C2">
        <w:rPr>
          <w:rFonts w:asciiTheme="majorBidi" w:hAnsiTheme="majorBidi" w:cstheme="majorBidi"/>
          <w:i/>
          <w:iCs/>
          <w:sz w:val="24"/>
          <w:szCs w:val="24"/>
        </w:rPr>
        <w:t>b</w:t>
      </w:r>
      <w:r w:rsidR="00DB1F35" w:rsidRPr="00DB1F35">
        <w:rPr>
          <w:rFonts w:asciiTheme="majorBidi" w:hAnsiTheme="majorBidi" w:cstheme="majorBidi"/>
          <w:i/>
          <w:iCs/>
          <w:sz w:val="24"/>
          <w:szCs w:val="24"/>
        </w:rPr>
        <w:t>iovalue</w:t>
      </w:r>
      <w:r w:rsidR="00DB1F35">
        <w:rPr>
          <w:rFonts w:asciiTheme="majorBidi" w:hAnsiTheme="majorBidi" w:cstheme="majorBidi"/>
          <w:sz w:val="24"/>
          <w:szCs w:val="24"/>
        </w:rPr>
        <w:t xml:space="preserve"> is not</w:t>
      </w:r>
      <w:r w:rsidR="00FC44C2">
        <w:rPr>
          <w:rFonts w:asciiTheme="majorBidi" w:hAnsiTheme="majorBidi" w:cstheme="majorBidi"/>
          <w:sz w:val="24"/>
          <w:szCs w:val="24"/>
        </w:rPr>
        <w:t xml:space="preserve"> necessarily</w:t>
      </w:r>
      <w:r w:rsidR="00DB1F35">
        <w:rPr>
          <w:rFonts w:asciiTheme="majorBidi" w:hAnsiTheme="majorBidi" w:cstheme="majorBidi"/>
          <w:sz w:val="24"/>
          <w:szCs w:val="24"/>
        </w:rPr>
        <w:t xml:space="preserve"> ah</w:t>
      </w:r>
      <w:r w:rsidR="00194223">
        <w:rPr>
          <w:rFonts w:asciiTheme="majorBidi" w:hAnsiTheme="majorBidi" w:cstheme="majorBidi"/>
          <w:sz w:val="24"/>
          <w:szCs w:val="24"/>
        </w:rPr>
        <w:t>istorical</w:t>
      </w:r>
      <w:r w:rsidR="00DB1F35">
        <w:rPr>
          <w:rFonts w:asciiTheme="majorBidi" w:hAnsiTheme="majorBidi" w:cstheme="majorBidi"/>
          <w:sz w:val="24"/>
          <w:szCs w:val="24"/>
        </w:rPr>
        <w:t xml:space="preserve">; </w:t>
      </w:r>
      <w:r w:rsidR="00437A9E">
        <w:rPr>
          <w:rFonts w:asciiTheme="majorBidi" w:hAnsiTheme="majorBidi" w:cstheme="majorBidi"/>
          <w:sz w:val="24"/>
          <w:szCs w:val="24"/>
        </w:rPr>
        <w:t>belief in the therapeutic potentials of the human body</w:t>
      </w:r>
      <w:r w:rsidR="00F95293">
        <w:rPr>
          <w:rFonts w:asciiTheme="majorBidi" w:hAnsiTheme="majorBidi" w:cstheme="majorBidi"/>
          <w:sz w:val="24"/>
          <w:szCs w:val="24"/>
        </w:rPr>
        <w:t xml:space="preserve"> </w:t>
      </w:r>
      <w:r w:rsidR="002667BC">
        <w:rPr>
          <w:rFonts w:asciiTheme="majorBidi" w:hAnsiTheme="majorBidi" w:cstheme="majorBidi"/>
          <w:sz w:val="24"/>
          <w:szCs w:val="24"/>
        </w:rPr>
        <w:t>runs</w:t>
      </w:r>
      <w:r w:rsidR="00437A9E">
        <w:rPr>
          <w:rFonts w:asciiTheme="majorBidi" w:hAnsiTheme="majorBidi" w:cstheme="majorBidi"/>
          <w:sz w:val="24"/>
          <w:szCs w:val="24"/>
        </w:rPr>
        <w:t xml:space="preserve"> across</w:t>
      </w:r>
      <w:r w:rsidR="00F95293">
        <w:rPr>
          <w:rFonts w:asciiTheme="majorBidi" w:hAnsiTheme="majorBidi" w:cstheme="majorBidi"/>
          <w:sz w:val="24"/>
          <w:szCs w:val="24"/>
        </w:rPr>
        <w:t xml:space="preserve"> </w:t>
      </w:r>
      <w:r w:rsidR="00437A9E">
        <w:rPr>
          <w:rFonts w:asciiTheme="majorBidi" w:hAnsiTheme="majorBidi" w:cstheme="majorBidi"/>
          <w:sz w:val="24"/>
          <w:szCs w:val="24"/>
        </w:rPr>
        <w:t>societies and ages. Both</w:t>
      </w:r>
      <w:r w:rsidR="005650DE">
        <w:rPr>
          <w:rFonts w:asciiTheme="majorBidi" w:hAnsiTheme="majorBidi" w:cstheme="majorBidi"/>
          <w:sz w:val="24"/>
          <w:szCs w:val="24"/>
        </w:rPr>
        <w:t xml:space="preserve"> medieval</w:t>
      </w:r>
      <w:r w:rsidR="00194223">
        <w:rPr>
          <w:rFonts w:asciiTheme="majorBidi" w:hAnsiTheme="majorBidi" w:cstheme="majorBidi"/>
          <w:sz w:val="24"/>
          <w:szCs w:val="24"/>
        </w:rPr>
        <w:t xml:space="preserve"> and post-medieval societies</w:t>
      </w:r>
      <w:r w:rsidR="00437A9E">
        <w:rPr>
          <w:rFonts w:asciiTheme="majorBidi" w:hAnsiTheme="majorBidi" w:cstheme="majorBidi"/>
          <w:sz w:val="24"/>
          <w:szCs w:val="24"/>
        </w:rPr>
        <w:t xml:space="preserve"> valorised </w:t>
      </w:r>
      <w:r w:rsidR="005E1BDF">
        <w:rPr>
          <w:rFonts w:asciiTheme="majorBidi" w:hAnsiTheme="majorBidi" w:cstheme="majorBidi"/>
          <w:sz w:val="24"/>
          <w:szCs w:val="24"/>
        </w:rPr>
        <w:t>and deployed bod</w:t>
      </w:r>
      <w:r w:rsidR="00CF165E">
        <w:rPr>
          <w:rFonts w:asciiTheme="majorBidi" w:hAnsiTheme="majorBidi" w:cstheme="majorBidi"/>
          <w:sz w:val="24"/>
          <w:szCs w:val="24"/>
        </w:rPr>
        <w:t>il</w:t>
      </w:r>
      <w:r w:rsidR="005E1BDF">
        <w:rPr>
          <w:rFonts w:asciiTheme="majorBidi" w:hAnsiTheme="majorBidi" w:cstheme="majorBidi"/>
          <w:sz w:val="24"/>
          <w:szCs w:val="24"/>
        </w:rPr>
        <w:t>y parts in</w:t>
      </w:r>
      <w:r w:rsidR="00DB1F35">
        <w:rPr>
          <w:rFonts w:asciiTheme="majorBidi" w:hAnsiTheme="majorBidi" w:cstheme="majorBidi"/>
          <w:sz w:val="24"/>
          <w:szCs w:val="24"/>
        </w:rPr>
        <w:t xml:space="preserve"> the art of healing</w:t>
      </w:r>
      <w:r w:rsidR="005E1BDF">
        <w:rPr>
          <w:rFonts w:asciiTheme="majorBidi" w:hAnsiTheme="majorBidi" w:cstheme="majorBidi"/>
          <w:sz w:val="24"/>
          <w:szCs w:val="24"/>
        </w:rPr>
        <w:t>.</w:t>
      </w:r>
      <w:r w:rsidR="005650DE">
        <w:rPr>
          <w:rStyle w:val="FootnoteReference"/>
          <w:rFonts w:asciiTheme="majorBidi" w:hAnsiTheme="majorBidi" w:cstheme="majorBidi"/>
          <w:sz w:val="24"/>
          <w:szCs w:val="24"/>
        </w:rPr>
        <w:footnoteReference w:id="7"/>
      </w:r>
      <w:r w:rsidR="008640F4">
        <w:rPr>
          <w:rFonts w:asciiTheme="majorBidi" w:hAnsiTheme="majorBidi" w:cstheme="majorBidi"/>
          <w:sz w:val="24"/>
          <w:szCs w:val="24"/>
        </w:rPr>
        <w:t xml:space="preserve"> </w:t>
      </w:r>
      <w:r w:rsidR="00B12E6F">
        <w:rPr>
          <w:rFonts w:asciiTheme="majorBidi" w:hAnsiTheme="majorBidi" w:cstheme="majorBidi"/>
          <w:sz w:val="24"/>
          <w:szCs w:val="24"/>
        </w:rPr>
        <w:t>One of such bodily-parts-based therapies is m</w:t>
      </w:r>
      <w:r w:rsidR="008640F4">
        <w:rPr>
          <w:rFonts w:asciiTheme="majorBidi" w:hAnsiTheme="majorBidi" w:cstheme="majorBidi"/>
          <w:sz w:val="24"/>
          <w:szCs w:val="24"/>
        </w:rPr>
        <w:t>edicinal cannibalism</w:t>
      </w:r>
      <w:r w:rsidR="00B12E6F">
        <w:rPr>
          <w:rFonts w:asciiTheme="majorBidi" w:hAnsiTheme="majorBidi" w:cstheme="majorBidi"/>
          <w:sz w:val="24"/>
          <w:szCs w:val="24"/>
        </w:rPr>
        <w:t>, which</w:t>
      </w:r>
      <w:r w:rsidR="008640F4">
        <w:rPr>
          <w:rFonts w:asciiTheme="majorBidi" w:hAnsiTheme="majorBidi" w:cstheme="majorBidi"/>
          <w:sz w:val="24"/>
          <w:szCs w:val="24"/>
        </w:rPr>
        <w:t xml:space="preserve"> was practised</w:t>
      </w:r>
      <w:r w:rsidR="005E1BDF">
        <w:rPr>
          <w:rFonts w:asciiTheme="majorBidi" w:hAnsiTheme="majorBidi" w:cstheme="majorBidi"/>
          <w:sz w:val="24"/>
          <w:szCs w:val="24"/>
        </w:rPr>
        <w:t xml:space="preserve"> extensively</w:t>
      </w:r>
      <w:r w:rsidR="008640F4">
        <w:rPr>
          <w:rFonts w:asciiTheme="majorBidi" w:hAnsiTheme="majorBidi" w:cstheme="majorBidi"/>
          <w:sz w:val="24"/>
          <w:szCs w:val="24"/>
        </w:rPr>
        <w:t xml:space="preserve"> in</w:t>
      </w:r>
      <w:r w:rsidR="005E1BDF">
        <w:rPr>
          <w:rFonts w:asciiTheme="majorBidi" w:hAnsiTheme="majorBidi" w:cstheme="majorBidi"/>
          <w:sz w:val="24"/>
          <w:szCs w:val="24"/>
        </w:rPr>
        <w:t xml:space="preserve"> all</w:t>
      </w:r>
      <w:r w:rsidR="008640F4">
        <w:rPr>
          <w:rFonts w:asciiTheme="majorBidi" w:hAnsiTheme="majorBidi" w:cstheme="majorBidi"/>
          <w:sz w:val="24"/>
          <w:szCs w:val="24"/>
        </w:rPr>
        <w:t xml:space="preserve"> parts of Europe in the </w:t>
      </w:r>
      <w:r w:rsidR="00CF165E">
        <w:rPr>
          <w:rFonts w:asciiTheme="majorBidi" w:hAnsiTheme="majorBidi" w:cstheme="majorBidi"/>
          <w:sz w:val="24"/>
          <w:szCs w:val="24"/>
        </w:rPr>
        <w:t>middle a</w:t>
      </w:r>
      <w:r w:rsidR="008640F4">
        <w:rPr>
          <w:rFonts w:asciiTheme="majorBidi" w:hAnsiTheme="majorBidi" w:cstheme="majorBidi"/>
          <w:sz w:val="24"/>
          <w:szCs w:val="24"/>
        </w:rPr>
        <w:t>ges up to the eighteenth century.</w:t>
      </w:r>
      <w:r w:rsidR="005E1BDF">
        <w:rPr>
          <w:rStyle w:val="FootnoteReference"/>
          <w:rFonts w:asciiTheme="majorBidi" w:hAnsiTheme="majorBidi" w:cstheme="majorBidi"/>
          <w:sz w:val="24"/>
          <w:szCs w:val="24"/>
        </w:rPr>
        <w:footnoteReference w:id="8"/>
      </w:r>
      <w:r w:rsidR="008640F4">
        <w:rPr>
          <w:rFonts w:asciiTheme="majorBidi" w:hAnsiTheme="majorBidi" w:cstheme="majorBidi"/>
          <w:sz w:val="24"/>
          <w:szCs w:val="24"/>
        </w:rPr>
        <w:t xml:space="preserve"> It</w:t>
      </w:r>
      <w:r w:rsidR="00B12E6F">
        <w:rPr>
          <w:rFonts w:asciiTheme="majorBidi" w:hAnsiTheme="majorBidi" w:cstheme="majorBidi"/>
          <w:sz w:val="24"/>
          <w:szCs w:val="24"/>
        </w:rPr>
        <w:t xml:space="preserve"> involved the ingestion of medicinally prepared bodily parts known as</w:t>
      </w:r>
      <w:r w:rsidR="005E1BDF">
        <w:rPr>
          <w:rFonts w:asciiTheme="majorBidi" w:hAnsiTheme="majorBidi" w:cstheme="majorBidi"/>
          <w:sz w:val="24"/>
          <w:szCs w:val="24"/>
        </w:rPr>
        <w:t xml:space="preserve"> </w:t>
      </w:r>
      <w:r w:rsidR="005E1BDF" w:rsidRPr="005E1BDF">
        <w:rPr>
          <w:rFonts w:asciiTheme="majorBidi" w:hAnsiTheme="majorBidi" w:cstheme="majorBidi"/>
          <w:i/>
          <w:iCs/>
          <w:sz w:val="24"/>
          <w:szCs w:val="24"/>
        </w:rPr>
        <w:t>mumia</w:t>
      </w:r>
      <w:r w:rsidR="005E1BDF">
        <w:rPr>
          <w:rFonts w:asciiTheme="majorBidi" w:hAnsiTheme="majorBidi" w:cstheme="majorBidi"/>
          <w:sz w:val="24"/>
          <w:szCs w:val="24"/>
        </w:rPr>
        <w:t xml:space="preserve"> or </w:t>
      </w:r>
      <w:r w:rsidR="005E1BDF" w:rsidRPr="005E1BDF">
        <w:rPr>
          <w:rFonts w:asciiTheme="majorBidi" w:hAnsiTheme="majorBidi" w:cstheme="majorBidi"/>
          <w:i/>
          <w:iCs/>
          <w:sz w:val="24"/>
          <w:szCs w:val="24"/>
        </w:rPr>
        <w:t>mummy</w:t>
      </w:r>
      <w:r w:rsidR="005E1BDF">
        <w:rPr>
          <w:rFonts w:asciiTheme="majorBidi" w:hAnsiTheme="majorBidi" w:cstheme="majorBidi"/>
          <w:sz w:val="24"/>
          <w:szCs w:val="24"/>
        </w:rPr>
        <w:t>, ‘a medicinal preparation of the remains of an embalmed, dried, or otherwise “prepared” human body that had ideally met with sudden, preferably violent death’.</w:t>
      </w:r>
      <w:r w:rsidR="005E1BDF">
        <w:rPr>
          <w:rStyle w:val="FootnoteReference"/>
          <w:rFonts w:asciiTheme="majorBidi" w:hAnsiTheme="majorBidi" w:cstheme="majorBidi"/>
          <w:sz w:val="24"/>
          <w:szCs w:val="24"/>
        </w:rPr>
        <w:footnoteReference w:id="9"/>
      </w:r>
      <w:r w:rsidR="005E1BDF">
        <w:rPr>
          <w:rFonts w:asciiTheme="majorBidi" w:hAnsiTheme="majorBidi" w:cstheme="majorBidi"/>
          <w:sz w:val="24"/>
          <w:szCs w:val="24"/>
        </w:rPr>
        <w:t xml:space="preserve"> </w:t>
      </w:r>
      <w:r w:rsidR="005E1BDF" w:rsidRPr="00CF165E">
        <w:rPr>
          <w:rFonts w:asciiTheme="majorBidi" w:hAnsiTheme="majorBidi" w:cstheme="majorBidi"/>
          <w:sz w:val="24"/>
          <w:szCs w:val="24"/>
        </w:rPr>
        <w:t>Mumia</w:t>
      </w:r>
      <w:r w:rsidR="000E56D1" w:rsidRPr="00CF165E">
        <w:rPr>
          <w:rFonts w:asciiTheme="majorBidi" w:hAnsiTheme="majorBidi" w:cstheme="majorBidi"/>
          <w:sz w:val="24"/>
          <w:szCs w:val="24"/>
        </w:rPr>
        <w:t xml:space="preserve"> </w:t>
      </w:r>
      <w:r w:rsidR="000E56D1">
        <w:rPr>
          <w:rFonts w:asciiTheme="majorBidi" w:hAnsiTheme="majorBidi" w:cstheme="majorBidi"/>
          <w:sz w:val="24"/>
          <w:szCs w:val="24"/>
        </w:rPr>
        <w:t>was</w:t>
      </w:r>
      <w:r w:rsidR="00ED3A20">
        <w:rPr>
          <w:rFonts w:asciiTheme="majorBidi" w:hAnsiTheme="majorBidi" w:cstheme="majorBidi"/>
          <w:sz w:val="24"/>
          <w:szCs w:val="24"/>
        </w:rPr>
        <w:t xml:space="preserve"> the</w:t>
      </w:r>
      <w:r w:rsidR="000E56D1">
        <w:rPr>
          <w:rFonts w:asciiTheme="majorBidi" w:hAnsiTheme="majorBidi" w:cstheme="majorBidi"/>
          <w:sz w:val="24"/>
          <w:szCs w:val="24"/>
        </w:rPr>
        <w:t xml:space="preserve"> treatment</w:t>
      </w:r>
      <w:r w:rsidR="00096B9D">
        <w:rPr>
          <w:rFonts w:asciiTheme="majorBidi" w:hAnsiTheme="majorBidi" w:cstheme="majorBidi"/>
          <w:sz w:val="24"/>
          <w:szCs w:val="24"/>
        </w:rPr>
        <w:t xml:space="preserve"> </w:t>
      </w:r>
      <w:r w:rsidR="00ED3A20">
        <w:rPr>
          <w:rFonts w:asciiTheme="majorBidi" w:hAnsiTheme="majorBidi" w:cstheme="majorBidi"/>
          <w:sz w:val="24"/>
          <w:szCs w:val="24"/>
        </w:rPr>
        <w:t xml:space="preserve">of choice </w:t>
      </w:r>
      <w:r w:rsidR="00096B9D">
        <w:rPr>
          <w:rFonts w:asciiTheme="majorBidi" w:hAnsiTheme="majorBidi" w:cstheme="majorBidi"/>
          <w:sz w:val="24"/>
          <w:szCs w:val="24"/>
        </w:rPr>
        <w:t>for several</w:t>
      </w:r>
      <w:r w:rsidR="008640F4">
        <w:rPr>
          <w:rFonts w:asciiTheme="majorBidi" w:hAnsiTheme="majorBidi" w:cstheme="majorBidi"/>
          <w:sz w:val="24"/>
          <w:szCs w:val="24"/>
        </w:rPr>
        <w:t xml:space="preserve"> ailments.</w:t>
      </w:r>
      <w:r w:rsidR="00A201ED">
        <w:rPr>
          <w:rStyle w:val="FootnoteReference"/>
          <w:rFonts w:asciiTheme="majorBidi" w:hAnsiTheme="majorBidi" w:cstheme="majorBidi"/>
          <w:sz w:val="24"/>
          <w:szCs w:val="24"/>
        </w:rPr>
        <w:footnoteReference w:id="10"/>
      </w:r>
      <w:r w:rsidR="008640F4">
        <w:rPr>
          <w:rFonts w:asciiTheme="majorBidi" w:hAnsiTheme="majorBidi" w:cstheme="majorBidi"/>
          <w:sz w:val="24"/>
          <w:szCs w:val="24"/>
        </w:rPr>
        <w:t xml:space="preserve"> </w:t>
      </w:r>
      <w:r w:rsidR="000E56D1">
        <w:rPr>
          <w:rFonts w:asciiTheme="majorBidi" w:hAnsiTheme="majorBidi" w:cstheme="majorBidi"/>
          <w:sz w:val="24"/>
          <w:szCs w:val="24"/>
        </w:rPr>
        <w:t>Similarly, blood drunk</w:t>
      </w:r>
      <w:r w:rsidR="00096B9D">
        <w:rPr>
          <w:rFonts w:asciiTheme="majorBidi" w:hAnsiTheme="majorBidi" w:cstheme="majorBidi"/>
          <w:sz w:val="24"/>
          <w:szCs w:val="24"/>
        </w:rPr>
        <w:t xml:space="preserve"> fresh and warm from the body of a decapitated criminal still </w:t>
      </w:r>
      <w:r w:rsidR="000E56D1">
        <w:rPr>
          <w:rFonts w:asciiTheme="majorBidi" w:hAnsiTheme="majorBidi" w:cstheme="majorBidi"/>
          <w:sz w:val="24"/>
          <w:szCs w:val="24"/>
        </w:rPr>
        <w:t>qui</w:t>
      </w:r>
      <w:r w:rsidR="00096B9D">
        <w:rPr>
          <w:rFonts w:asciiTheme="majorBidi" w:hAnsiTheme="majorBidi" w:cstheme="majorBidi"/>
          <w:sz w:val="24"/>
          <w:szCs w:val="24"/>
        </w:rPr>
        <w:t>vering on the</w:t>
      </w:r>
      <w:r w:rsidR="00A201ED">
        <w:rPr>
          <w:rFonts w:asciiTheme="majorBidi" w:hAnsiTheme="majorBidi" w:cstheme="majorBidi"/>
          <w:sz w:val="24"/>
          <w:szCs w:val="24"/>
        </w:rPr>
        <w:t xml:space="preserve"> execution</w:t>
      </w:r>
      <w:r w:rsidR="00096B9D">
        <w:rPr>
          <w:rFonts w:asciiTheme="majorBidi" w:hAnsiTheme="majorBidi" w:cstheme="majorBidi"/>
          <w:sz w:val="24"/>
          <w:szCs w:val="24"/>
        </w:rPr>
        <w:t xml:space="preserve"> ground was believed to be</w:t>
      </w:r>
      <w:r w:rsidR="000E56D1">
        <w:rPr>
          <w:rFonts w:asciiTheme="majorBidi" w:hAnsiTheme="majorBidi" w:cstheme="majorBidi"/>
          <w:sz w:val="24"/>
          <w:szCs w:val="24"/>
        </w:rPr>
        <w:t xml:space="preserve"> a</w:t>
      </w:r>
      <w:r w:rsidR="00096B9D">
        <w:rPr>
          <w:rFonts w:asciiTheme="majorBidi" w:hAnsiTheme="majorBidi" w:cstheme="majorBidi"/>
          <w:sz w:val="24"/>
          <w:szCs w:val="24"/>
        </w:rPr>
        <w:t xml:space="preserve"> potent treatment for epilep</w:t>
      </w:r>
      <w:r w:rsidR="000E56D1">
        <w:rPr>
          <w:rFonts w:asciiTheme="majorBidi" w:hAnsiTheme="majorBidi" w:cstheme="majorBidi"/>
          <w:sz w:val="24"/>
          <w:szCs w:val="24"/>
        </w:rPr>
        <w:t>sy</w:t>
      </w:r>
      <w:r w:rsidR="00B12E6F">
        <w:rPr>
          <w:rFonts w:asciiTheme="majorBidi" w:hAnsiTheme="majorBidi" w:cstheme="majorBidi"/>
          <w:sz w:val="24"/>
          <w:szCs w:val="24"/>
        </w:rPr>
        <w:t>;</w:t>
      </w:r>
      <w:r w:rsidR="00B870DE">
        <w:rPr>
          <w:rStyle w:val="FootnoteReference"/>
          <w:rFonts w:asciiTheme="majorBidi" w:hAnsiTheme="majorBidi" w:cstheme="majorBidi"/>
          <w:sz w:val="24"/>
          <w:szCs w:val="24"/>
        </w:rPr>
        <w:footnoteReference w:id="11"/>
      </w:r>
      <w:r w:rsidR="000E56D1">
        <w:rPr>
          <w:rFonts w:asciiTheme="majorBidi" w:hAnsiTheme="majorBidi" w:cstheme="majorBidi"/>
          <w:sz w:val="24"/>
          <w:szCs w:val="24"/>
        </w:rPr>
        <w:t xml:space="preserve"> </w:t>
      </w:r>
      <w:r w:rsidR="00B12E6F">
        <w:rPr>
          <w:rFonts w:asciiTheme="majorBidi" w:hAnsiTheme="majorBidi" w:cstheme="majorBidi"/>
          <w:sz w:val="24"/>
          <w:szCs w:val="24"/>
        </w:rPr>
        <w:t>this</w:t>
      </w:r>
      <w:r w:rsidR="000E56D1">
        <w:rPr>
          <w:rFonts w:asciiTheme="majorBidi" w:hAnsiTheme="majorBidi" w:cstheme="majorBidi"/>
          <w:sz w:val="24"/>
          <w:szCs w:val="24"/>
        </w:rPr>
        <w:t xml:space="preserve"> </w:t>
      </w:r>
      <w:r w:rsidR="00A201ED">
        <w:rPr>
          <w:rFonts w:asciiTheme="majorBidi" w:hAnsiTheme="majorBidi" w:cstheme="majorBidi"/>
          <w:sz w:val="24"/>
          <w:szCs w:val="24"/>
        </w:rPr>
        <w:t>resonates with</w:t>
      </w:r>
      <w:r w:rsidR="000E56D1">
        <w:rPr>
          <w:rFonts w:asciiTheme="majorBidi" w:hAnsiTheme="majorBidi" w:cstheme="majorBidi"/>
          <w:sz w:val="24"/>
          <w:szCs w:val="24"/>
        </w:rPr>
        <w:t xml:space="preserve"> the sucking of warm blood directly from the wounds of gladiators in the Roman era.</w:t>
      </w:r>
      <w:r w:rsidR="000E56D1">
        <w:rPr>
          <w:rStyle w:val="FootnoteReference"/>
          <w:rFonts w:asciiTheme="majorBidi" w:hAnsiTheme="majorBidi" w:cstheme="majorBidi"/>
          <w:sz w:val="24"/>
          <w:szCs w:val="24"/>
        </w:rPr>
        <w:footnoteReference w:id="12"/>
      </w:r>
      <w:r w:rsidR="00ED3A20">
        <w:rPr>
          <w:rFonts w:asciiTheme="majorBidi" w:hAnsiTheme="majorBidi" w:cstheme="majorBidi"/>
          <w:sz w:val="24"/>
          <w:szCs w:val="24"/>
        </w:rPr>
        <w:t xml:space="preserve"> Epileptics</w:t>
      </w:r>
      <w:r w:rsidR="00096B9D">
        <w:rPr>
          <w:rFonts w:asciiTheme="majorBidi" w:hAnsiTheme="majorBidi" w:cstheme="majorBidi"/>
          <w:sz w:val="24"/>
          <w:szCs w:val="24"/>
        </w:rPr>
        <w:t xml:space="preserve"> were known</w:t>
      </w:r>
      <w:r w:rsidR="0029792B">
        <w:rPr>
          <w:rFonts w:asciiTheme="majorBidi" w:hAnsiTheme="majorBidi" w:cstheme="majorBidi"/>
          <w:sz w:val="24"/>
          <w:szCs w:val="24"/>
        </w:rPr>
        <w:t xml:space="preserve"> to line up</w:t>
      </w:r>
      <w:r w:rsidR="00ED3A20">
        <w:rPr>
          <w:rFonts w:asciiTheme="majorBidi" w:hAnsiTheme="majorBidi" w:cstheme="majorBidi"/>
          <w:sz w:val="24"/>
          <w:szCs w:val="24"/>
        </w:rPr>
        <w:t xml:space="preserve"> beside the scaffold</w:t>
      </w:r>
      <w:r w:rsidR="00DF61D3">
        <w:rPr>
          <w:rFonts w:asciiTheme="majorBidi" w:hAnsiTheme="majorBidi" w:cstheme="majorBidi"/>
          <w:sz w:val="24"/>
          <w:szCs w:val="24"/>
        </w:rPr>
        <w:t xml:space="preserve"> waiting anxiously </w:t>
      </w:r>
      <w:r w:rsidR="0029792B">
        <w:rPr>
          <w:rFonts w:asciiTheme="majorBidi" w:hAnsiTheme="majorBidi" w:cstheme="majorBidi"/>
          <w:sz w:val="24"/>
          <w:szCs w:val="24"/>
        </w:rPr>
        <w:t>for a taste of the condemned criminal’s blood</w:t>
      </w:r>
      <w:r w:rsidR="00A77E3F">
        <w:rPr>
          <w:rFonts w:asciiTheme="majorBidi" w:hAnsiTheme="majorBidi" w:cstheme="majorBidi"/>
          <w:sz w:val="24"/>
          <w:szCs w:val="24"/>
        </w:rPr>
        <w:t>;</w:t>
      </w:r>
      <w:r w:rsidR="00DB4778">
        <w:rPr>
          <w:rStyle w:val="FootnoteReference"/>
          <w:rFonts w:asciiTheme="majorBidi" w:hAnsiTheme="majorBidi" w:cstheme="majorBidi"/>
          <w:sz w:val="24"/>
          <w:szCs w:val="24"/>
        </w:rPr>
        <w:footnoteReference w:id="13"/>
      </w:r>
      <w:r w:rsidR="00A77E3F">
        <w:rPr>
          <w:rFonts w:asciiTheme="majorBidi" w:hAnsiTheme="majorBidi" w:cstheme="majorBidi"/>
          <w:sz w:val="24"/>
          <w:szCs w:val="24"/>
        </w:rPr>
        <w:t xml:space="preserve"> executioners were usually paid for</w:t>
      </w:r>
      <w:r w:rsidR="00CF165E">
        <w:rPr>
          <w:rFonts w:asciiTheme="majorBidi" w:hAnsiTheme="majorBidi" w:cstheme="majorBidi"/>
          <w:sz w:val="24"/>
          <w:szCs w:val="24"/>
        </w:rPr>
        <w:t xml:space="preserve"> such</w:t>
      </w:r>
      <w:r w:rsidR="00A77E3F">
        <w:rPr>
          <w:rFonts w:asciiTheme="majorBidi" w:hAnsiTheme="majorBidi" w:cstheme="majorBidi"/>
          <w:sz w:val="24"/>
          <w:szCs w:val="24"/>
        </w:rPr>
        <w:t xml:space="preserve"> ‘favour</w:t>
      </w:r>
      <w:r w:rsidR="00CF165E">
        <w:rPr>
          <w:rFonts w:asciiTheme="majorBidi" w:hAnsiTheme="majorBidi" w:cstheme="majorBidi"/>
          <w:sz w:val="24"/>
          <w:szCs w:val="24"/>
        </w:rPr>
        <w:t>s</w:t>
      </w:r>
      <w:r w:rsidR="00A77E3F">
        <w:rPr>
          <w:rFonts w:asciiTheme="majorBidi" w:hAnsiTheme="majorBidi" w:cstheme="majorBidi"/>
          <w:sz w:val="24"/>
          <w:szCs w:val="24"/>
        </w:rPr>
        <w:t>’</w:t>
      </w:r>
      <w:r w:rsidR="0029792B">
        <w:rPr>
          <w:rFonts w:asciiTheme="majorBidi" w:hAnsiTheme="majorBidi" w:cstheme="majorBidi"/>
          <w:sz w:val="24"/>
          <w:szCs w:val="24"/>
        </w:rPr>
        <w:t>.</w:t>
      </w:r>
      <w:r w:rsidR="00DB4778">
        <w:rPr>
          <w:rStyle w:val="FootnoteReference"/>
          <w:rFonts w:asciiTheme="majorBidi" w:hAnsiTheme="majorBidi" w:cstheme="majorBidi"/>
          <w:sz w:val="24"/>
          <w:szCs w:val="24"/>
        </w:rPr>
        <w:footnoteReference w:id="14"/>
      </w:r>
      <w:r w:rsidR="0029792B">
        <w:rPr>
          <w:rFonts w:asciiTheme="majorBidi" w:hAnsiTheme="majorBidi" w:cstheme="majorBidi"/>
          <w:sz w:val="24"/>
          <w:szCs w:val="24"/>
        </w:rPr>
        <w:t xml:space="preserve"> </w:t>
      </w:r>
      <w:r w:rsidR="00044A47">
        <w:rPr>
          <w:rFonts w:asciiTheme="majorBidi" w:hAnsiTheme="majorBidi" w:cstheme="majorBidi"/>
          <w:sz w:val="24"/>
          <w:szCs w:val="24"/>
        </w:rPr>
        <w:t>Notice that m</w:t>
      </w:r>
      <w:r w:rsidR="0029792B">
        <w:rPr>
          <w:rFonts w:asciiTheme="majorBidi" w:hAnsiTheme="majorBidi" w:cstheme="majorBidi"/>
          <w:sz w:val="24"/>
          <w:szCs w:val="24"/>
        </w:rPr>
        <w:t>edicinal cannibalism was not</w:t>
      </w:r>
      <w:r w:rsidR="00FE1C72">
        <w:rPr>
          <w:rFonts w:asciiTheme="majorBidi" w:hAnsiTheme="majorBidi" w:cstheme="majorBidi"/>
          <w:sz w:val="24"/>
          <w:szCs w:val="24"/>
        </w:rPr>
        <w:t xml:space="preserve"> the </w:t>
      </w:r>
      <w:r w:rsidR="0029792B">
        <w:rPr>
          <w:rFonts w:asciiTheme="majorBidi" w:hAnsiTheme="majorBidi" w:cstheme="majorBidi"/>
          <w:sz w:val="24"/>
          <w:szCs w:val="24"/>
        </w:rPr>
        <w:t>practice</w:t>
      </w:r>
      <w:r w:rsidR="00FE1C72">
        <w:rPr>
          <w:rFonts w:asciiTheme="majorBidi" w:hAnsiTheme="majorBidi" w:cstheme="majorBidi"/>
          <w:sz w:val="24"/>
          <w:szCs w:val="24"/>
        </w:rPr>
        <w:t xml:space="preserve"> of a</w:t>
      </w:r>
      <w:r w:rsidR="0029792B">
        <w:rPr>
          <w:rFonts w:asciiTheme="majorBidi" w:hAnsiTheme="majorBidi" w:cstheme="majorBidi"/>
          <w:sz w:val="24"/>
          <w:szCs w:val="24"/>
        </w:rPr>
        <w:t xml:space="preserve"> fringe </w:t>
      </w:r>
      <w:r w:rsidR="00FB3A36">
        <w:rPr>
          <w:rFonts w:asciiTheme="majorBidi" w:hAnsiTheme="majorBidi" w:cstheme="majorBidi"/>
          <w:sz w:val="24"/>
          <w:szCs w:val="24"/>
        </w:rPr>
        <w:t>group</w:t>
      </w:r>
      <w:r w:rsidR="00644DCD">
        <w:rPr>
          <w:rFonts w:asciiTheme="majorBidi" w:hAnsiTheme="majorBidi" w:cstheme="majorBidi"/>
          <w:sz w:val="24"/>
          <w:szCs w:val="24"/>
        </w:rPr>
        <w:t>;</w:t>
      </w:r>
      <w:r w:rsidR="00856201">
        <w:rPr>
          <w:rStyle w:val="FootnoteReference"/>
          <w:rFonts w:asciiTheme="majorBidi" w:hAnsiTheme="majorBidi" w:cstheme="majorBidi"/>
          <w:sz w:val="24"/>
          <w:szCs w:val="24"/>
        </w:rPr>
        <w:footnoteReference w:id="15"/>
      </w:r>
      <w:r w:rsidR="00044A47">
        <w:rPr>
          <w:rFonts w:asciiTheme="majorBidi" w:hAnsiTheme="majorBidi" w:cstheme="majorBidi"/>
          <w:sz w:val="24"/>
          <w:szCs w:val="24"/>
        </w:rPr>
        <w:t xml:space="preserve"> </w:t>
      </w:r>
      <w:r w:rsidR="00644DCD">
        <w:rPr>
          <w:rFonts w:asciiTheme="majorBidi" w:hAnsiTheme="majorBidi" w:cstheme="majorBidi"/>
          <w:sz w:val="24"/>
          <w:szCs w:val="24"/>
        </w:rPr>
        <w:t>i</w:t>
      </w:r>
      <w:r w:rsidR="00044A47">
        <w:rPr>
          <w:rFonts w:asciiTheme="majorBidi" w:hAnsiTheme="majorBidi" w:cstheme="majorBidi"/>
          <w:sz w:val="24"/>
          <w:szCs w:val="24"/>
        </w:rPr>
        <w:t>n contrast</w:t>
      </w:r>
      <w:r w:rsidR="00FE1C72">
        <w:rPr>
          <w:rFonts w:asciiTheme="majorBidi" w:hAnsiTheme="majorBidi" w:cstheme="majorBidi"/>
          <w:sz w:val="24"/>
          <w:szCs w:val="24"/>
        </w:rPr>
        <w:t>,</w:t>
      </w:r>
      <w:r w:rsidR="0029792B">
        <w:rPr>
          <w:rFonts w:asciiTheme="majorBidi" w:hAnsiTheme="majorBidi" w:cstheme="majorBidi"/>
          <w:sz w:val="24"/>
          <w:szCs w:val="24"/>
        </w:rPr>
        <w:t xml:space="preserve"> </w:t>
      </w:r>
      <w:r w:rsidR="00044A47">
        <w:rPr>
          <w:rFonts w:asciiTheme="majorBidi" w:hAnsiTheme="majorBidi" w:cstheme="majorBidi"/>
          <w:sz w:val="24"/>
          <w:szCs w:val="24"/>
        </w:rPr>
        <w:t xml:space="preserve">medicinal </w:t>
      </w:r>
      <w:r w:rsidR="00044A47">
        <w:rPr>
          <w:rFonts w:asciiTheme="majorBidi" w:hAnsiTheme="majorBidi" w:cstheme="majorBidi"/>
          <w:sz w:val="24"/>
          <w:szCs w:val="24"/>
        </w:rPr>
        <w:lastRenderedPageBreak/>
        <w:t>cannibalism</w:t>
      </w:r>
      <w:r w:rsidR="0029792B">
        <w:rPr>
          <w:rFonts w:asciiTheme="majorBidi" w:hAnsiTheme="majorBidi" w:cstheme="majorBidi"/>
          <w:sz w:val="24"/>
          <w:szCs w:val="24"/>
        </w:rPr>
        <w:t xml:space="preserve"> was</w:t>
      </w:r>
      <w:r w:rsidR="00044A47">
        <w:rPr>
          <w:rFonts w:asciiTheme="majorBidi" w:hAnsiTheme="majorBidi" w:cstheme="majorBidi"/>
          <w:sz w:val="24"/>
          <w:szCs w:val="24"/>
        </w:rPr>
        <w:t xml:space="preserve"> part of the medical orthodoxy and</w:t>
      </w:r>
      <w:r w:rsidR="0029792B">
        <w:rPr>
          <w:rFonts w:asciiTheme="majorBidi" w:hAnsiTheme="majorBidi" w:cstheme="majorBidi"/>
          <w:sz w:val="24"/>
          <w:szCs w:val="24"/>
        </w:rPr>
        <w:t xml:space="preserve"> </w:t>
      </w:r>
      <w:r w:rsidR="00FE1C72">
        <w:rPr>
          <w:rFonts w:asciiTheme="majorBidi" w:hAnsiTheme="majorBidi" w:cstheme="majorBidi"/>
          <w:sz w:val="24"/>
          <w:szCs w:val="24"/>
        </w:rPr>
        <w:t xml:space="preserve">a standard </w:t>
      </w:r>
      <w:r w:rsidR="0029792B">
        <w:rPr>
          <w:rFonts w:asciiTheme="majorBidi" w:hAnsiTheme="majorBidi" w:cstheme="majorBidi"/>
          <w:sz w:val="24"/>
          <w:szCs w:val="24"/>
        </w:rPr>
        <w:t>part of the</w:t>
      </w:r>
      <w:r w:rsidR="00FE1C72">
        <w:rPr>
          <w:rFonts w:asciiTheme="majorBidi" w:hAnsiTheme="majorBidi" w:cstheme="majorBidi"/>
          <w:sz w:val="24"/>
          <w:szCs w:val="24"/>
        </w:rPr>
        <w:t xml:space="preserve"> therapeutic armamentarium</w:t>
      </w:r>
      <w:r w:rsidR="00044A47">
        <w:rPr>
          <w:rFonts w:asciiTheme="majorBidi" w:hAnsiTheme="majorBidi" w:cstheme="majorBidi"/>
          <w:sz w:val="24"/>
          <w:szCs w:val="24"/>
        </w:rPr>
        <w:t xml:space="preserve"> </w:t>
      </w:r>
      <w:r w:rsidR="00856201">
        <w:rPr>
          <w:rFonts w:asciiTheme="majorBidi" w:hAnsiTheme="majorBidi" w:cstheme="majorBidi"/>
          <w:sz w:val="24"/>
          <w:szCs w:val="24"/>
        </w:rPr>
        <w:t>of the era</w:t>
      </w:r>
      <w:r w:rsidR="00FE1C72">
        <w:rPr>
          <w:rFonts w:asciiTheme="majorBidi" w:hAnsiTheme="majorBidi" w:cstheme="majorBidi"/>
          <w:sz w:val="24"/>
          <w:szCs w:val="24"/>
        </w:rPr>
        <w:t>.</w:t>
      </w:r>
      <w:r w:rsidR="00785EE6">
        <w:rPr>
          <w:rFonts w:asciiTheme="majorBidi" w:hAnsiTheme="majorBidi" w:cstheme="majorBidi"/>
          <w:sz w:val="24"/>
          <w:szCs w:val="24"/>
        </w:rPr>
        <w:t xml:space="preserve"> </w:t>
      </w:r>
    </w:p>
    <w:p w:rsidR="004855A4" w:rsidRDefault="00785EE6" w:rsidP="006A4CCB">
      <w:pPr>
        <w:ind w:firstLine="720"/>
        <w:jc w:val="both"/>
        <w:rPr>
          <w:rFonts w:asciiTheme="majorBidi" w:hAnsiTheme="majorBidi" w:cstheme="majorBidi"/>
          <w:sz w:val="24"/>
          <w:szCs w:val="24"/>
        </w:rPr>
      </w:pPr>
      <w:r>
        <w:rPr>
          <w:rFonts w:asciiTheme="majorBidi" w:hAnsiTheme="majorBidi" w:cstheme="majorBidi"/>
          <w:sz w:val="24"/>
          <w:szCs w:val="24"/>
        </w:rPr>
        <w:t>The</w:t>
      </w:r>
      <w:r w:rsidR="00630B29">
        <w:rPr>
          <w:rFonts w:asciiTheme="majorBidi" w:hAnsiTheme="majorBidi" w:cstheme="majorBidi"/>
          <w:sz w:val="24"/>
          <w:szCs w:val="24"/>
        </w:rPr>
        <w:t xml:space="preserve"> fact that</w:t>
      </w:r>
      <w:r w:rsidR="006A193C">
        <w:rPr>
          <w:rFonts w:asciiTheme="majorBidi" w:hAnsiTheme="majorBidi" w:cstheme="majorBidi"/>
          <w:sz w:val="24"/>
          <w:szCs w:val="24"/>
        </w:rPr>
        <w:t xml:space="preserve"> </w:t>
      </w:r>
      <w:r>
        <w:rPr>
          <w:rFonts w:asciiTheme="majorBidi" w:hAnsiTheme="majorBidi" w:cstheme="majorBidi"/>
          <w:sz w:val="24"/>
          <w:szCs w:val="24"/>
        </w:rPr>
        <w:t>medicinal cannibalism</w:t>
      </w:r>
      <w:r w:rsidR="00630B29">
        <w:rPr>
          <w:rFonts w:asciiTheme="majorBidi" w:hAnsiTheme="majorBidi" w:cstheme="majorBidi"/>
          <w:sz w:val="24"/>
          <w:szCs w:val="24"/>
        </w:rPr>
        <w:t xml:space="preserve"> failed to shock the conscience of the society at that time</w:t>
      </w:r>
      <w:r>
        <w:rPr>
          <w:rFonts w:asciiTheme="majorBidi" w:hAnsiTheme="majorBidi" w:cstheme="majorBidi"/>
          <w:sz w:val="24"/>
          <w:szCs w:val="24"/>
        </w:rPr>
        <w:t xml:space="preserve"> stemm</w:t>
      </w:r>
      <w:r w:rsidR="006A193C">
        <w:rPr>
          <w:rFonts w:asciiTheme="majorBidi" w:hAnsiTheme="majorBidi" w:cstheme="majorBidi"/>
          <w:sz w:val="24"/>
          <w:szCs w:val="24"/>
        </w:rPr>
        <w:t>ed</w:t>
      </w:r>
      <w:r>
        <w:rPr>
          <w:rFonts w:asciiTheme="majorBidi" w:hAnsiTheme="majorBidi" w:cstheme="majorBidi"/>
          <w:sz w:val="24"/>
          <w:szCs w:val="24"/>
        </w:rPr>
        <w:t xml:space="preserve"> from its social deconstruction as a</w:t>
      </w:r>
      <w:r w:rsidR="0053405C">
        <w:rPr>
          <w:rFonts w:asciiTheme="majorBidi" w:hAnsiTheme="majorBidi" w:cstheme="majorBidi"/>
          <w:sz w:val="24"/>
          <w:szCs w:val="24"/>
        </w:rPr>
        <w:t xml:space="preserve"> pure</w:t>
      </w:r>
      <w:r>
        <w:rPr>
          <w:rFonts w:asciiTheme="majorBidi" w:hAnsiTheme="majorBidi" w:cstheme="majorBidi"/>
          <w:sz w:val="24"/>
          <w:szCs w:val="24"/>
        </w:rPr>
        <w:t xml:space="preserve"> therapeutic act</w:t>
      </w:r>
      <w:r w:rsidR="00DD147F">
        <w:rPr>
          <w:rFonts w:asciiTheme="majorBidi" w:hAnsiTheme="majorBidi" w:cstheme="majorBidi"/>
          <w:sz w:val="24"/>
          <w:szCs w:val="24"/>
        </w:rPr>
        <w:t>;</w:t>
      </w:r>
      <w:r>
        <w:rPr>
          <w:rFonts w:asciiTheme="majorBidi" w:hAnsiTheme="majorBidi" w:cstheme="majorBidi"/>
          <w:sz w:val="24"/>
          <w:szCs w:val="24"/>
        </w:rPr>
        <w:t xml:space="preserve"> </w:t>
      </w:r>
      <w:r w:rsidR="00E76592">
        <w:rPr>
          <w:rFonts w:asciiTheme="majorBidi" w:hAnsiTheme="majorBidi" w:cstheme="majorBidi"/>
          <w:sz w:val="24"/>
          <w:szCs w:val="24"/>
        </w:rPr>
        <w:t>unsurprisingly</w:t>
      </w:r>
      <w:r w:rsidR="00DD147F">
        <w:rPr>
          <w:rFonts w:asciiTheme="majorBidi" w:hAnsiTheme="majorBidi" w:cstheme="majorBidi"/>
          <w:sz w:val="24"/>
          <w:szCs w:val="24"/>
        </w:rPr>
        <w:t>,</w:t>
      </w:r>
      <w:r>
        <w:rPr>
          <w:rFonts w:asciiTheme="majorBidi" w:hAnsiTheme="majorBidi" w:cstheme="majorBidi"/>
          <w:sz w:val="24"/>
          <w:szCs w:val="24"/>
        </w:rPr>
        <w:t xml:space="preserve"> </w:t>
      </w:r>
      <w:r w:rsidR="00E76592">
        <w:rPr>
          <w:rFonts w:asciiTheme="majorBidi" w:hAnsiTheme="majorBidi" w:cstheme="majorBidi"/>
          <w:sz w:val="24"/>
          <w:szCs w:val="24"/>
        </w:rPr>
        <w:t>medic</w:t>
      </w:r>
      <w:r>
        <w:rPr>
          <w:rFonts w:asciiTheme="majorBidi" w:hAnsiTheme="majorBidi" w:cstheme="majorBidi"/>
          <w:sz w:val="24"/>
          <w:szCs w:val="24"/>
        </w:rPr>
        <w:t>i</w:t>
      </w:r>
      <w:r w:rsidR="00E76592">
        <w:rPr>
          <w:rFonts w:asciiTheme="majorBidi" w:hAnsiTheme="majorBidi" w:cstheme="majorBidi"/>
          <w:sz w:val="24"/>
          <w:szCs w:val="24"/>
        </w:rPr>
        <w:t>nal cannibalism</w:t>
      </w:r>
      <w:r>
        <w:rPr>
          <w:rFonts w:asciiTheme="majorBidi" w:hAnsiTheme="majorBidi" w:cstheme="majorBidi"/>
          <w:sz w:val="24"/>
          <w:szCs w:val="24"/>
        </w:rPr>
        <w:t xml:space="preserve"> was not condemned as morally transgressive,</w:t>
      </w:r>
      <w:r w:rsidR="00E76592">
        <w:rPr>
          <w:rFonts w:asciiTheme="majorBidi" w:hAnsiTheme="majorBidi" w:cstheme="majorBidi"/>
          <w:sz w:val="24"/>
          <w:szCs w:val="24"/>
        </w:rPr>
        <w:t xml:space="preserve"> in contrast to sheer</w:t>
      </w:r>
      <w:r>
        <w:rPr>
          <w:rFonts w:asciiTheme="majorBidi" w:hAnsiTheme="majorBidi" w:cstheme="majorBidi"/>
          <w:sz w:val="24"/>
          <w:szCs w:val="24"/>
        </w:rPr>
        <w:t xml:space="preserve"> cannibalism</w:t>
      </w:r>
      <w:r w:rsidR="00E76592">
        <w:rPr>
          <w:rFonts w:asciiTheme="majorBidi" w:hAnsiTheme="majorBidi" w:cstheme="majorBidi"/>
          <w:sz w:val="24"/>
          <w:szCs w:val="24"/>
        </w:rPr>
        <w:t xml:space="preserve"> which involved ingestion of bodily parts</w:t>
      </w:r>
      <w:r>
        <w:rPr>
          <w:rFonts w:asciiTheme="majorBidi" w:hAnsiTheme="majorBidi" w:cstheme="majorBidi"/>
          <w:sz w:val="24"/>
          <w:szCs w:val="24"/>
        </w:rPr>
        <w:t xml:space="preserve"> </w:t>
      </w:r>
      <w:r w:rsidR="00D143FA">
        <w:rPr>
          <w:rFonts w:asciiTheme="majorBidi" w:hAnsiTheme="majorBidi" w:cstheme="majorBidi"/>
          <w:sz w:val="24"/>
          <w:szCs w:val="24"/>
        </w:rPr>
        <w:t>for its</w:t>
      </w:r>
      <w:r w:rsidR="00E76592">
        <w:rPr>
          <w:rFonts w:asciiTheme="majorBidi" w:hAnsiTheme="majorBidi" w:cstheme="majorBidi"/>
          <w:sz w:val="24"/>
          <w:szCs w:val="24"/>
        </w:rPr>
        <w:t xml:space="preserve"> culinary</w:t>
      </w:r>
      <w:r>
        <w:rPr>
          <w:rFonts w:asciiTheme="majorBidi" w:hAnsiTheme="majorBidi" w:cstheme="majorBidi"/>
          <w:sz w:val="24"/>
          <w:szCs w:val="24"/>
        </w:rPr>
        <w:t xml:space="preserve"> delight</w:t>
      </w:r>
      <w:r w:rsidR="008A06EC">
        <w:rPr>
          <w:rFonts w:asciiTheme="majorBidi" w:hAnsiTheme="majorBidi" w:cstheme="majorBidi"/>
          <w:sz w:val="24"/>
          <w:szCs w:val="24"/>
        </w:rPr>
        <w:t>, or as an act</w:t>
      </w:r>
      <w:r>
        <w:rPr>
          <w:rFonts w:asciiTheme="majorBidi" w:hAnsiTheme="majorBidi" w:cstheme="majorBidi"/>
          <w:sz w:val="24"/>
          <w:szCs w:val="24"/>
        </w:rPr>
        <w:t xml:space="preserve"> performed</w:t>
      </w:r>
      <w:r w:rsidR="008A06EC">
        <w:rPr>
          <w:rFonts w:asciiTheme="majorBidi" w:hAnsiTheme="majorBidi" w:cstheme="majorBidi"/>
          <w:sz w:val="24"/>
          <w:szCs w:val="24"/>
        </w:rPr>
        <w:t xml:space="preserve"> in furtherance of</w:t>
      </w:r>
      <w:r>
        <w:rPr>
          <w:rFonts w:asciiTheme="majorBidi" w:hAnsiTheme="majorBidi" w:cstheme="majorBidi"/>
          <w:sz w:val="24"/>
          <w:szCs w:val="24"/>
        </w:rPr>
        <w:t xml:space="preserve"> a mystical or occultic </w:t>
      </w:r>
      <w:r w:rsidR="008A06EC">
        <w:rPr>
          <w:rFonts w:asciiTheme="majorBidi" w:hAnsiTheme="majorBidi" w:cstheme="majorBidi"/>
          <w:sz w:val="24"/>
          <w:szCs w:val="24"/>
        </w:rPr>
        <w:t>purpose</w:t>
      </w:r>
      <w:r>
        <w:rPr>
          <w:rFonts w:asciiTheme="majorBidi" w:hAnsiTheme="majorBidi" w:cstheme="majorBidi"/>
          <w:sz w:val="24"/>
          <w:szCs w:val="24"/>
        </w:rPr>
        <w:t>,</w:t>
      </w:r>
      <w:r w:rsidR="0043086E">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or </w:t>
      </w:r>
      <w:r w:rsidR="008A06EC">
        <w:rPr>
          <w:rFonts w:asciiTheme="majorBidi" w:hAnsiTheme="majorBidi" w:cstheme="majorBidi"/>
          <w:sz w:val="24"/>
          <w:szCs w:val="24"/>
        </w:rPr>
        <w:t>just</w:t>
      </w:r>
      <w:r>
        <w:rPr>
          <w:rFonts w:asciiTheme="majorBidi" w:hAnsiTheme="majorBidi" w:cstheme="majorBidi"/>
          <w:sz w:val="24"/>
          <w:szCs w:val="24"/>
        </w:rPr>
        <w:t xml:space="preserve"> a rebarbative act of necessity.</w:t>
      </w:r>
      <w:r w:rsidR="00F4245B">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w:t>
      </w:r>
      <w:r w:rsidR="00F4245B" w:rsidRPr="00F4245B">
        <w:rPr>
          <w:rFonts w:asciiTheme="majorBidi" w:hAnsiTheme="majorBidi" w:cstheme="majorBidi"/>
          <w:i/>
          <w:iCs/>
          <w:sz w:val="24"/>
          <w:szCs w:val="24"/>
        </w:rPr>
        <w:t>Dudley</w:t>
      </w:r>
      <w:r w:rsidR="00F4245B">
        <w:rPr>
          <w:rFonts w:asciiTheme="majorBidi" w:hAnsiTheme="majorBidi" w:cstheme="majorBidi"/>
          <w:sz w:val="24"/>
          <w:szCs w:val="24"/>
        </w:rPr>
        <w:t xml:space="preserve"> </w:t>
      </w:r>
      <w:r w:rsidR="00D143FA">
        <w:rPr>
          <w:rFonts w:asciiTheme="majorBidi" w:hAnsiTheme="majorBidi" w:cstheme="majorBidi"/>
          <w:sz w:val="24"/>
          <w:szCs w:val="24"/>
        </w:rPr>
        <w:t>epitomises the latter sort of cann</w:t>
      </w:r>
      <w:r w:rsidR="00F4245B">
        <w:rPr>
          <w:rFonts w:asciiTheme="majorBidi" w:hAnsiTheme="majorBidi" w:cstheme="majorBidi"/>
          <w:sz w:val="24"/>
          <w:szCs w:val="24"/>
        </w:rPr>
        <w:t>i</w:t>
      </w:r>
      <w:r w:rsidR="00D143FA">
        <w:rPr>
          <w:rFonts w:asciiTheme="majorBidi" w:hAnsiTheme="majorBidi" w:cstheme="majorBidi"/>
          <w:sz w:val="24"/>
          <w:szCs w:val="24"/>
        </w:rPr>
        <w:t>balism arising from necessity. There, some</w:t>
      </w:r>
      <w:r>
        <w:rPr>
          <w:rFonts w:asciiTheme="majorBidi" w:hAnsiTheme="majorBidi" w:cstheme="majorBidi"/>
          <w:sz w:val="24"/>
          <w:szCs w:val="24"/>
        </w:rPr>
        <w:t xml:space="preserve"> seamen lost on the</w:t>
      </w:r>
      <w:r w:rsidR="00822E99">
        <w:rPr>
          <w:rFonts w:asciiTheme="majorBidi" w:hAnsiTheme="majorBidi" w:cstheme="majorBidi"/>
          <w:sz w:val="24"/>
          <w:szCs w:val="24"/>
        </w:rPr>
        <w:t xml:space="preserve"> high</w:t>
      </w:r>
      <w:r>
        <w:rPr>
          <w:rFonts w:asciiTheme="majorBidi" w:hAnsiTheme="majorBidi" w:cstheme="majorBidi"/>
          <w:sz w:val="24"/>
          <w:szCs w:val="24"/>
        </w:rPr>
        <w:t xml:space="preserve"> sea</w:t>
      </w:r>
      <w:r w:rsidR="00822E99">
        <w:rPr>
          <w:rFonts w:asciiTheme="majorBidi" w:hAnsiTheme="majorBidi" w:cstheme="majorBidi"/>
          <w:sz w:val="24"/>
          <w:szCs w:val="24"/>
        </w:rPr>
        <w:t>s</w:t>
      </w:r>
      <w:r w:rsidR="00D143FA">
        <w:rPr>
          <w:rFonts w:asciiTheme="majorBidi" w:hAnsiTheme="majorBidi" w:cstheme="majorBidi"/>
          <w:sz w:val="24"/>
          <w:szCs w:val="24"/>
        </w:rPr>
        <w:t xml:space="preserve"> were</w:t>
      </w:r>
      <w:r>
        <w:rPr>
          <w:rFonts w:asciiTheme="majorBidi" w:hAnsiTheme="majorBidi" w:cstheme="majorBidi"/>
          <w:sz w:val="24"/>
          <w:szCs w:val="24"/>
        </w:rPr>
        <w:t xml:space="preserve"> bereft of water and vi</w:t>
      </w:r>
      <w:r w:rsidR="00EC3FF9">
        <w:rPr>
          <w:rFonts w:asciiTheme="majorBidi" w:hAnsiTheme="majorBidi" w:cstheme="majorBidi"/>
          <w:sz w:val="24"/>
          <w:szCs w:val="24"/>
        </w:rPr>
        <w:t>c</w:t>
      </w:r>
      <w:r>
        <w:rPr>
          <w:rFonts w:asciiTheme="majorBidi" w:hAnsiTheme="majorBidi" w:cstheme="majorBidi"/>
          <w:sz w:val="24"/>
          <w:szCs w:val="24"/>
        </w:rPr>
        <w:t>tuals</w:t>
      </w:r>
      <w:r w:rsidR="00D143FA">
        <w:rPr>
          <w:rFonts w:asciiTheme="majorBidi" w:hAnsiTheme="majorBidi" w:cstheme="majorBidi"/>
          <w:sz w:val="24"/>
          <w:szCs w:val="24"/>
        </w:rPr>
        <w:t>. Initially,</w:t>
      </w:r>
      <w:r w:rsidR="00EC3FF9">
        <w:rPr>
          <w:rFonts w:asciiTheme="majorBidi" w:hAnsiTheme="majorBidi" w:cstheme="majorBidi"/>
          <w:sz w:val="24"/>
          <w:szCs w:val="24"/>
        </w:rPr>
        <w:t xml:space="preserve"> they</w:t>
      </w:r>
      <w:r w:rsidR="00A32A56">
        <w:rPr>
          <w:rFonts w:asciiTheme="majorBidi" w:hAnsiTheme="majorBidi" w:cstheme="majorBidi"/>
          <w:sz w:val="24"/>
          <w:szCs w:val="24"/>
        </w:rPr>
        <w:t xml:space="preserve"> proposed to</w:t>
      </w:r>
      <w:r w:rsidR="00EC3FF9">
        <w:rPr>
          <w:rFonts w:asciiTheme="majorBidi" w:hAnsiTheme="majorBidi" w:cstheme="majorBidi"/>
          <w:sz w:val="24"/>
          <w:szCs w:val="24"/>
        </w:rPr>
        <w:t xml:space="preserve"> cast</w:t>
      </w:r>
      <w:r w:rsidR="005338E0">
        <w:rPr>
          <w:rFonts w:asciiTheme="majorBidi" w:hAnsiTheme="majorBidi" w:cstheme="majorBidi"/>
          <w:sz w:val="24"/>
          <w:szCs w:val="24"/>
        </w:rPr>
        <w:t xml:space="preserve"> </w:t>
      </w:r>
      <w:r w:rsidR="00EC3FF9">
        <w:rPr>
          <w:rFonts w:asciiTheme="majorBidi" w:hAnsiTheme="majorBidi" w:cstheme="majorBidi"/>
          <w:sz w:val="24"/>
          <w:szCs w:val="24"/>
        </w:rPr>
        <w:t>lot</w:t>
      </w:r>
      <w:r w:rsidR="00822E99">
        <w:rPr>
          <w:rFonts w:asciiTheme="majorBidi" w:hAnsiTheme="majorBidi" w:cstheme="majorBidi"/>
          <w:sz w:val="24"/>
          <w:szCs w:val="24"/>
        </w:rPr>
        <w:t>s</w:t>
      </w:r>
      <w:r w:rsidR="00EC3FF9">
        <w:rPr>
          <w:rFonts w:asciiTheme="majorBidi" w:hAnsiTheme="majorBidi" w:cstheme="majorBidi"/>
          <w:sz w:val="24"/>
          <w:szCs w:val="24"/>
        </w:rPr>
        <w:t xml:space="preserve"> to decide who</w:t>
      </w:r>
      <w:r w:rsidR="00D143FA">
        <w:rPr>
          <w:rFonts w:asciiTheme="majorBidi" w:hAnsiTheme="majorBidi" w:cstheme="majorBidi"/>
          <w:sz w:val="24"/>
          <w:szCs w:val="24"/>
        </w:rPr>
        <w:t xml:space="preserve"> amongst them</w:t>
      </w:r>
      <w:r w:rsidR="00EC3FF9">
        <w:rPr>
          <w:rFonts w:asciiTheme="majorBidi" w:hAnsiTheme="majorBidi" w:cstheme="majorBidi"/>
          <w:sz w:val="24"/>
          <w:szCs w:val="24"/>
        </w:rPr>
        <w:t xml:space="preserve"> would be killed</w:t>
      </w:r>
      <w:r w:rsidR="00D143FA">
        <w:rPr>
          <w:rFonts w:asciiTheme="majorBidi" w:hAnsiTheme="majorBidi" w:cstheme="majorBidi"/>
          <w:sz w:val="24"/>
          <w:szCs w:val="24"/>
        </w:rPr>
        <w:t xml:space="preserve"> first,</w:t>
      </w:r>
      <w:r w:rsidR="00EC3FF9">
        <w:rPr>
          <w:rFonts w:asciiTheme="majorBidi" w:hAnsiTheme="majorBidi" w:cstheme="majorBidi"/>
          <w:sz w:val="24"/>
          <w:szCs w:val="24"/>
        </w:rPr>
        <w:t xml:space="preserve"> and his body</w:t>
      </w:r>
      <w:r w:rsidR="00A32A56">
        <w:rPr>
          <w:rFonts w:asciiTheme="majorBidi" w:hAnsiTheme="majorBidi" w:cstheme="majorBidi"/>
          <w:sz w:val="24"/>
          <w:szCs w:val="24"/>
        </w:rPr>
        <w:t xml:space="preserve"> and blood</w:t>
      </w:r>
      <w:r w:rsidR="00EC3FF9">
        <w:rPr>
          <w:rFonts w:asciiTheme="majorBidi" w:hAnsiTheme="majorBidi" w:cstheme="majorBidi"/>
          <w:sz w:val="24"/>
          <w:szCs w:val="24"/>
        </w:rPr>
        <w:t xml:space="preserve"> used as food</w:t>
      </w:r>
      <w:r w:rsidR="00D143FA">
        <w:rPr>
          <w:rFonts w:asciiTheme="majorBidi" w:hAnsiTheme="majorBidi" w:cstheme="majorBidi"/>
          <w:sz w:val="24"/>
          <w:szCs w:val="24"/>
        </w:rPr>
        <w:t xml:space="preserve"> to</w:t>
      </w:r>
      <w:r w:rsidR="00EC3FF9">
        <w:rPr>
          <w:rFonts w:asciiTheme="majorBidi" w:hAnsiTheme="majorBidi" w:cstheme="majorBidi"/>
          <w:sz w:val="24"/>
          <w:szCs w:val="24"/>
        </w:rPr>
        <w:t xml:space="preserve"> nourish the</w:t>
      </w:r>
      <w:r w:rsidR="00A32A56">
        <w:rPr>
          <w:rFonts w:asciiTheme="majorBidi" w:hAnsiTheme="majorBidi" w:cstheme="majorBidi"/>
          <w:sz w:val="24"/>
          <w:szCs w:val="24"/>
        </w:rPr>
        <w:t xml:space="preserve"> others</w:t>
      </w:r>
      <w:r w:rsidR="00D143FA">
        <w:rPr>
          <w:rFonts w:asciiTheme="majorBidi" w:hAnsiTheme="majorBidi" w:cstheme="majorBidi"/>
          <w:sz w:val="24"/>
          <w:szCs w:val="24"/>
        </w:rPr>
        <w:t>; abandoning</w:t>
      </w:r>
      <w:r w:rsidR="006A731A">
        <w:rPr>
          <w:rFonts w:asciiTheme="majorBidi" w:hAnsiTheme="majorBidi" w:cstheme="majorBidi"/>
          <w:sz w:val="24"/>
          <w:szCs w:val="24"/>
        </w:rPr>
        <w:t xml:space="preserve"> that option, they</w:t>
      </w:r>
      <w:r w:rsidR="00A32A56">
        <w:rPr>
          <w:rFonts w:asciiTheme="majorBidi" w:hAnsiTheme="majorBidi" w:cstheme="majorBidi"/>
          <w:sz w:val="24"/>
          <w:szCs w:val="24"/>
        </w:rPr>
        <w:t xml:space="preserve"> eventually kill</w:t>
      </w:r>
      <w:r w:rsidR="006A731A">
        <w:rPr>
          <w:rFonts w:asciiTheme="majorBidi" w:hAnsiTheme="majorBidi" w:cstheme="majorBidi"/>
          <w:sz w:val="24"/>
          <w:szCs w:val="24"/>
        </w:rPr>
        <w:t>ed</w:t>
      </w:r>
      <w:r w:rsidR="00A32A56">
        <w:rPr>
          <w:rFonts w:asciiTheme="majorBidi" w:hAnsiTheme="majorBidi" w:cstheme="majorBidi"/>
          <w:sz w:val="24"/>
          <w:szCs w:val="24"/>
        </w:rPr>
        <w:t xml:space="preserve"> the youngest</w:t>
      </w:r>
      <w:r w:rsidR="0038799A">
        <w:rPr>
          <w:rFonts w:asciiTheme="majorBidi" w:hAnsiTheme="majorBidi" w:cstheme="majorBidi"/>
          <w:sz w:val="24"/>
          <w:szCs w:val="24"/>
        </w:rPr>
        <w:t xml:space="preserve"> and weakest</w:t>
      </w:r>
      <w:r w:rsidR="006A731A">
        <w:rPr>
          <w:rFonts w:asciiTheme="majorBidi" w:hAnsiTheme="majorBidi" w:cstheme="majorBidi"/>
          <w:sz w:val="24"/>
          <w:szCs w:val="24"/>
        </w:rPr>
        <w:t xml:space="preserve"> </w:t>
      </w:r>
      <w:r w:rsidR="00BE77ED">
        <w:rPr>
          <w:rFonts w:asciiTheme="majorBidi" w:hAnsiTheme="majorBidi" w:cstheme="majorBidi"/>
          <w:sz w:val="24"/>
          <w:szCs w:val="24"/>
        </w:rPr>
        <w:t>among</w:t>
      </w:r>
      <w:r w:rsidR="006A731A">
        <w:rPr>
          <w:rFonts w:asciiTheme="majorBidi" w:hAnsiTheme="majorBidi" w:cstheme="majorBidi"/>
          <w:sz w:val="24"/>
          <w:szCs w:val="24"/>
        </w:rPr>
        <w:t xml:space="preserve"> </w:t>
      </w:r>
      <w:r w:rsidR="00A32A56">
        <w:rPr>
          <w:rFonts w:asciiTheme="majorBidi" w:hAnsiTheme="majorBidi" w:cstheme="majorBidi"/>
          <w:sz w:val="24"/>
          <w:szCs w:val="24"/>
        </w:rPr>
        <w:t>them</w:t>
      </w:r>
      <w:r w:rsidR="006A731A">
        <w:rPr>
          <w:rFonts w:asciiTheme="majorBidi" w:hAnsiTheme="majorBidi" w:cstheme="majorBidi"/>
          <w:sz w:val="24"/>
          <w:szCs w:val="24"/>
        </w:rPr>
        <w:t xml:space="preserve"> and consumed his bodily parts as food</w:t>
      </w:r>
      <w:r w:rsidR="00A32A56">
        <w:rPr>
          <w:rFonts w:asciiTheme="majorBidi" w:hAnsiTheme="majorBidi" w:cstheme="majorBidi"/>
          <w:sz w:val="24"/>
          <w:szCs w:val="24"/>
        </w:rPr>
        <w:t>.</w:t>
      </w:r>
      <w:r w:rsidR="00A32A56">
        <w:rPr>
          <w:rStyle w:val="FootnoteReference"/>
          <w:rFonts w:asciiTheme="majorBidi" w:hAnsiTheme="majorBidi" w:cstheme="majorBidi"/>
          <w:sz w:val="24"/>
          <w:szCs w:val="24"/>
        </w:rPr>
        <w:footnoteReference w:id="18"/>
      </w:r>
      <w:r w:rsidR="00503D90">
        <w:rPr>
          <w:rFonts w:asciiTheme="majorBidi" w:hAnsiTheme="majorBidi" w:cstheme="majorBidi"/>
          <w:sz w:val="24"/>
          <w:szCs w:val="24"/>
        </w:rPr>
        <w:t xml:space="preserve"> </w:t>
      </w:r>
      <w:r w:rsidR="006A731A">
        <w:rPr>
          <w:rFonts w:asciiTheme="majorBidi" w:hAnsiTheme="majorBidi" w:cstheme="majorBidi"/>
          <w:sz w:val="24"/>
          <w:szCs w:val="24"/>
        </w:rPr>
        <w:t>The men were</w:t>
      </w:r>
      <w:r w:rsidR="0038799A">
        <w:rPr>
          <w:rFonts w:asciiTheme="majorBidi" w:hAnsiTheme="majorBidi" w:cstheme="majorBidi"/>
          <w:sz w:val="24"/>
          <w:szCs w:val="24"/>
        </w:rPr>
        <w:t xml:space="preserve"> charge</w:t>
      </w:r>
      <w:r w:rsidR="006A731A">
        <w:rPr>
          <w:rFonts w:asciiTheme="majorBidi" w:hAnsiTheme="majorBidi" w:cstheme="majorBidi"/>
          <w:sz w:val="24"/>
          <w:szCs w:val="24"/>
        </w:rPr>
        <w:t>d with</w:t>
      </w:r>
      <w:r w:rsidR="0038799A">
        <w:rPr>
          <w:rFonts w:asciiTheme="majorBidi" w:hAnsiTheme="majorBidi" w:cstheme="majorBidi"/>
          <w:sz w:val="24"/>
          <w:szCs w:val="24"/>
        </w:rPr>
        <w:t xml:space="preserve"> murder</w:t>
      </w:r>
      <w:r w:rsidR="006A731A">
        <w:rPr>
          <w:rFonts w:asciiTheme="majorBidi" w:hAnsiTheme="majorBidi" w:cstheme="majorBidi"/>
          <w:sz w:val="24"/>
          <w:szCs w:val="24"/>
        </w:rPr>
        <w:t>.</w:t>
      </w:r>
      <w:r w:rsidR="0038799A">
        <w:rPr>
          <w:rFonts w:asciiTheme="majorBidi" w:hAnsiTheme="majorBidi" w:cstheme="majorBidi"/>
          <w:sz w:val="24"/>
          <w:szCs w:val="24"/>
        </w:rPr>
        <w:t xml:space="preserve"> </w:t>
      </w:r>
      <w:r w:rsidR="00503D90">
        <w:rPr>
          <w:rFonts w:asciiTheme="majorBidi" w:hAnsiTheme="majorBidi" w:cstheme="majorBidi"/>
          <w:sz w:val="24"/>
          <w:szCs w:val="24"/>
        </w:rPr>
        <w:t>Lord Coleridge CJ</w:t>
      </w:r>
      <w:r w:rsidR="006A731A">
        <w:rPr>
          <w:rFonts w:asciiTheme="majorBidi" w:hAnsiTheme="majorBidi" w:cstheme="majorBidi"/>
          <w:sz w:val="24"/>
          <w:szCs w:val="24"/>
        </w:rPr>
        <w:t xml:space="preserve"> held</w:t>
      </w:r>
      <w:r w:rsidR="00503D90">
        <w:rPr>
          <w:rFonts w:asciiTheme="majorBidi" w:hAnsiTheme="majorBidi" w:cstheme="majorBidi"/>
          <w:sz w:val="24"/>
          <w:szCs w:val="24"/>
        </w:rPr>
        <w:t xml:space="preserve"> that the immorality of the</w:t>
      </w:r>
      <w:r w:rsidR="007A2337">
        <w:rPr>
          <w:rFonts w:asciiTheme="majorBidi" w:hAnsiTheme="majorBidi" w:cstheme="majorBidi"/>
          <w:sz w:val="24"/>
          <w:szCs w:val="24"/>
        </w:rPr>
        <w:t xml:space="preserve"> defendants’</w:t>
      </w:r>
      <w:r w:rsidR="00503D90">
        <w:rPr>
          <w:rFonts w:asciiTheme="majorBidi" w:hAnsiTheme="majorBidi" w:cstheme="majorBidi"/>
          <w:sz w:val="24"/>
          <w:szCs w:val="24"/>
        </w:rPr>
        <w:t xml:space="preserve"> cannibalistic act</w:t>
      </w:r>
      <w:r w:rsidR="006A731A">
        <w:rPr>
          <w:rFonts w:asciiTheme="majorBidi" w:hAnsiTheme="majorBidi" w:cstheme="majorBidi"/>
          <w:sz w:val="24"/>
          <w:szCs w:val="24"/>
        </w:rPr>
        <w:t xml:space="preserve"> </w:t>
      </w:r>
      <w:r w:rsidR="00503D90">
        <w:rPr>
          <w:rFonts w:asciiTheme="majorBidi" w:hAnsiTheme="majorBidi" w:cstheme="majorBidi"/>
          <w:sz w:val="24"/>
          <w:szCs w:val="24"/>
        </w:rPr>
        <w:t>should</w:t>
      </w:r>
      <w:r w:rsidR="006A731A">
        <w:rPr>
          <w:rFonts w:asciiTheme="majorBidi" w:hAnsiTheme="majorBidi" w:cstheme="majorBidi"/>
          <w:sz w:val="24"/>
          <w:szCs w:val="24"/>
        </w:rPr>
        <w:t xml:space="preserve"> be taken into consideration in determining its legality</w:t>
      </w:r>
      <w:r w:rsidR="007A2337">
        <w:rPr>
          <w:rFonts w:asciiTheme="majorBidi" w:hAnsiTheme="majorBidi" w:cstheme="majorBidi"/>
          <w:sz w:val="24"/>
          <w:szCs w:val="24"/>
        </w:rPr>
        <w:t>.</w:t>
      </w:r>
      <w:r w:rsidR="00503D90">
        <w:rPr>
          <w:rStyle w:val="FootnoteReference"/>
          <w:rFonts w:asciiTheme="majorBidi" w:hAnsiTheme="majorBidi" w:cstheme="majorBidi"/>
          <w:sz w:val="24"/>
          <w:szCs w:val="24"/>
        </w:rPr>
        <w:footnoteReference w:id="19"/>
      </w:r>
      <w:r w:rsidR="00503D90">
        <w:rPr>
          <w:rFonts w:asciiTheme="majorBidi" w:hAnsiTheme="majorBidi" w:cstheme="majorBidi"/>
          <w:sz w:val="24"/>
          <w:szCs w:val="24"/>
        </w:rPr>
        <w:t xml:space="preserve"> </w:t>
      </w:r>
      <w:r w:rsidR="007A2337">
        <w:rPr>
          <w:rFonts w:asciiTheme="majorBidi" w:hAnsiTheme="majorBidi" w:cstheme="majorBidi"/>
          <w:sz w:val="24"/>
          <w:szCs w:val="24"/>
        </w:rPr>
        <w:t>A</w:t>
      </w:r>
      <w:r w:rsidR="006A731A">
        <w:rPr>
          <w:rFonts w:asciiTheme="majorBidi" w:hAnsiTheme="majorBidi" w:cstheme="majorBidi"/>
          <w:sz w:val="24"/>
          <w:szCs w:val="24"/>
        </w:rPr>
        <w:t>ccordingly</w:t>
      </w:r>
      <w:r w:rsidR="00503D90">
        <w:rPr>
          <w:rFonts w:asciiTheme="majorBidi" w:hAnsiTheme="majorBidi" w:cstheme="majorBidi"/>
          <w:sz w:val="24"/>
          <w:szCs w:val="24"/>
        </w:rPr>
        <w:t>,</w:t>
      </w:r>
      <w:r w:rsidR="0038799A">
        <w:rPr>
          <w:rFonts w:asciiTheme="majorBidi" w:hAnsiTheme="majorBidi" w:cstheme="majorBidi"/>
          <w:sz w:val="24"/>
          <w:szCs w:val="24"/>
        </w:rPr>
        <w:t xml:space="preserve"> he dismissed the</w:t>
      </w:r>
      <w:r w:rsidR="00503D90">
        <w:rPr>
          <w:rFonts w:asciiTheme="majorBidi" w:hAnsiTheme="majorBidi" w:cstheme="majorBidi"/>
          <w:sz w:val="24"/>
          <w:szCs w:val="24"/>
        </w:rPr>
        <w:t xml:space="preserve"> defendants</w:t>
      </w:r>
      <w:r w:rsidR="006A731A">
        <w:rPr>
          <w:rFonts w:asciiTheme="majorBidi" w:hAnsiTheme="majorBidi" w:cstheme="majorBidi"/>
          <w:sz w:val="24"/>
          <w:szCs w:val="24"/>
        </w:rPr>
        <w:t>’</w:t>
      </w:r>
      <w:r w:rsidR="00503D90">
        <w:rPr>
          <w:rFonts w:asciiTheme="majorBidi" w:hAnsiTheme="majorBidi" w:cstheme="majorBidi"/>
          <w:sz w:val="24"/>
          <w:szCs w:val="24"/>
        </w:rPr>
        <w:t xml:space="preserve"> defence of necessity and sentenced</w:t>
      </w:r>
      <w:r w:rsidR="006A731A">
        <w:rPr>
          <w:rFonts w:asciiTheme="majorBidi" w:hAnsiTheme="majorBidi" w:cstheme="majorBidi"/>
          <w:sz w:val="24"/>
          <w:szCs w:val="24"/>
        </w:rPr>
        <w:t xml:space="preserve"> them</w:t>
      </w:r>
      <w:r w:rsidR="00503D90">
        <w:rPr>
          <w:rFonts w:asciiTheme="majorBidi" w:hAnsiTheme="majorBidi" w:cstheme="majorBidi"/>
          <w:sz w:val="24"/>
          <w:szCs w:val="24"/>
        </w:rPr>
        <w:t xml:space="preserve"> to death</w:t>
      </w:r>
      <w:r w:rsidR="007A2337">
        <w:rPr>
          <w:rFonts w:asciiTheme="majorBidi" w:hAnsiTheme="majorBidi" w:cstheme="majorBidi"/>
          <w:sz w:val="24"/>
          <w:szCs w:val="24"/>
        </w:rPr>
        <w:t>, although</w:t>
      </w:r>
      <w:r w:rsidR="008025F0">
        <w:rPr>
          <w:rFonts w:asciiTheme="majorBidi" w:hAnsiTheme="majorBidi" w:cstheme="majorBidi"/>
          <w:sz w:val="24"/>
          <w:szCs w:val="24"/>
        </w:rPr>
        <w:t xml:space="preserve"> </w:t>
      </w:r>
      <w:r w:rsidR="007A2337">
        <w:rPr>
          <w:rFonts w:asciiTheme="majorBidi" w:hAnsiTheme="majorBidi" w:cstheme="majorBidi"/>
          <w:sz w:val="24"/>
          <w:szCs w:val="24"/>
        </w:rPr>
        <w:t>t</w:t>
      </w:r>
      <w:r w:rsidR="00503D90">
        <w:rPr>
          <w:rFonts w:asciiTheme="majorBidi" w:hAnsiTheme="majorBidi" w:cstheme="majorBidi"/>
          <w:sz w:val="24"/>
          <w:szCs w:val="24"/>
        </w:rPr>
        <w:t xml:space="preserve">he </w:t>
      </w:r>
      <w:r w:rsidR="008025F0">
        <w:rPr>
          <w:rFonts w:asciiTheme="majorBidi" w:hAnsiTheme="majorBidi" w:cstheme="majorBidi"/>
          <w:sz w:val="24"/>
          <w:szCs w:val="24"/>
        </w:rPr>
        <w:t xml:space="preserve">death </w:t>
      </w:r>
      <w:r w:rsidR="00503D90">
        <w:rPr>
          <w:rFonts w:asciiTheme="majorBidi" w:hAnsiTheme="majorBidi" w:cstheme="majorBidi"/>
          <w:sz w:val="24"/>
          <w:szCs w:val="24"/>
        </w:rPr>
        <w:t>sentence was later commuted</w:t>
      </w:r>
      <w:r w:rsidR="007A2337">
        <w:rPr>
          <w:rFonts w:asciiTheme="majorBidi" w:hAnsiTheme="majorBidi" w:cstheme="majorBidi"/>
          <w:sz w:val="24"/>
          <w:szCs w:val="24"/>
        </w:rPr>
        <w:t xml:space="preserve"> to six months</w:t>
      </w:r>
      <w:r w:rsidR="00503D90">
        <w:rPr>
          <w:rFonts w:asciiTheme="majorBidi" w:hAnsiTheme="majorBidi" w:cstheme="majorBidi"/>
          <w:sz w:val="24"/>
          <w:szCs w:val="24"/>
        </w:rPr>
        <w:t xml:space="preserve"> by the Crown.</w:t>
      </w:r>
      <w:r w:rsidR="008025F0">
        <w:rPr>
          <w:rFonts w:asciiTheme="majorBidi" w:hAnsiTheme="majorBidi" w:cstheme="majorBidi"/>
          <w:sz w:val="24"/>
          <w:szCs w:val="24"/>
        </w:rPr>
        <w:t xml:space="preserve"> </w:t>
      </w:r>
      <w:r w:rsidR="006A4CCB">
        <w:rPr>
          <w:rFonts w:asciiTheme="majorBidi" w:hAnsiTheme="majorBidi" w:cstheme="majorBidi"/>
          <w:sz w:val="24"/>
          <w:szCs w:val="24"/>
        </w:rPr>
        <w:t>T</w:t>
      </w:r>
      <w:r w:rsidR="008025F0">
        <w:rPr>
          <w:rFonts w:asciiTheme="majorBidi" w:hAnsiTheme="majorBidi" w:cstheme="majorBidi"/>
          <w:sz w:val="24"/>
          <w:szCs w:val="24"/>
        </w:rPr>
        <w:t>he</w:t>
      </w:r>
      <w:r w:rsidR="006A4CCB">
        <w:rPr>
          <w:rFonts w:asciiTheme="majorBidi" w:hAnsiTheme="majorBidi" w:cstheme="majorBidi"/>
          <w:sz w:val="24"/>
          <w:szCs w:val="24"/>
        </w:rPr>
        <w:t xml:space="preserve"> essence</w:t>
      </w:r>
      <w:r w:rsidR="008025F0">
        <w:rPr>
          <w:rFonts w:asciiTheme="majorBidi" w:hAnsiTheme="majorBidi" w:cstheme="majorBidi"/>
          <w:sz w:val="24"/>
          <w:szCs w:val="24"/>
        </w:rPr>
        <w:t xml:space="preserve"> of</w:t>
      </w:r>
      <w:r w:rsidR="00A56451">
        <w:rPr>
          <w:rFonts w:asciiTheme="majorBidi" w:hAnsiTheme="majorBidi" w:cstheme="majorBidi"/>
          <w:sz w:val="24"/>
          <w:szCs w:val="24"/>
        </w:rPr>
        <w:t xml:space="preserve"> the cannibalism in</w:t>
      </w:r>
      <w:r w:rsidR="008025F0">
        <w:rPr>
          <w:rFonts w:asciiTheme="majorBidi" w:hAnsiTheme="majorBidi" w:cstheme="majorBidi"/>
          <w:sz w:val="24"/>
          <w:szCs w:val="24"/>
        </w:rPr>
        <w:t xml:space="preserve"> </w:t>
      </w:r>
      <w:r w:rsidR="008025F0" w:rsidRPr="008025F0">
        <w:rPr>
          <w:rFonts w:asciiTheme="majorBidi" w:hAnsiTheme="majorBidi" w:cstheme="majorBidi"/>
          <w:i/>
          <w:iCs/>
          <w:sz w:val="24"/>
          <w:szCs w:val="24"/>
        </w:rPr>
        <w:t>Dudley’s</w:t>
      </w:r>
      <w:r w:rsidR="008025F0">
        <w:rPr>
          <w:rFonts w:asciiTheme="majorBidi" w:hAnsiTheme="majorBidi" w:cstheme="majorBidi"/>
          <w:sz w:val="24"/>
          <w:szCs w:val="24"/>
        </w:rPr>
        <w:t xml:space="preserve"> case is to </w:t>
      </w:r>
      <w:r w:rsidR="00EC3FF9">
        <w:rPr>
          <w:rFonts w:asciiTheme="majorBidi" w:hAnsiTheme="majorBidi" w:cstheme="majorBidi"/>
          <w:sz w:val="24"/>
          <w:szCs w:val="24"/>
        </w:rPr>
        <w:t>highlight</w:t>
      </w:r>
      <w:r w:rsidR="008025F0">
        <w:rPr>
          <w:rFonts w:asciiTheme="majorBidi" w:hAnsiTheme="majorBidi" w:cstheme="majorBidi"/>
          <w:sz w:val="24"/>
          <w:szCs w:val="24"/>
        </w:rPr>
        <w:t xml:space="preserve"> a contrast with</w:t>
      </w:r>
      <w:r w:rsidR="00EC3FF9">
        <w:rPr>
          <w:rFonts w:asciiTheme="majorBidi" w:hAnsiTheme="majorBidi" w:cstheme="majorBidi"/>
          <w:sz w:val="24"/>
          <w:szCs w:val="24"/>
        </w:rPr>
        <w:t xml:space="preserve"> medicinal cannibalism</w:t>
      </w:r>
      <w:r w:rsidR="008025F0">
        <w:rPr>
          <w:rFonts w:asciiTheme="majorBidi" w:hAnsiTheme="majorBidi" w:cstheme="majorBidi"/>
          <w:sz w:val="24"/>
          <w:szCs w:val="24"/>
        </w:rPr>
        <w:t xml:space="preserve">, in that the moral lenses that shaped the perception of the cannibalistic acts in </w:t>
      </w:r>
      <w:r w:rsidR="008025F0" w:rsidRPr="008025F0">
        <w:rPr>
          <w:rFonts w:asciiTheme="majorBidi" w:hAnsiTheme="majorBidi" w:cstheme="majorBidi"/>
          <w:i/>
          <w:iCs/>
          <w:sz w:val="24"/>
          <w:szCs w:val="24"/>
        </w:rPr>
        <w:t>Dudley</w:t>
      </w:r>
      <w:r w:rsidR="00EC3FF9">
        <w:rPr>
          <w:rFonts w:asciiTheme="majorBidi" w:hAnsiTheme="majorBidi" w:cstheme="majorBidi"/>
          <w:sz w:val="24"/>
          <w:szCs w:val="24"/>
        </w:rPr>
        <w:t xml:space="preserve"> w</w:t>
      </w:r>
      <w:r w:rsidR="008025F0">
        <w:rPr>
          <w:rFonts w:asciiTheme="majorBidi" w:hAnsiTheme="majorBidi" w:cstheme="majorBidi"/>
          <w:sz w:val="24"/>
          <w:szCs w:val="24"/>
        </w:rPr>
        <w:t>ere not deployed in relation to medicinal cannibalism.</w:t>
      </w:r>
      <w:r w:rsidR="00EC3FF9">
        <w:rPr>
          <w:rFonts w:asciiTheme="majorBidi" w:hAnsiTheme="majorBidi" w:cstheme="majorBidi"/>
          <w:sz w:val="24"/>
          <w:szCs w:val="24"/>
        </w:rPr>
        <w:t xml:space="preserve"> </w:t>
      </w:r>
      <w:r w:rsidR="008025F0">
        <w:rPr>
          <w:rFonts w:asciiTheme="majorBidi" w:hAnsiTheme="majorBidi" w:cstheme="majorBidi"/>
          <w:sz w:val="24"/>
          <w:szCs w:val="24"/>
        </w:rPr>
        <w:t>Thus,</w:t>
      </w:r>
      <w:r w:rsidR="00FE1C72">
        <w:rPr>
          <w:rFonts w:asciiTheme="majorBidi" w:hAnsiTheme="majorBidi" w:cstheme="majorBidi"/>
          <w:sz w:val="24"/>
          <w:szCs w:val="24"/>
        </w:rPr>
        <w:t xml:space="preserve"> </w:t>
      </w:r>
      <w:r w:rsidR="00FE1C72" w:rsidRPr="006A4CCB">
        <w:rPr>
          <w:rFonts w:asciiTheme="majorBidi" w:hAnsiTheme="majorBidi" w:cstheme="majorBidi"/>
          <w:sz w:val="24"/>
          <w:szCs w:val="24"/>
        </w:rPr>
        <w:t xml:space="preserve">mumia </w:t>
      </w:r>
      <w:r w:rsidR="00FE1C72">
        <w:rPr>
          <w:rFonts w:asciiTheme="majorBidi" w:hAnsiTheme="majorBidi" w:cstheme="majorBidi"/>
          <w:sz w:val="24"/>
          <w:szCs w:val="24"/>
        </w:rPr>
        <w:t>was</w:t>
      </w:r>
      <w:r w:rsidR="00856201">
        <w:rPr>
          <w:rFonts w:asciiTheme="majorBidi" w:hAnsiTheme="majorBidi" w:cstheme="majorBidi"/>
          <w:sz w:val="24"/>
          <w:szCs w:val="24"/>
        </w:rPr>
        <w:t xml:space="preserve"> endorsed by the College of Physicians in England</w:t>
      </w:r>
      <w:r w:rsidR="008025F0">
        <w:rPr>
          <w:rFonts w:asciiTheme="majorBidi" w:hAnsiTheme="majorBidi" w:cstheme="majorBidi"/>
          <w:sz w:val="24"/>
          <w:szCs w:val="24"/>
        </w:rPr>
        <w:t>;</w:t>
      </w:r>
      <w:r w:rsidR="00581183">
        <w:rPr>
          <w:rFonts w:asciiTheme="majorBidi" w:hAnsiTheme="majorBidi" w:cstheme="majorBidi"/>
          <w:sz w:val="24"/>
          <w:szCs w:val="24"/>
        </w:rPr>
        <w:t xml:space="preserve"> and</w:t>
      </w:r>
      <w:r w:rsidR="00856201">
        <w:rPr>
          <w:rFonts w:asciiTheme="majorBidi" w:hAnsiTheme="majorBidi" w:cstheme="majorBidi"/>
          <w:sz w:val="24"/>
          <w:szCs w:val="24"/>
        </w:rPr>
        <w:t xml:space="preserve"> in 1618</w:t>
      </w:r>
      <w:r w:rsidR="00811B30">
        <w:rPr>
          <w:rFonts w:asciiTheme="majorBidi" w:hAnsiTheme="majorBidi" w:cstheme="majorBidi"/>
          <w:sz w:val="24"/>
          <w:szCs w:val="24"/>
        </w:rPr>
        <w:t>,</w:t>
      </w:r>
      <w:r w:rsidR="0038799A">
        <w:rPr>
          <w:rFonts w:asciiTheme="majorBidi" w:hAnsiTheme="majorBidi" w:cstheme="majorBidi"/>
          <w:sz w:val="24"/>
          <w:szCs w:val="24"/>
        </w:rPr>
        <w:t xml:space="preserve"> it was</w:t>
      </w:r>
      <w:r w:rsidR="00811B30">
        <w:rPr>
          <w:rFonts w:asciiTheme="majorBidi" w:hAnsiTheme="majorBidi" w:cstheme="majorBidi"/>
          <w:sz w:val="24"/>
          <w:szCs w:val="24"/>
        </w:rPr>
        <w:t xml:space="preserve"> listed in the official London Pharmacopoeia</w:t>
      </w:r>
      <w:r w:rsidR="0038799A">
        <w:rPr>
          <w:rFonts w:asciiTheme="majorBidi" w:hAnsiTheme="majorBidi" w:cstheme="majorBidi"/>
          <w:sz w:val="24"/>
          <w:szCs w:val="24"/>
        </w:rPr>
        <w:t>.</w:t>
      </w:r>
      <w:r w:rsidR="00811B30">
        <w:rPr>
          <w:rStyle w:val="FootnoteReference"/>
          <w:rFonts w:asciiTheme="majorBidi" w:hAnsiTheme="majorBidi" w:cstheme="majorBidi"/>
          <w:sz w:val="24"/>
          <w:szCs w:val="24"/>
        </w:rPr>
        <w:footnoteReference w:id="20"/>
      </w:r>
      <w:r w:rsidR="00811B30">
        <w:rPr>
          <w:rFonts w:asciiTheme="majorBidi" w:hAnsiTheme="majorBidi" w:cstheme="majorBidi"/>
          <w:sz w:val="24"/>
          <w:szCs w:val="24"/>
        </w:rPr>
        <w:t xml:space="preserve"> </w:t>
      </w:r>
      <w:r w:rsidR="0038799A" w:rsidRPr="006A4CCB">
        <w:rPr>
          <w:rFonts w:asciiTheme="majorBidi" w:hAnsiTheme="majorBidi" w:cstheme="majorBidi"/>
          <w:sz w:val="24"/>
          <w:szCs w:val="24"/>
        </w:rPr>
        <w:t>Mumia</w:t>
      </w:r>
      <w:r w:rsidR="00811B30">
        <w:rPr>
          <w:rFonts w:asciiTheme="majorBidi" w:hAnsiTheme="majorBidi" w:cstheme="majorBidi"/>
          <w:sz w:val="24"/>
          <w:szCs w:val="24"/>
        </w:rPr>
        <w:t xml:space="preserve"> was</w:t>
      </w:r>
      <w:r w:rsidR="00581183">
        <w:rPr>
          <w:rFonts w:asciiTheme="majorBidi" w:hAnsiTheme="majorBidi" w:cstheme="majorBidi"/>
          <w:sz w:val="24"/>
          <w:szCs w:val="24"/>
        </w:rPr>
        <w:t xml:space="preserve"> equally</w:t>
      </w:r>
      <w:r w:rsidR="00811B30">
        <w:rPr>
          <w:rFonts w:asciiTheme="majorBidi" w:hAnsiTheme="majorBidi" w:cstheme="majorBidi"/>
          <w:sz w:val="24"/>
          <w:szCs w:val="24"/>
        </w:rPr>
        <w:t xml:space="preserve"> listed in the then influential </w:t>
      </w:r>
      <w:r w:rsidR="00811B30" w:rsidRPr="00C704EB">
        <w:rPr>
          <w:rFonts w:asciiTheme="majorBidi" w:hAnsiTheme="majorBidi" w:cstheme="majorBidi"/>
          <w:i/>
          <w:iCs/>
          <w:sz w:val="24"/>
          <w:szCs w:val="24"/>
        </w:rPr>
        <w:t>Lemery’s Medical Dictionary</w:t>
      </w:r>
      <w:r w:rsidR="00811B30">
        <w:rPr>
          <w:rFonts w:asciiTheme="majorBidi" w:hAnsiTheme="majorBidi" w:cstheme="majorBidi"/>
          <w:sz w:val="24"/>
          <w:szCs w:val="24"/>
        </w:rPr>
        <w:t>.</w:t>
      </w:r>
      <w:r w:rsidR="00811B30">
        <w:rPr>
          <w:rStyle w:val="FootnoteReference"/>
          <w:rFonts w:asciiTheme="majorBidi" w:hAnsiTheme="majorBidi" w:cstheme="majorBidi"/>
          <w:sz w:val="24"/>
          <w:szCs w:val="24"/>
        </w:rPr>
        <w:footnoteReference w:id="21"/>
      </w:r>
      <w:r w:rsidR="00C86065">
        <w:rPr>
          <w:rFonts w:asciiTheme="majorBidi" w:hAnsiTheme="majorBidi" w:cstheme="majorBidi"/>
          <w:sz w:val="24"/>
          <w:szCs w:val="24"/>
        </w:rPr>
        <w:t xml:space="preserve"> </w:t>
      </w:r>
      <w:r w:rsidR="004855A4">
        <w:rPr>
          <w:rFonts w:asciiTheme="majorBidi" w:hAnsiTheme="majorBidi" w:cstheme="majorBidi"/>
          <w:sz w:val="24"/>
          <w:szCs w:val="24"/>
        </w:rPr>
        <w:t>Furthermore, m</w:t>
      </w:r>
      <w:r w:rsidR="00C86065">
        <w:rPr>
          <w:rFonts w:asciiTheme="majorBidi" w:hAnsiTheme="majorBidi" w:cstheme="majorBidi"/>
          <w:sz w:val="24"/>
          <w:szCs w:val="24"/>
        </w:rPr>
        <w:t>edicinal cannibalism</w:t>
      </w:r>
      <w:r w:rsidR="00C704EB">
        <w:rPr>
          <w:rFonts w:asciiTheme="majorBidi" w:hAnsiTheme="majorBidi" w:cstheme="majorBidi"/>
          <w:sz w:val="24"/>
          <w:szCs w:val="24"/>
        </w:rPr>
        <w:t xml:space="preserve"> was ingrained in the literary imagination</w:t>
      </w:r>
      <w:r w:rsidR="004855A4">
        <w:rPr>
          <w:rFonts w:asciiTheme="majorBidi" w:hAnsiTheme="majorBidi" w:cstheme="majorBidi"/>
          <w:sz w:val="24"/>
          <w:szCs w:val="24"/>
        </w:rPr>
        <w:t xml:space="preserve"> of the era;</w:t>
      </w:r>
      <w:r w:rsidR="00C704EB">
        <w:rPr>
          <w:rFonts w:asciiTheme="majorBidi" w:hAnsiTheme="majorBidi" w:cstheme="majorBidi"/>
          <w:sz w:val="24"/>
          <w:szCs w:val="24"/>
        </w:rPr>
        <w:t xml:space="preserve"> classical authors</w:t>
      </w:r>
      <w:r w:rsidR="005C0AD5">
        <w:rPr>
          <w:rFonts w:asciiTheme="majorBidi" w:hAnsiTheme="majorBidi" w:cstheme="majorBidi"/>
          <w:sz w:val="24"/>
          <w:szCs w:val="24"/>
        </w:rPr>
        <w:t xml:space="preserve"> of</w:t>
      </w:r>
      <w:r w:rsidR="00FE1C72">
        <w:rPr>
          <w:rFonts w:asciiTheme="majorBidi" w:hAnsiTheme="majorBidi" w:cstheme="majorBidi"/>
          <w:sz w:val="24"/>
          <w:szCs w:val="24"/>
        </w:rPr>
        <w:t xml:space="preserve"> English literature</w:t>
      </w:r>
      <w:r w:rsidR="00AC50FF">
        <w:rPr>
          <w:rFonts w:asciiTheme="majorBidi" w:hAnsiTheme="majorBidi" w:cstheme="majorBidi"/>
          <w:sz w:val="24"/>
          <w:szCs w:val="24"/>
        </w:rPr>
        <w:t>, including Shakespeare,</w:t>
      </w:r>
      <w:r w:rsidR="004855A4">
        <w:rPr>
          <w:rFonts w:asciiTheme="majorBidi" w:hAnsiTheme="majorBidi" w:cstheme="majorBidi"/>
          <w:sz w:val="24"/>
          <w:szCs w:val="24"/>
        </w:rPr>
        <w:t xml:space="preserve"> often used medicinal cannibalism</w:t>
      </w:r>
      <w:r w:rsidR="00A201ED">
        <w:rPr>
          <w:rFonts w:asciiTheme="majorBidi" w:hAnsiTheme="majorBidi" w:cstheme="majorBidi"/>
          <w:sz w:val="24"/>
          <w:szCs w:val="24"/>
        </w:rPr>
        <w:t xml:space="preserve"> as a rhetorical strategy </w:t>
      </w:r>
      <w:r w:rsidR="00C704EB">
        <w:rPr>
          <w:rFonts w:asciiTheme="majorBidi" w:hAnsiTheme="majorBidi" w:cstheme="majorBidi"/>
          <w:sz w:val="24"/>
          <w:szCs w:val="24"/>
        </w:rPr>
        <w:t>for</w:t>
      </w:r>
      <w:r w:rsidR="00A201ED">
        <w:rPr>
          <w:rFonts w:asciiTheme="majorBidi" w:hAnsiTheme="majorBidi" w:cstheme="majorBidi"/>
          <w:sz w:val="24"/>
          <w:szCs w:val="24"/>
        </w:rPr>
        <w:t xml:space="preserve"> engag</w:t>
      </w:r>
      <w:r w:rsidR="00C704EB">
        <w:rPr>
          <w:rFonts w:asciiTheme="majorBidi" w:hAnsiTheme="majorBidi" w:cstheme="majorBidi"/>
          <w:sz w:val="24"/>
          <w:szCs w:val="24"/>
        </w:rPr>
        <w:t>ing</w:t>
      </w:r>
      <w:r w:rsidR="00A201ED">
        <w:rPr>
          <w:rFonts w:asciiTheme="majorBidi" w:hAnsiTheme="majorBidi" w:cstheme="majorBidi"/>
          <w:sz w:val="24"/>
          <w:szCs w:val="24"/>
        </w:rPr>
        <w:t xml:space="preserve"> with pressing</w:t>
      </w:r>
      <w:r w:rsidR="00CD5F4F">
        <w:rPr>
          <w:rFonts w:asciiTheme="majorBidi" w:hAnsiTheme="majorBidi" w:cstheme="majorBidi"/>
          <w:sz w:val="24"/>
          <w:szCs w:val="24"/>
        </w:rPr>
        <w:t xml:space="preserve"> social, cultural</w:t>
      </w:r>
      <w:r w:rsidR="00AC50FF">
        <w:rPr>
          <w:rFonts w:asciiTheme="majorBidi" w:hAnsiTheme="majorBidi" w:cstheme="majorBidi"/>
          <w:sz w:val="24"/>
          <w:szCs w:val="24"/>
        </w:rPr>
        <w:t>, political</w:t>
      </w:r>
      <w:r w:rsidR="00CD5F4F">
        <w:rPr>
          <w:rFonts w:asciiTheme="majorBidi" w:hAnsiTheme="majorBidi" w:cstheme="majorBidi"/>
          <w:sz w:val="24"/>
          <w:szCs w:val="24"/>
        </w:rPr>
        <w:t xml:space="preserve"> and economic issues</w:t>
      </w:r>
      <w:r w:rsidR="00FE1C72">
        <w:rPr>
          <w:rFonts w:asciiTheme="majorBidi" w:hAnsiTheme="majorBidi" w:cstheme="majorBidi"/>
          <w:sz w:val="24"/>
          <w:szCs w:val="24"/>
        </w:rPr>
        <w:t>.</w:t>
      </w:r>
      <w:r w:rsidR="00AC50FF">
        <w:rPr>
          <w:rStyle w:val="FootnoteReference"/>
          <w:rFonts w:asciiTheme="majorBidi" w:hAnsiTheme="majorBidi" w:cstheme="majorBidi"/>
          <w:sz w:val="24"/>
          <w:szCs w:val="24"/>
        </w:rPr>
        <w:footnoteReference w:id="22"/>
      </w:r>
      <w:r w:rsidR="00CD5F4F">
        <w:rPr>
          <w:rFonts w:asciiTheme="majorBidi" w:hAnsiTheme="majorBidi" w:cstheme="majorBidi"/>
          <w:sz w:val="24"/>
          <w:szCs w:val="24"/>
        </w:rPr>
        <w:t xml:space="preserve"> </w:t>
      </w:r>
      <w:r w:rsidR="004855A4">
        <w:rPr>
          <w:rFonts w:asciiTheme="majorBidi" w:hAnsiTheme="majorBidi" w:cstheme="majorBidi"/>
          <w:sz w:val="24"/>
          <w:szCs w:val="24"/>
        </w:rPr>
        <w:t>N</w:t>
      </w:r>
      <w:r w:rsidR="00CD5F4F">
        <w:rPr>
          <w:rFonts w:asciiTheme="majorBidi" w:hAnsiTheme="majorBidi" w:cstheme="majorBidi"/>
          <w:sz w:val="24"/>
          <w:szCs w:val="24"/>
        </w:rPr>
        <w:t>oble observe</w:t>
      </w:r>
      <w:r w:rsidR="004855A4">
        <w:rPr>
          <w:rFonts w:asciiTheme="majorBidi" w:hAnsiTheme="majorBidi" w:cstheme="majorBidi"/>
          <w:sz w:val="24"/>
          <w:szCs w:val="24"/>
        </w:rPr>
        <w:t>d that</w:t>
      </w:r>
      <w:r w:rsidR="00CD5F4F">
        <w:rPr>
          <w:rFonts w:asciiTheme="majorBidi" w:hAnsiTheme="majorBidi" w:cstheme="majorBidi"/>
          <w:sz w:val="24"/>
          <w:szCs w:val="24"/>
        </w:rPr>
        <w:t xml:space="preserve"> the ‘pervasive presence of mummy in early modern literature and drama reveals a cultural fascination, almost to the point of obsession with the medical recycling of corpse matter’.</w:t>
      </w:r>
      <w:r w:rsidR="002E6BCB">
        <w:rPr>
          <w:rStyle w:val="FootnoteReference"/>
          <w:rFonts w:asciiTheme="majorBidi" w:hAnsiTheme="majorBidi" w:cstheme="majorBidi"/>
          <w:sz w:val="24"/>
          <w:szCs w:val="24"/>
        </w:rPr>
        <w:footnoteReference w:id="23"/>
      </w:r>
      <w:r w:rsidR="0070528A">
        <w:rPr>
          <w:rFonts w:asciiTheme="majorBidi" w:hAnsiTheme="majorBidi" w:cstheme="majorBidi"/>
          <w:sz w:val="24"/>
          <w:szCs w:val="24"/>
        </w:rPr>
        <w:t xml:space="preserve"> While the phenomenon of medicinal cannibalism was</w:t>
      </w:r>
      <w:r w:rsidR="00C7118C">
        <w:rPr>
          <w:rFonts w:asciiTheme="majorBidi" w:hAnsiTheme="majorBidi" w:cstheme="majorBidi"/>
          <w:sz w:val="24"/>
          <w:szCs w:val="24"/>
        </w:rPr>
        <w:t xml:space="preserve"> pervasive and entrenched in history and literature, the concern here is</w:t>
      </w:r>
      <w:r w:rsidR="0070528A">
        <w:rPr>
          <w:rFonts w:asciiTheme="majorBidi" w:hAnsiTheme="majorBidi" w:cstheme="majorBidi"/>
          <w:sz w:val="24"/>
          <w:szCs w:val="24"/>
        </w:rPr>
        <w:t xml:space="preserve"> to interrogate its</w:t>
      </w:r>
      <w:r w:rsidR="00C7118C">
        <w:rPr>
          <w:rFonts w:asciiTheme="majorBidi" w:hAnsiTheme="majorBidi" w:cstheme="majorBidi"/>
          <w:sz w:val="24"/>
          <w:szCs w:val="24"/>
        </w:rPr>
        <w:t xml:space="preserve"> parallel, if any, with the </w:t>
      </w:r>
      <w:r w:rsidR="0070528A">
        <w:rPr>
          <w:rFonts w:asciiTheme="majorBidi" w:hAnsiTheme="majorBidi" w:cstheme="majorBidi"/>
          <w:sz w:val="24"/>
          <w:szCs w:val="24"/>
        </w:rPr>
        <w:t>current</w:t>
      </w:r>
      <w:r w:rsidR="00C7118C">
        <w:rPr>
          <w:rFonts w:asciiTheme="majorBidi" w:hAnsiTheme="majorBidi" w:cstheme="majorBidi"/>
          <w:sz w:val="24"/>
          <w:szCs w:val="24"/>
        </w:rPr>
        <w:t xml:space="preserve"> technicity and biovalue of bod</w:t>
      </w:r>
      <w:r w:rsidR="006A4CCB">
        <w:rPr>
          <w:rFonts w:asciiTheme="majorBidi" w:hAnsiTheme="majorBidi" w:cstheme="majorBidi"/>
          <w:sz w:val="24"/>
          <w:szCs w:val="24"/>
        </w:rPr>
        <w:t>il</w:t>
      </w:r>
      <w:r w:rsidR="00C7118C">
        <w:rPr>
          <w:rFonts w:asciiTheme="majorBidi" w:hAnsiTheme="majorBidi" w:cstheme="majorBidi"/>
          <w:sz w:val="24"/>
          <w:szCs w:val="24"/>
        </w:rPr>
        <w:t>y parts highlighted above.</w:t>
      </w:r>
    </w:p>
    <w:p w:rsidR="003A1CD9" w:rsidRDefault="00C60B88" w:rsidP="003C69E8">
      <w:pPr>
        <w:ind w:firstLine="720"/>
        <w:jc w:val="both"/>
        <w:rPr>
          <w:rFonts w:asciiTheme="majorBidi" w:hAnsiTheme="majorBidi" w:cstheme="majorBidi"/>
          <w:sz w:val="24"/>
          <w:szCs w:val="24"/>
        </w:rPr>
      </w:pPr>
      <w:r>
        <w:rPr>
          <w:rFonts w:asciiTheme="majorBidi" w:hAnsiTheme="majorBidi" w:cstheme="majorBidi"/>
          <w:sz w:val="24"/>
          <w:szCs w:val="24"/>
        </w:rPr>
        <w:t>The question, therefore, is</w:t>
      </w:r>
      <w:r w:rsidR="00026F8E">
        <w:rPr>
          <w:rFonts w:asciiTheme="majorBidi" w:hAnsiTheme="majorBidi" w:cstheme="majorBidi"/>
          <w:sz w:val="24"/>
          <w:szCs w:val="24"/>
        </w:rPr>
        <w:t xml:space="preserve"> whether</w:t>
      </w:r>
      <w:r w:rsidR="00F95293">
        <w:rPr>
          <w:rFonts w:asciiTheme="majorBidi" w:hAnsiTheme="majorBidi" w:cstheme="majorBidi"/>
          <w:sz w:val="24"/>
          <w:szCs w:val="24"/>
        </w:rPr>
        <w:t xml:space="preserve"> corpse pharmacology</w:t>
      </w:r>
      <w:r w:rsidR="00065962">
        <w:rPr>
          <w:rFonts w:asciiTheme="majorBidi" w:hAnsiTheme="majorBidi" w:cstheme="majorBidi"/>
          <w:sz w:val="24"/>
          <w:szCs w:val="24"/>
        </w:rPr>
        <w:t>,</w:t>
      </w:r>
      <w:r w:rsidR="00BE4CE5">
        <w:rPr>
          <w:rFonts w:asciiTheme="majorBidi" w:hAnsiTheme="majorBidi" w:cstheme="majorBidi"/>
          <w:sz w:val="24"/>
          <w:szCs w:val="24"/>
        </w:rPr>
        <w:t xml:space="preserve"> the</w:t>
      </w:r>
      <w:r>
        <w:rPr>
          <w:rFonts w:asciiTheme="majorBidi" w:hAnsiTheme="majorBidi" w:cstheme="majorBidi"/>
          <w:sz w:val="24"/>
          <w:szCs w:val="24"/>
        </w:rPr>
        <w:t xml:space="preserve"> medicinal</w:t>
      </w:r>
      <w:r w:rsidR="00BE4CE5">
        <w:rPr>
          <w:rFonts w:asciiTheme="majorBidi" w:hAnsiTheme="majorBidi" w:cstheme="majorBidi"/>
          <w:sz w:val="24"/>
          <w:szCs w:val="24"/>
        </w:rPr>
        <w:t xml:space="preserve"> ingestion of recycled </w:t>
      </w:r>
      <w:r w:rsidR="00D00286">
        <w:rPr>
          <w:rFonts w:asciiTheme="majorBidi" w:hAnsiTheme="majorBidi" w:cstheme="majorBidi"/>
          <w:sz w:val="24"/>
          <w:szCs w:val="24"/>
        </w:rPr>
        <w:t>corpse</w:t>
      </w:r>
      <w:r w:rsidR="00BE4CE5">
        <w:rPr>
          <w:rFonts w:asciiTheme="majorBidi" w:hAnsiTheme="majorBidi" w:cstheme="majorBidi"/>
          <w:sz w:val="24"/>
          <w:szCs w:val="24"/>
        </w:rPr>
        <w:t xml:space="preserve"> matter,</w:t>
      </w:r>
      <w:r w:rsidR="00026F8E">
        <w:rPr>
          <w:rFonts w:asciiTheme="majorBidi" w:hAnsiTheme="majorBidi" w:cstheme="majorBidi"/>
          <w:sz w:val="24"/>
          <w:szCs w:val="24"/>
        </w:rPr>
        <w:t xml:space="preserve"> has any relevance</w:t>
      </w:r>
      <w:r>
        <w:rPr>
          <w:rFonts w:asciiTheme="majorBidi" w:hAnsiTheme="majorBidi" w:cstheme="majorBidi"/>
          <w:sz w:val="24"/>
          <w:szCs w:val="24"/>
        </w:rPr>
        <w:t xml:space="preserve"> for the</w:t>
      </w:r>
      <w:r w:rsidR="00F95293">
        <w:rPr>
          <w:rFonts w:asciiTheme="majorBidi" w:hAnsiTheme="majorBidi" w:cstheme="majorBidi"/>
          <w:sz w:val="24"/>
          <w:szCs w:val="24"/>
        </w:rPr>
        <w:t xml:space="preserve"> modern</w:t>
      </w:r>
      <w:r>
        <w:rPr>
          <w:rFonts w:asciiTheme="majorBidi" w:hAnsiTheme="majorBidi" w:cstheme="majorBidi"/>
          <w:sz w:val="24"/>
          <w:szCs w:val="24"/>
        </w:rPr>
        <w:t xml:space="preserve"> </w:t>
      </w:r>
      <w:r w:rsidRPr="00BE4CE5">
        <w:rPr>
          <w:rFonts w:asciiTheme="majorBidi" w:hAnsiTheme="majorBidi" w:cstheme="majorBidi"/>
          <w:i/>
          <w:iCs/>
          <w:sz w:val="24"/>
          <w:szCs w:val="24"/>
        </w:rPr>
        <w:t xml:space="preserve">tissue </w:t>
      </w:r>
      <w:r>
        <w:rPr>
          <w:rFonts w:asciiTheme="majorBidi" w:hAnsiTheme="majorBidi" w:cstheme="majorBidi"/>
          <w:i/>
          <w:iCs/>
          <w:sz w:val="24"/>
          <w:szCs w:val="24"/>
        </w:rPr>
        <w:t>economy</w:t>
      </w:r>
      <w:r>
        <w:rPr>
          <w:rFonts w:asciiTheme="majorBidi" w:hAnsiTheme="majorBidi" w:cstheme="majorBidi"/>
          <w:sz w:val="24"/>
          <w:szCs w:val="24"/>
        </w:rPr>
        <w:t>; that is, the</w:t>
      </w:r>
      <w:r w:rsidR="00F95293">
        <w:rPr>
          <w:rFonts w:asciiTheme="majorBidi" w:hAnsiTheme="majorBidi" w:cstheme="majorBidi"/>
          <w:sz w:val="24"/>
          <w:szCs w:val="24"/>
        </w:rPr>
        <w:t xml:space="preserve"> commodification, fragmentation</w:t>
      </w:r>
      <w:r w:rsidR="00BE4CE5">
        <w:rPr>
          <w:rFonts w:asciiTheme="majorBidi" w:hAnsiTheme="majorBidi" w:cstheme="majorBidi"/>
          <w:sz w:val="24"/>
          <w:szCs w:val="24"/>
        </w:rPr>
        <w:t>, diversification</w:t>
      </w:r>
      <w:r w:rsidR="00F95293">
        <w:rPr>
          <w:rFonts w:asciiTheme="majorBidi" w:hAnsiTheme="majorBidi" w:cstheme="majorBidi"/>
          <w:sz w:val="24"/>
          <w:szCs w:val="24"/>
        </w:rPr>
        <w:t xml:space="preserve"> and distribution of the human body</w:t>
      </w:r>
      <w:r w:rsidR="00065962">
        <w:rPr>
          <w:rFonts w:asciiTheme="majorBidi" w:hAnsiTheme="majorBidi" w:cstheme="majorBidi"/>
          <w:i/>
          <w:iCs/>
          <w:sz w:val="24"/>
          <w:szCs w:val="24"/>
        </w:rPr>
        <w:t>.</w:t>
      </w:r>
      <w:r w:rsidR="00BE4CE5">
        <w:rPr>
          <w:rStyle w:val="FootnoteReference"/>
          <w:rFonts w:asciiTheme="majorBidi" w:hAnsiTheme="majorBidi" w:cstheme="majorBidi"/>
          <w:sz w:val="24"/>
          <w:szCs w:val="24"/>
        </w:rPr>
        <w:footnoteReference w:id="24"/>
      </w:r>
      <w:r w:rsidR="00BE4CE5">
        <w:rPr>
          <w:rFonts w:asciiTheme="majorBidi" w:hAnsiTheme="majorBidi" w:cstheme="majorBidi"/>
          <w:sz w:val="24"/>
          <w:szCs w:val="24"/>
        </w:rPr>
        <w:t xml:space="preserve"> </w:t>
      </w:r>
      <w:r w:rsidR="00460095">
        <w:rPr>
          <w:rFonts w:asciiTheme="majorBidi" w:hAnsiTheme="majorBidi" w:cstheme="majorBidi"/>
          <w:sz w:val="24"/>
          <w:szCs w:val="24"/>
        </w:rPr>
        <w:lastRenderedPageBreak/>
        <w:t>Arguably,</w:t>
      </w:r>
      <w:r w:rsidR="008E48E5">
        <w:rPr>
          <w:rFonts w:asciiTheme="majorBidi" w:hAnsiTheme="majorBidi" w:cstheme="majorBidi"/>
          <w:sz w:val="24"/>
          <w:szCs w:val="24"/>
        </w:rPr>
        <w:t xml:space="preserve"> medicinal cannibalism ha</w:t>
      </w:r>
      <w:r w:rsidR="00E66DA2">
        <w:rPr>
          <w:rFonts w:asciiTheme="majorBidi" w:hAnsiTheme="majorBidi" w:cstheme="majorBidi"/>
          <w:sz w:val="24"/>
          <w:szCs w:val="24"/>
        </w:rPr>
        <w:t>d</w:t>
      </w:r>
      <w:r w:rsidR="008E48E5">
        <w:rPr>
          <w:rFonts w:asciiTheme="majorBidi" w:hAnsiTheme="majorBidi" w:cstheme="majorBidi"/>
          <w:sz w:val="24"/>
          <w:szCs w:val="24"/>
        </w:rPr>
        <w:t xml:space="preserve"> a multi-temporal dimension, in the sense of manifesting in some sorts in</w:t>
      </w:r>
      <w:r w:rsidR="00E66DA2">
        <w:rPr>
          <w:rFonts w:asciiTheme="majorBidi" w:hAnsiTheme="majorBidi" w:cstheme="majorBidi"/>
          <w:sz w:val="24"/>
          <w:szCs w:val="24"/>
        </w:rPr>
        <w:t xml:space="preserve"> the</w:t>
      </w:r>
      <w:r w:rsidR="008E48E5">
        <w:rPr>
          <w:rFonts w:asciiTheme="majorBidi" w:hAnsiTheme="majorBidi" w:cstheme="majorBidi"/>
          <w:sz w:val="24"/>
          <w:szCs w:val="24"/>
        </w:rPr>
        <w:t xml:space="preserve"> modern</w:t>
      </w:r>
      <w:r w:rsidR="00460095">
        <w:rPr>
          <w:rFonts w:asciiTheme="majorBidi" w:hAnsiTheme="majorBidi" w:cstheme="majorBidi"/>
          <w:sz w:val="24"/>
          <w:szCs w:val="24"/>
        </w:rPr>
        <w:t xml:space="preserve"> organ</w:t>
      </w:r>
      <w:r w:rsidR="008E48E5">
        <w:rPr>
          <w:rFonts w:asciiTheme="majorBidi" w:hAnsiTheme="majorBidi" w:cstheme="majorBidi"/>
          <w:sz w:val="24"/>
          <w:szCs w:val="24"/>
        </w:rPr>
        <w:t xml:space="preserve"> donation and</w:t>
      </w:r>
      <w:r w:rsidR="00460095">
        <w:rPr>
          <w:rFonts w:asciiTheme="majorBidi" w:hAnsiTheme="majorBidi" w:cstheme="majorBidi"/>
          <w:sz w:val="24"/>
          <w:szCs w:val="24"/>
        </w:rPr>
        <w:t xml:space="preserve"> transplantation</w:t>
      </w:r>
      <w:r w:rsidR="00026F8E">
        <w:rPr>
          <w:rFonts w:asciiTheme="majorBidi" w:hAnsiTheme="majorBidi" w:cstheme="majorBidi"/>
          <w:sz w:val="24"/>
          <w:szCs w:val="24"/>
        </w:rPr>
        <w:t xml:space="preserve"> processes</w:t>
      </w:r>
      <w:r w:rsidR="008E48E5">
        <w:rPr>
          <w:rFonts w:asciiTheme="majorBidi" w:hAnsiTheme="majorBidi" w:cstheme="majorBidi"/>
          <w:sz w:val="24"/>
          <w:szCs w:val="24"/>
        </w:rPr>
        <w:t>,</w:t>
      </w:r>
      <w:r w:rsidR="00460095">
        <w:rPr>
          <w:rFonts w:asciiTheme="majorBidi" w:hAnsiTheme="majorBidi" w:cstheme="majorBidi"/>
          <w:sz w:val="24"/>
          <w:szCs w:val="24"/>
        </w:rPr>
        <w:t xml:space="preserve"> and other</w:t>
      </w:r>
      <w:r w:rsidR="008E48E5">
        <w:rPr>
          <w:rFonts w:asciiTheme="majorBidi" w:hAnsiTheme="majorBidi" w:cstheme="majorBidi"/>
          <w:sz w:val="24"/>
          <w:szCs w:val="24"/>
        </w:rPr>
        <w:t xml:space="preserve"> biomedical</w:t>
      </w:r>
      <w:r w:rsidR="00460095">
        <w:rPr>
          <w:rFonts w:asciiTheme="majorBidi" w:hAnsiTheme="majorBidi" w:cstheme="majorBidi"/>
          <w:sz w:val="24"/>
          <w:szCs w:val="24"/>
        </w:rPr>
        <w:t xml:space="preserve"> therapies</w:t>
      </w:r>
      <w:r w:rsidR="000E05B0">
        <w:rPr>
          <w:rFonts w:asciiTheme="majorBidi" w:hAnsiTheme="majorBidi" w:cstheme="majorBidi"/>
          <w:sz w:val="24"/>
          <w:szCs w:val="24"/>
        </w:rPr>
        <w:t xml:space="preserve"> that are</w:t>
      </w:r>
      <w:r w:rsidR="00460095">
        <w:rPr>
          <w:rFonts w:asciiTheme="majorBidi" w:hAnsiTheme="majorBidi" w:cstheme="majorBidi"/>
          <w:sz w:val="24"/>
          <w:szCs w:val="24"/>
        </w:rPr>
        <w:t xml:space="preserve"> based on</w:t>
      </w:r>
      <w:r w:rsidR="000E05B0">
        <w:rPr>
          <w:rFonts w:asciiTheme="majorBidi" w:hAnsiTheme="majorBidi" w:cstheme="majorBidi"/>
          <w:sz w:val="24"/>
          <w:szCs w:val="24"/>
        </w:rPr>
        <w:t xml:space="preserve"> the</w:t>
      </w:r>
      <w:r w:rsidR="00C72E73">
        <w:rPr>
          <w:rFonts w:asciiTheme="majorBidi" w:hAnsiTheme="majorBidi" w:cstheme="majorBidi"/>
          <w:sz w:val="24"/>
          <w:szCs w:val="24"/>
        </w:rPr>
        <w:t xml:space="preserve"> parts of </w:t>
      </w:r>
      <w:r w:rsidR="000E05B0">
        <w:rPr>
          <w:rFonts w:asciiTheme="majorBidi" w:hAnsiTheme="majorBidi" w:cstheme="majorBidi"/>
          <w:sz w:val="24"/>
          <w:szCs w:val="24"/>
        </w:rPr>
        <w:t>a</w:t>
      </w:r>
      <w:r w:rsidR="00C72E73">
        <w:rPr>
          <w:rFonts w:asciiTheme="majorBidi" w:hAnsiTheme="majorBidi" w:cstheme="majorBidi"/>
          <w:sz w:val="24"/>
          <w:szCs w:val="24"/>
        </w:rPr>
        <w:t xml:space="preserve"> human</w:t>
      </w:r>
      <w:r w:rsidR="00460095">
        <w:rPr>
          <w:rFonts w:asciiTheme="majorBidi" w:hAnsiTheme="majorBidi" w:cstheme="majorBidi"/>
          <w:sz w:val="24"/>
          <w:szCs w:val="24"/>
        </w:rPr>
        <w:t xml:space="preserve"> body</w:t>
      </w:r>
      <w:r w:rsidR="008E48E5">
        <w:rPr>
          <w:rFonts w:asciiTheme="majorBidi" w:hAnsiTheme="majorBidi" w:cstheme="majorBidi"/>
          <w:sz w:val="24"/>
          <w:szCs w:val="24"/>
        </w:rPr>
        <w:t>. In this sense, medicinal cannibalism and</w:t>
      </w:r>
      <w:r w:rsidR="00026F8E">
        <w:rPr>
          <w:rFonts w:asciiTheme="majorBidi" w:hAnsiTheme="majorBidi" w:cstheme="majorBidi"/>
          <w:sz w:val="24"/>
          <w:szCs w:val="24"/>
        </w:rPr>
        <w:t xml:space="preserve"> </w:t>
      </w:r>
      <w:r w:rsidR="00E66DA2">
        <w:rPr>
          <w:rFonts w:asciiTheme="majorBidi" w:hAnsiTheme="majorBidi" w:cstheme="majorBidi"/>
          <w:sz w:val="24"/>
          <w:szCs w:val="24"/>
        </w:rPr>
        <w:t>current</w:t>
      </w:r>
      <w:r w:rsidR="008E48E5">
        <w:rPr>
          <w:rFonts w:asciiTheme="majorBidi" w:hAnsiTheme="majorBidi" w:cstheme="majorBidi"/>
          <w:sz w:val="24"/>
          <w:szCs w:val="24"/>
        </w:rPr>
        <w:t xml:space="preserve"> bodily-parts-based biomedical procedures, such as organ transplantation, arguably</w:t>
      </w:r>
      <w:r w:rsidR="00026F8E">
        <w:rPr>
          <w:rFonts w:asciiTheme="majorBidi" w:hAnsiTheme="majorBidi" w:cstheme="majorBidi"/>
          <w:sz w:val="24"/>
          <w:szCs w:val="24"/>
        </w:rPr>
        <w:t xml:space="preserve"> occupy</w:t>
      </w:r>
      <w:r w:rsidR="008E48E5">
        <w:rPr>
          <w:rFonts w:asciiTheme="majorBidi" w:hAnsiTheme="majorBidi" w:cstheme="majorBidi"/>
          <w:sz w:val="24"/>
          <w:szCs w:val="24"/>
        </w:rPr>
        <w:t xml:space="preserve"> different points on the same spectrum</w:t>
      </w:r>
      <w:r w:rsidR="003C69E8">
        <w:rPr>
          <w:rFonts w:asciiTheme="majorBidi" w:hAnsiTheme="majorBidi" w:cstheme="majorBidi"/>
          <w:sz w:val="24"/>
          <w:szCs w:val="24"/>
        </w:rPr>
        <w:t>, that is,</w:t>
      </w:r>
      <w:r w:rsidR="00026F8E">
        <w:rPr>
          <w:rFonts w:asciiTheme="majorBidi" w:hAnsiTheme="majorBidi" w:cstheme="majorBidi"/>
          <w:sz w:val="24"/>
          <w:szCs w:val="24"/>
        </w:rPr>
        <w:t xml:space="preserve"> the</w:t>
      </w:r>
      <w:r w:rsidR="008E48E5">
        <w:rPr>
          <w:rFonts w:asciiTheme="majorBidi" w:hAnsiTheme="majorBidi" w:cstheme="majorBidi"/>
          <w:sz w:val="24"/>
          <w:szCs w:val="24"/>
        </w:rPr>
        <w:t xml:space="preserve"> therap</w:t>
      </w:r>
      <w:r w:rsidR="00026F8E">
        <w:rPr>
          <w:rFonts w:asciiTheme="majorBidi" w:hAnsiTheme="majorBidi" w:cstheme="majorBidi"/>
          <w:sz w:val="24"/>
          <w:szCs w:val="24"/>
        </w:rPr>
        <w:t>eutic</w:t>
      </w:r>
      <w:r w:rsidR="008E48E5">
        <w:rPr>
          <w:rFonts w:asciiTheme="majorBidi" w:hAnsiTheme="majorBidi" w:cstheme="majorBidi"/>
          <w:sz w:val="24"/>
          <w:szCs w:val="24"/>
        </w:rPr>
        <w:t xml:space="preserve"> utilis</w:t>
      </w:r>
      <w:r w:rsidR="00026F8E">
        <w:rPr>
          <w:rFonts w:asciiTheme="majorBidi" w:hAnsiTheme="majorBidi" w:cstheme="majorBidi"/>
          <w:sz w:val="24"/>
          <w:szCs w:val="24"/>
        </w:rPr>
        <w:t>ation of</w:t>
      </w:r>
      <w:r w:rsidR="008E48E5">
        <w:rPr>
          <w:rFonts w:asciiTheme="majorBidi" w:hAnsiTheme="majorBidi" w:cstheme="majorBidi"/>
          <w:sz w:val="24"/>
          <w:szCs w:val="24"/>
        </w:rPr>
        <w:t xml:space="preserve"> the human body. This sort of multi-temporality </w:t>
      </w:r>
      <w:r w:rsidR="00277AD0">
        <w:rPr>
          <w:rFonts w:asciiTheme="majorBidi" w:hAnsiTheme="majorBidi" w:cstheme="majorBidi"/>
          <w:sz w:val="24"/>
          <w:szCs w:val="24"/>
        </w:rPr>
        <w:t>exhibited</w:t>
      </w:r>
      <w:r w:rsidR="008E48E5">
        <w:rPr>
          <w:rFonts w:asciiTheme="majorBidi" w:hAnsiTheme="majorBidi" w:cstheme="majorBidi"/>
          <w:sz w:val="24"/>
          <w:szCs w:val="24"/>
        </w:rPr>
        <w:t xml:space="preserve"> by medicinal cannibalism has been vividly captured by</w:t>
      </w:r>
      <w:r w:rsidR="008E001C">
        <w:rPr>
          <w:rFonts w:asciiTheme="majorBidi" w:hAnsiTheme="majorBidi" w:cstheme="majorBidi"/>
          <w:sz w:val="24"/>
          <w:szCs w:val="24"/>
        </w:rPr>
        <w:t xml:space="preserve"> both Awaya and Scheper-Hughes in very resounding and connective metaphors.</w:t>
      </w:r>
      <w:r w:rsidR="005D2FB2">
        <w:rPr>
          <w:rFonts w:asciiTheme="majorBidi" w:hAnsiTheme="majorBidi" w:cstheme="majorBidi"/>
          <w:sz w:val="24"/>
          <w:szCs w:val="24"/>
        </w:rPr>
        <w:t xml:space="preserve"> For instance,</w:t>
      </w:r>
      <w:r w:rsidR="008E001C">
        <w:rPr>
          <w:rFonts w:asciiTheme="majorBidi" w:hAnsiTheme="majorBidi" w:cstheme="majorBidi"/>
          <w:sz w:val="24"/>
          <w:szCs w:val="24"/>
        </w:rPr>
        <w:t xml:space="preserve"> </w:t>
      </w:r>
      <w:r w:rsidR="005D2FB2">
        <w:rPr>
          <w:rFonts w:asciiTheme="majorBidi" w:hAnsiTheme="majorBidi" w:cstheme="majorBidi"/>
          <w:sz w:val="24"/>
          <w:szCs w:val="24"/>
        </w:rPr>
        <w:t>u</w:t>
      </w:r>
      <w:r w:rsidR="008E001C">
        <w:rPr>
          <w:rFonts w:asciiTheme="majorBidi" w:hAnsiTheme="majorBidi" w:cstheme="majorBidi"/>
          <w:sz w:val="24"/>
          <w:szCs w:val="24"/>
        </w:rPr>
        <w:t>sing</w:t>
      </w:r>
      <w:r w:rsidR="00D50F1D">
        <w:rPr>
          <w:rFonts w:asciiTheme="majorBidi" w:hAnsiTheme="majorBidi" w:cstheme="majorBidi"/>
          <w:sz w:val="24"/>
          <w:szCs w:val="24"/>
        </w:rPr>
        <w:t xml:space="preserve"> </w:t>
      </w:r>
      <w:r w:rsidR="008E0AA0">
        <w:rPr>
          <w:rFonts w:asciiTheme="majorBidi" w:hAnsiTheme="majorBidi" w:cstheme="majorBidi"/>
          <w:sz w:val="24"/>
          <w:szCs w:val="24"/>
        </w:rPr>
        <w:t>‘</w:t>
      </w:r>
      <w:r w:rsidR="00D50F1D">
        <w:rPr>
          <w:rFonts w:asciiTheme="majorBidi" w:hAnsiTheme="majorBidi" w:cstheme="majorBidi"/>
          <w:sz w:val="24"/>
          <w:szCs w:val="24"/>
        </w:rPr>
        <w:t>neo-cannibalism’</w:t>
      </w:r>
      <w:r w:rsidR="00D50F1D">
        <w:rPr>
          <w:rStyle w:val="FootnoteReference"/>
          <w:rFonts w:asciiTheme="majorBidi" w:hAnsiTheme="majorBidi" w:cstheme="majorBidi"/>
          <w:sz w:val="24"/>
          <w:szCs w:val="24"/>
        </w:rPr>
        <w:footnoteReference w:id="25"/>
      </w:r>
      <w:r w:rsidR="008E001C">
        <w:rPr>
          <w:rFonts w:asciiTheme="majorBidi" w:hAnsiTheme="majorBidi" w:cstheme="majorBidi"/>
          <w:sz w:val="24"/>
          <w:szCs w:val="24"/>
        </w:rPr>
        <w:t xml:space="preserve"> and </w:t>
      </w:r>
      <w:r w:rsidR="00D50F1D">
        <w:rPr>
          <w:rFonts w:asciiTheme="majorBidi" w:hAnsiTheme="majorBidi" w:cstheme="majorBidi"/>
          <w:sz w:val="24"/>
          <w:szCs w:val="24"/>
        </w:rPr>
        <w:t>‘late modern cannibalism’</w:t>
      </w:r>
      <w:r w:rsidR="008E001C">
        <w:rPr>
          <w:rStyle w:val="FootnoteReference"/>
          <w:rFonts w:asciiTheme="majorBidi" w:hAnsiTheme="majorBidi" w:cstheme="majorBidi"/>
          <w:sz w:val="24"/>
          <w:szCs w:val="24"/>
        </w:rPr>
        <w:footnoteReference w:id="26"/>
      </w:r>
      <w:r w:rsidR="008E001C">
        <w:rPr>
          <w:rFonts w:asciiTheme="majorBidi" w:hAnsiTheme="majorBidi" w:cstheme="majorBidi"/>
          <w:sz w:val="24"/>
          <w:szCs w:val="24"/>
        </w:rPr>
        <w:t xml:space="preserve"> as</w:t>
      </w:r>
      <w:r w:rsidR="005D2FB2">
        <w:rPr>
          <w:rFonts w:asciiTheme="majorBidi" w:hAnsiTheme="majorBidi" w:cstheme="majorBidi"/>
          <w:sz w:val="24"/>
          <w:szCs w:val="24"/>
        </w:rPr>
        <w:t xml:space="preserve"> </w:t>
      </w:r>
      <w:r w:rsidR="008E001C">
        <w:rPr>
          <w:rFonts w:asciiTheme="majorBidi" w:hAnsiTheme="majorBidi" w:cstheme="majorBidi"/>
          <w:sz w:val="24"/>
          <w:szCs w:val="24"/>
        </w:rPr>
        <w:t>rhetorical trope</w:t>
      </w:r>
      <w:r w:rsidR="005D2FB2">
        <w:rPr>
          <w:rFonts w:asciiTheme="majorBidi" w:hAnsiTheme="majorBidi" w:cstheme="majorBidi"/>
          <w:sz w:val="24"/>
          <w:szCs w:val="24"/>
        </w:rPr>
        <w:t>s</w:t>
      </w:r>
      <w:r w:rsidR="008E001C">
        <w:rPr>
          <w:rFonts w:asciiTheme="majorBidi" w:hAnsiTheme="majorBidi" w:cstheme="majorBidi"/>
          <w:sz w:val="24"/>
          <w:szCs w:val="24"/>
        </w:rPr>
        <w:t>,</w:t>
      </w:r>
      <w:r w:rsidR="005D2FB2">
        <w:rPr>
          <w:rFonts w:asciiTheme="majorBidi" w:hAnsiTheme="majorBidi" w:cstheme="majorBidi"/>
          <w:sz w:val="24"/>
          <w:szCs w:val="24"/>
        </w:rPr>
        <w:t xml:space="preserve"> both Awaya and</w:t>
      </w:r>
      <w:r w:rsidR="00D50F1D">
        <w:rPr>
          <w:rFonts w:asciiTheme="majorBidi" w:hAnsiTheme="majorBidi" w:cstheme="majorBidi"/>
          <w:sz w:val="24"/>
          <w:szCs w:val="24"/>
        </w:rPr>
        <w:t xml:space="preserve"> </w:t>
      </w:r>
      <w:r w:rsidR="00460095">
        <w:rPr>
          <w:rFonts w:asciiTheme="majorBidi" w:hAnsiTheme="majorBidi" w:cstheme="majorBidi"/>
          <w:sz w:val="24"/>
          <w:szCs w:val="24"/>
        </w:rPr>
        <w:t>Scheper-Hughes</w:t>
      </w:r>
      <w:r w:rsidR="00E66DA2">
        <w:rPr>
          <w:rFonts w:asciiTheme="majorBidi" w:hAnsiTheme="majorBidi" w:cstheme="majorBidi"/>
          <w:sz w:val="24"/>
          <w:szCs w:val="24"/>
        </w:rPr>
        <w:t xml:space="preserve"> separately</w:t>
      </w:r>
      <w:r w:rsidR="005D2FB2">
        <w:rPr>
          <w:rFonts w:asciiTheme="majorBidi" w:hAnsiTheme="majorBidi" w:cstheme="majorBidi"/>
          <w:sz w:val="24"/>
          <w:szCs w:val="24"/>
        </w:rPr>
        <w:t xml:space="preserve"> described the</w:t>
      </w:r>
      <w:r w:rsidR="00460095">
        <w:rPr>
          <w:rFonts w:asciiTheme="majorBidi" w:hAnsiTheme="majorBidi" w:cstheme="majorBidi"/>
          <w:sz w:val="24"/>
          <w:szCs w:val="24"/>
        </w:rPr>
        <w:t xml:space="preserve"> current </w:t>
      </w:r>
      <w:r w:rsidR="008E0AA0">
        <w:rPr>
          <w:rFonts w:asciiTheme="majorBidi" w:hAnsiTheme="majorBidi" w:cstheme="majorBidi"/>
          <w:sz w:val="24"/>
          <w:szCs w:val="24"/>
        </w:rPr>
        <w:t>transnational</w:t>
      </w:r>
      <w:r w:rsidR="00460095">
        <w:rPr>
          <w:rFonts w:asciiTheme="majorBidi" w:hAnsiTheme="majorBidi" w:cstheme="majorBidi"/>
          <w:sz w:val="24"/>
          <w:szCs w:val="24"/>
        </w:rPr>
        <w:t xml:space="preserve"> and illegal tra</w:t>
      </w:r>
      <w:r w:rsidR="00CD5F4F">
        <w:rPr>
          <w:rFonts w:asciiTheme="majorBidi" w:hAnsiTheme="majorBidi" w:cstheme="majorBidi"/>
          <w:sz w:val="24"/>
          <w:szCs w:val="24"/>
        </w:rPr>
        <w:t>ffic in</w:t>
      </w:r>
      <w:r w:rsidR="00460095">
        <w:rPr>
          <w:rFonts w:asciiTheme="majorBidi" w:hAnsiTheme="majorBidi" w:cstheme="majorBidi"/>
          <w:sz w:val="24"/>
          <w:szCs w:val="24"/>
        </w:rPr>
        <w:t xml:space="preserve"> human organs</w:t>
      </w:r>
      <w:r w:rsidR="005D2FB2">
        <w:rPr>
          <w:rFonts w:asciiTheme="majorBidi" w:hAnsiTheme="majorBidi" w:cstheme="majorBidi"/>
          <w:sz w:val="24"/>
          <w:szCs w:val="24"/>
        </w:rPr>
        <w:t>, and situated its horror and obnoxiousness in historical contexts involving the acquisition and use of bod</w:t>
      </w:r>
      <w:r w:rsidR="005568A6">
        <w:rPr>
          <w:rFonts w:asciiTheme="majorBidi" w:hAnsiTheme="majorBidi" w:cstheme="majorBidi"/>
          <w:sz w:val="24"/>
          <w:szCs w:val="24"/>
        </w:rPr>
        <w:t>il</w:t>
      </w:r>
      <w:r w:rsidR="005D2FB2">
        <w:rPr>
          <w:rFonts w:asciiTheme="majorBidi" w:hAnsiTheme="majorBidi" w:cstheme="majorBidi"/>
          <w:sz w:val="24"/>
          <w:szCs w:val="24"/>
        </w:rPr>
        <w:t>y parts for medicine.</w:t>
      </w:r>
      <w:r w:rsidR="0024228D">
        <w:rPr>
          <w:rFonts w:asciiTheme="majorBidi" w:hAnsiTheme="majorBidi" w:cstheme="majorBidi"/>
          <w:sz w:val="24"/>
          <w:szCs w:val="24"/>
        </w:rPr>
        <w:t xml:space="preserve"> Particularly, the neologism</w:t>
      </w:r>
      <w:r w:rsidR="00E66DA2">
        <w:rPr>
          <w:rFonts w:asciiTheme="majorBidi" w:hAnsiTheme="majorBidi" w:cstheme="majorBidi"/>
          <w:sz w:val="24"/>
          <w:szCs w:val="24"/>
        </w:rPr>
        <w:t xml:space="preserve"> above</w:t>
      </w:r>
      <w:r w:rsidR="0024228D">
        <w:rPr>
          <w:rFonts w:asciiTheme="majorBidi" w:hAnsiTheme="majorBidi" w:cstheme="majorBidi"/>
          <w:sz w:val="24"/>
          <w:szCs w:val="24"/>
        </w:rPr>
        <w:t xml:space="preserve"> employed by Awaya and Scheper-Hughes is</w:t>
      </w:r>
      <w:r w:rsidR="006403AC">
        <w:rPr>
          <w:rFonts w:asciiTheme="majorBidi" w:hAnsiTheme="majorBidi" w:cstheme="majorBidi"/>
          <w:sz w:val="24"/>
          <w:szCs w:val="24"/>
        </w:rPr>
        <w:t xml:space="preserve"> poignantly deliberate in underlining the</w:t>
      </w:r>
      <w:r w:rsidR="0024228D">
        <w:rPr>
          <w:rFonts w:asciiTheme="majorBidi" w:hAnsiTheme="majorBidi" w:cstheme="majorBidi"/>
          <w:sz w:val="24"/>
          <w:szCs w:val="24"/>
        </w:rPr>
        <w:t xml:space="preserve"> epochal transgressiveness</w:t>
      </w:r>
      <w:r w:rsidR="006403AC">
        <w:rPr>
          <w:rFonts w:asciiTheme="majorBidi" w:hAnsiTheme="majorBidi" w:cstheme="majorBidi"/>
          <w:sz w:val="24"/>
          <w:szCs w:val="24"/>
        </w:rPr>
        <w:t xml:space="preserve"> of medicinal cannibalism, suggesting that medicinal cannibalism is now more or less practised </w:t>
      </w:r>
      <w:r w:rsidR="005568A6">
        <w:rPr>
          <w:rFonts w:asciiTheme="majorBidi" w:hAnsiTheme="majorBidi" w:cstheme="majorBidi"/>
          <w:sz w:val="24"/>
          <w:szCs w:val="24"/>
        </w:rPr>
        <w:t>through</w:t>
      </w:r>
      <w:r w:rsidR="006403AC">
        <w:rPr>
          <w:rFonts w:asciiTheme="majorBidi" w:hAnsiTheme="majorBidi" w:cstheme="majorBidi"/>
          <w:sz w:val="24"/>
          <w:szCs w:val="24"/>
        </w:rPr>
        <w:t xml:space="preserve"> other forms</w:t>
      </w:r>
      <w:r w:rsidR="00E66DA2">
        <w:rPr>
          <w:rFonts w:asciiTheme="majorBidi" w:hAnsiTheme="majorBidi" w:cstheme="majorBidi"/>
          <w:sz w:val="24"/>
          <w:szCs w:val="24"/>
        </w:rPr>
        <w:t xml:space="preserve"> of</w:t>
      </w:r>
      <w:r w:rsidR="006403AC">
        <w:rPr>
          <w:rFonts w:asciiTheme="majorBidi" w:hAnsiTheme="majorBidi" w:cstheme="majorBidi"/>
          <w:sz w:val="24"/>
          <w:szCs w:val="24"/>
        </w:rPr>
        <w:t xml:space="preserve"> bod</w:t>
      </w:r>
      <w:r w:rsidR="00E66DA2">
        <w:rPr>
          <w:rFonts w:asciiTheme="majorBidi" w:hAnsiTheme="majorBidi" w:cstheme="majorBidi"/>
          <w:sz w:val="24"/>
          <w:szCs w:val="24"/>
        </w:rPr>
        <w:t>il</w:t>
      </w:r>
      <w:r w:rsidR="006403AC">
        <w:rPr>
          <w:rFonts w:asciiTheme="majorBidi" w:hAnsiTheme="majorBidi" w:cstheme="majorBidi"/>
          <w:sz w:val="24"/>
          <w:szCs w:val="24"/>
        </w:rPr>
        <w:t>y parts</w:t>
      </w:r>
      <w:r w:rsidR="00E66DA2">
        <w:rPr>
          <w:rFonts w:asciiTheme="majorBidi" w:hAnsiTheme="majorBidi" w:cstheme="majorBidi"/>
          <w:sz w:val="24"/>
          <w:szCs w:val="24"/>
        </w:rPr>
        <w:t xml:space="preserve"> utilisation for therapeutic purposes</w:t>
      </w:r>
      <w:r w:rsidR="006403AC">
        <w:rPr>
          <w:rFonts w:asciiTheme="majorBidi" w:hAnsiTheme="majorBidi" w:cstheme="majorBidi"/>
          <w:sz w:val="24"/>
          <w:szCs w:val="24"/>
        </w:rPr>
        <w:t>.</w:t>
      </w:r>
      <w:r w:rsidR="0024228D">
        <w:rPr>
          <w:rFonts w:asciiTheme="majorBidi" w:hAnsiTheme="majorBidi" w:cstheme="majorBidi"/>
          <w:sz w:val="24"/>
          <w:szCs w:val="24"/>
        </w:rPr>
        <w:t xml:space="preserve"> </w:t>
      </w:r>
      <w:r w:rsidR="006D5275">
        <w:rPr>
          <w:rFonts w:asciiTheme="majorBidi" w:hAnsiTheme="majorBidi" w:cstheme="majorBidi"/>
          <w:sz w:val="24"/>
          <w:szCs w:val="24"/>
        </w:rPr>
        <w:t>Similarly,</w:t>
      </w:r>
      <w:r w:rsidR="002651AE">
        <w:rPr>
          <w:rFonts w:asciiTheme="majorBidi" w:hAnsiTheme="majorBidi" w:cstheme="majorBidi"/>
          <w:sz w:val="24"/>
          <w:szCs w:val="24"/>
        </w:rPr>
        <w:t xml:space="preserve"> Richardson observed that although organ transplantation is a relatively recent </w:t>
      </w:r>
      <w:r w:rsidR="006D5275">
        <w:rPr>
          <w:rFonts w:asciiTheme="majorBidi" w:hAnsiTheme="majorBidi" w:cstheme="majorBidi"/>
          <w:sz w:val="24"/>
          <w:szCs w:val="24"/>
        </w:rPr>
        <w:t>bio</w:t>
      </w:r>
      <w:r w:rsidR="002651AE">
        <w:rPr>
          <w:rFonts w:asciiTheme="majorBidi" w:hAnsiTheme="majorBidi" w:cstheme="majorBidi"/>
          <w:sz w:val="24"/>
          <w:szCs w:val="24"/>
        </w:rPr>
        <w:t>medical technology, it could be seen in</w:t>
      </w:r>
      <w:r w:rsidR="003B3B71">
        <w:rPr>
          <w:rFonts w:asciiTheme="majorBidi" w:hAnsiTheme="majorBidi" w:cstheme="majorBidi"/>
          <w:sz w:val="24"/>
          <w:szCs w:val="24"/>
        </w:rPr>
        <w:t xml:space="preserve"> a</w:t>
      </w:r>
      <w:r w:rsidR="002651AE">
        <w:rPr>
          <w:rFonts w:asciiTheme="majorBidi" w:hAnsiTheme="majorBidi" w:cstheme="majorBidi"/>
          <w:sz w:val="24"/>
          <w:szCs w:val="24"/>
        </w:rPr>
        <w:t xml:space="preserve"> long historical perspective undergirded by body</w:t>
      </w:r>
      <w:r w:rsidR="005568A6">
        <w:rPr>
          <w:rFonts w:asciiTheme="majorBidi" w:hAnsiTheme="majorBidi" w:cstheme="majorBidi"/>
          <w:sz w:val="24"/>
          <w:szCs w:val="24"/>
        </w:rPr>
        <w:t>-</w:t>
      </w:r>
      <w:r w:rsidR="002651AE">
        <w:rPr>
          <w:rFonts w:asciiTheme="majorBidi" w:hAnsiTheme="majorBidi" w:cstheme="majorBidi"/>
          <w:sz w:val="24"/>
          <w:szCs w:val="24"/>
        </w:rPr>
        <w:t>snatching.</w:t>
      </w:r>
      <w:r w:rsidR="002651AE">
        <w:rPr>
          <w:rStyle w:val="FootnoteReference"/>
          <w:rFonts w:asciiTheme="majorBidi" w:hAnsiTheme="majorBidi" w:cstheme="majorBidi"/>
          <w:sz w:val="24"/>
          <w:szCs w:val="24"/>
        </w:rPr>
        <w:footnoteReference w:id="27"/>
      </w:r>
      <w:r w:rsidR="006171F3">
        <w:rPr>
          <w:rFonts w:asciiTheme="majorBidi" w:hAnsiTheme="majorBidi" w:cstheme="majorBidi"/>
          <w:sz w:val="24"/>
          <w:szCs w:val="24"/>
        </w:rPr>
        <w:t xml:space="preserve"> </w:t>
      </w:r>
      <w:r w:rsidR="002E6BCB">
        <w:rPr>
          <w:rFonts w:asciiTheme="majorBidi" w:hAnsiTheme="majorBidi" w:cstheme="majorBidi"/>
          <w:sz w:val="24"/>
          <w:szCs w:val="24"/>
        </w:rPr>
        <w:t>Noble</w:t>
      </w:r>
      <w:r w:rsidR="006171F3">
        <w:rPr>
          <w:rFonts w:asciiTheme="majorBidi" w:hAnsiTheme="majorBidi" w:cstheme="majorBidi"/>
          <w:sz w:val="24"/>
          <w:szCs w:val="24"/>
        </w:rPr>
        <w:t xml:space="preserve"> supports this hypothesis,</w:t>
      </w:r>
      <w:r w:rsidR="002E6BCB">
        <w:rPr>
          <w:rFonts w:asciiTheme="majorBidi" w:hAnsiTheme="majorBidi" w:cstheme="majorBidi"/>
          <w:sz w:val="24"/>
          <w:szCs w:val="24"/>
        </w:rPr>
        <w:t xml:space="preserve"> and</w:t>
      </w:r>
      <w:r w:rsidR="006171F3">
        <w:rPr>
          <w:rFonts w:asciiTheme="majorBidi" w:hAnsiTheme="majorBidi" w:cstheme="majorBidi"/>
          <w:sz w:val="24"/>
          <w:szCs w:val="24"/>
        </w:rPr>
        <w:t xml:space="preserve"> argu</w:t>
      </w:r>
      <w:r w:rsidR="002E6BCB">
        <w:rPr>
          <w:rFonts w:asciiTheme="majorBidi" w:hAnsiTheme="majorBidi" w:cstheme="majorBidi"/>
          <w:sz w:val="24"/>
          <w:szCs w:val="24"/>
        </w:rPr>
        <w:t>es that corpse pharmacology</w:t>
      </w:r>
      <w:r w:rsidR="000E05B0">
        <w:rPr>
          <w:rFonts w:asciiTheme="majorBidi" w:hAnsiTheme="majorBidi" w:cstheme="majorBidi"/>
          <w:sz w:val="24"/>
          <w:szCs w:val="24"/>
        </w:rPr>
        <w:t xml:space="preserve"> was part of</w:t>
      </w:r>
      <w:r w:rsidR="002E6BCB">
        <w:rPr>
          <w:rFonts w:asciiTheme="majorBidi" w:hAnsiTheme="majorBidi" w:cstheme="majorBidi"/>
          <w:sz w:val="24"/>
          <w:szCs w:val="24"/>
        </w:rPr>
        <w:t xml:space="preserve"> a historical continuum in which</w:t>
      </w:r>
      <w:r w:rsidR="000E05B0">
        <w:rPr>
          <w:rFonts w:asciiTheme="majorBidi" w:hAnsiTheme="majorBidi" w:cstheme="majorBidi"/>
          <w:sz w:val="24"/>
          <w:szCs w:val="24"/>
        </w:rPr>
        <w:t xml:space="preserve"> the</w:t>
      </w:r>
      <w:r w:rsidR="002E6BCB">
        <w:rPr>
          <w:rFonts w:asciiTheme="majorBidi" w:hAnsiTheme="majorBidi" w:cstheme="majorBidi"/>
          <w:sz w:val="24"/>
          <w:szCs w:val="24"/>
        </w:rPr>
        <w:t xml:space="preserve"> modern day transplant medicine is embedded</w:t>
      </w:r>
      <w:r w:rsidR="00CD5F4F">
        <w:rPr>
          <w:rFonts w:asciiTheme="majorBidi" w:hAnsiTheme="majorBidi" w:cstheme="majorBidi"/>
          <w:sz w:val="24"/>
          <w:szCs w:val="24"/>
        </w:rPr>
        <w:t>;</w:t>
      </w:r>
      <w:r w:rsidR="000B3E9E">
        <w:rPr>
          <w:rStyle w:val="FootnoteReference"/>
          <w:rFonts w:asciiTheme="majorBidi" w:hAnsiTheme="majorBidi" w:cstheme="majorBidi"/>
          <w:sz w:val="24"/>
          <w:szCs w:val="24"/>
        </w:rPr>
        <w:footnoteReference w:id="28"/>
      </w:r>
      <w:r w:rsidR="00CD5F4F">
        <w:rPr>
          <w:rFonts w:asciiTheme="majorBidi" w:hAnsiTheme="majorBidi" w:cstheme="majorBidi"/>
          <w:sz w:val="24"/>
          <w:szCs w:val="24"/>
        </w:rPr>
        <w:t xml:space="preserve"> </w:t>
      </w:r>
      <w:r w:rsidR="000E05B0">
        <w:rPr>
          <w:rFonts w:asciiTheme="majorBidi" w:hAnsiTheme="majorBidi" w:cstheme="majorBidi"/>
          <w:sz w:val="24"/>
          <w:szCs w:val="24"/>
        </w:rPr>
        <w:t>thus</w:t>
      </w:r>
      <w:r w:rsidR="003B3B71">
        <w:rPr>
          <w:rFonts w:asciiTheme="majorBidi" w:hAnsiTheme="majorBidi" w:cstheme="majorBidi"/>
          <w:sz w:val="24"/>
          <w:szCs w:val="24"/>
        </w:rPr>
        <w:t>, she observed that</w:t>
      </w:r>
      <w:r w:rsidR="000E05B0">
        <w:rPr>
          <w:rFonts w:asciiTheme="majorBidi" w:hAnsiTheme="majorBidi" w:cstheme="majorBidi"/>
          <w:sz w:val="24"/>
          <w:szCs w:val="24"/>
        </w:rPr>
        <w:t xml:space="preserve"> </w:t>
      </w:r>
      <w:r w:rsidR="00CD5F4F">
        <w:rPr>
          <w:rFonts w:asciiTheme="majorBidi" w:hAnsiTheme="majorBidi" w:cstheme="majorBidi"/>
          <w:sz w:val="24"/>
          <w:szCs w:val="24"/>
        </w:rPr>
        <w:t>‘what happens to bodies in today’s medical market is one moment, albeit a highly organized and sophisticated one, in a long historical continuum in which the human body and its products are exchanged and distributed in a complex medical economy’</w:t>
      </w:r>
      <w:r w:rsidR="002E6BCB">
        <w:rPr>
          <w:rFonts w:asciiTheme="majorBidi" w:hAnsiTheme="majorBidi" w:cstheme="majorBidi"/>
          <w:sz w:val="24"/>
          <w:szCs w:val="24"/>
        </w:rPr>
        <w:t>.</w:t>
      </w:r>
      <w:r w:rsidR="002E6BCB">
        <w:rPr>
          <w:rStyle w:val="FootnoteReference"/>
          <w:rFonts w:asciiTheme="majorBidi" w:hAnsiTheme="majorBidi" w:cstheme="majorBidi"/>
          <w:sz w:val="24"/>
          <w:szCs w:val="24"/>
        </w:rPr>
        <w:footnoteReference w:id="29"/>
      </w:r>
      <w:r w:rsidR="002E6BCB">
        <w:rPr>
          <w:rFonts w:asciiTheme="majorBidi" w:hAnsiTheme="majorBidi" w:cstheme="majorBidi"/>
          <w:sz w:val="24"/>
          <w:szCs w:val="24"/>
        </w:rPr>
        <w:t xml:space="preserve"> </w:t>
      </w:r>
      <w:r w:rsidR="003B3B71">
        <w:rPr>
          <w:rFonts w:asciiTheme="majorBidi" w:hAnsiTheme="majorBidi" w:cstheme="majorBidi"/>
          <w:sz w:val="24"/>
          <w:szCs w:val="24"/>
        </w:rPr>
        <w:t>Nevertheless,</w:t>
      </w:r>
      <w:r w:rsidR="00FE1C72">
        <w:rPr>
          <w:rFonts w:asciiTheme="majorBidi" w:hAnsiTheme="majorBidi" w:cstheme="majorBidi"/>
          <w:sz w:val="24"/>
          <w:szCs w:val="24"/>
        </w:rPr>
        <w:t xml:space="preserve"> it is modern biotechnology </w:t>
      </w:r>
      <w:r w:rsidR="007351F0">
        <w:rPr>
          <w:rFonts w:asciiTheme="majorBidi" w:hAnsiTheme="majorBidi" w:cstheme="majorBidi"/>
          <w:sz w:val="24"/>
          <w:szCs w:val="24"/>
        </w:rPr>
        <w:t>that has driven the</w:t>
      </w:r>
      <w:r w:rsidR="00913651">
        <w:rPr>
          <w:rFonts w:asciiTheme="majorBidi" w:hAnsiTheme="majorBidi" w:cstheme="majorBidi"/>
          <w:sz w:val="24"/>
          <w:szCs w:val="24"/>
        </w:rPr>
        <w:t xml:space="preserve"> current</w:t>
      </w:r>
      <w:r w:rsidR="007351F0">
        <w:rPr>
          <w:rFonts w:asciiTheme="majorBidi" w:hAnsiTheme="majorBidi" w:cstheme="majorBidi"/>
          <w:sz w:val="24"/>
          <w:szCs w:val="24"/>
        </w:rPr>
        <w:t xml:space="preserve"> and extensive innovations</w:t>
      </w:r>
      <w:r w:rsidR="00D2442D">
        <w:rPr>
          <w:rFonts w:asciiTheme="majorBidi" w:hAnsiTheme="majorBidi" w:cstheme="majorBidi"/>
          <w:sz w:val="24"/>
          <w:szCs w:val="24"/>
        </w:rPr>
        <w:t xml:space="preserve"> that are</w:t>
      </w:r>
      <w:r w:rsidR="007351F0">
        <w:rPr>
          <w:rFonts w:asciiTheme="majorBidi" w:hAnsiTheme="majorBidi" w:cstheme="majorBidi"/>
          <w:sz w:val="24"/>
          <w:szCs w:val="24"/>
        </w:rPr>
        <w:t xml:space="preserve"> based on the</w:t>
      </w:r>
      <w:r w:rsidR="00913651">
        <w:rPr>
          <w:rFonts w:asciiTheme="majorBidi" w:hAnsiTheme="majorBidi" w:cstheme="majorBidi"/>
          <w:sz w:val="24"/>
          <w:szCs w:val="24"/>
        </w:rPr>
        <w:t xml:space="preserve"> parts of the</w:t>
      </w:r>
      <w:r w:rsidR="007351F0">
        <w:rPr>
          <w:rFonts w:asciiTheme="majorBidi" w:hAnsiTheme="majorBidi" w:cstheme="majorBidi"/>
          <w:sz w:val="24"/>
          <w:szCs w:val="24"/>
        </w:rPr>
        <w:t xml:space="preserve"> human body. </w:t>
      </w:r>
    </w:p>
    <w:p w:rsidR="009618BF" w:rsidRDefault="007B0954" w:rsidP="004A14B8">
      <w:pPr>
        <w:ind w:firstLine="720"/>
        <w:jc w:val="both"/>
        <w:rPr>
          <w:rFonts w:asciiTheme="majorBidi" w:hAnsiTheme="majorBidi" w:cstheme="majorBidi"/>
          <w:sz w:val="24"/>
          <w:szCs w:val="24"/>
        </w:rPr>
      </w:pPr>
      <w:r>
        <w:rPr>
          <w:rFonts w:asciiTheme="majorBidi" w:hAnsiTheme="majorBidi" w:cstheme="majorBidi"/>
          <w:sz w:val="24"/>
          <w:szCs w:val="24"/>
        </w:rPr>
        <w:t>For instance, a</w:t>
      </w:r>
      <w:r w:rsidR="000E05B0">
        <w:rPr>
          <w:rFonts w:asciiTheme="majorBidi" w:hAnsiTheme="majorBidi" w:cstheme="majorBidi"/>
          <w:sz w:val="24"/>
          <w:szCs w:val="24"/>
        </w:rPr>
        <w:t>dvances in biomedical technology have made it possible for</w:t>
      </w:r>
      <w:r w:rsidR="007351F0">
        <w:rPr>
          <w:rFonts w:asciiTheme="majorBidi" w:hAnsiTheme="majorBidi" w:cstheme="majorBidi"/>
          <w:sz w:val="24"/>
          <w:szCs w:val="24"/>
        </w:rPr>
        <w:t xml:space="preserve"> organs and tissues</w:t>
      </w:r>
      <w:r w:rsidR="00E43273">
        <w:rPr>
          <w:rFonts w:asciiTheme="majorBidi" w:hAnsiTheme="majorBidi" w:cstheme="majorBidi"/>
          <w:sz w:val="24"/>
          <w:szCs w:val="24"/>
        </w:rPr>
        <w:t xml:space="preserve"> to</w:t>
      </w:r>
      <w:r w:rsidR="007351F0">
        <w:rPr>
          <w:rFonts w:asciiTheme="majorBidi" w:hAnsiTheme="majorBidi" w:cstheme="majorBidi"/>
          <w:sz w:val="24"/>
          <w:szCs w:val="24"/>
        </w:rPr>
        <w:t xml:space="preserve"> be</w:t>
      </w:r>
      <w:r w:rsidR="00E43273">
        <w:rPr>
          <w:rFonts w:asciiTheme="majorBidi" w:hAnsiTheme="majorBidi" w:cstheme="majorBidi"/>
          <w:sz w:val="24"/>
          <w:szCs w:val="24"/>
        </w:rPr>
        <w:t xml:space="preserve"> successfully</w:t>
      </w:r>
      <w:r>
        <w:rPr>
          <w:rFonts w:asciiTheme="majorBidi" w:hAnsiTheme="majorBidi" w:cstheme="majorBidi"/>
          <w:sz w:val="24"/>
          <w:szCs w:val="24"/>
        </w:rPr>
        <w:t xml:space="preserve"> transplanted</w:t>
      </w:r>
      <w:r w:rsidR="007351F0">
        <w:rPr>
          <w:rFonts w:asciiTheme="majorBidi" w:hAnsiTheme="majorBidi" w:cstheme="majorBidi"/>
          <w:sz w:val="24"/>
          <w:szCs w:val="24"/>
        </w:rPr>
        <w:t xml:space="preserve"> from one person to another</w:t>
      </w:r>
      <w:r>
        <w:rPr>
          <w:rFonts w:asciiTheme="majorBidi" w:hAnsiTheme="majorBidi" w:cstheme="majorBidi"/>
          <w:sz w:val="24"/>
          <w:szCs w:val="24"/>
        </w:rPr>
        <w:t>.</w:t>
      </w:r>
      <w:r w:rsidR="00807FD3">
        <w:rPr>
          <w:rStyle w:val="FootnoteReference"/>
          <w:rFonts w:asciiTheme="majorBidi" w:hAnsiTheme="majorBidi" w:cstheme="majorBidi"/>
          <w:sz w:val="24"/>
          <w:szCs w:val="24"/>
        </w:rPr>
        <w:footnoteReference w:id="30"/>
      </w:r>
      <w:r w:rsidR="007351F0">
        <w:rPr>
          <w:rFonts w:asciiTheme="majorBidi" w:hAnsiTheme="majorBidi" w:cstheme="majorBidi"/>
          <w:sz w:val="24"/>
          <w:szCs w:val="24"/>
        </w:rPr>
        <w:t xml:space="preserve"> </w:t>
      </w:r>
      <w:r>
        <w:rPr>
          <w:rFonts w:asciiTheme="majorBidi" w:hAnsiTheme="majorBidi" w:cstheme="majorBidi"/>
          <w:sz w:val="24"/>
          <w:szCs w:val="24"/>
        </w:rPr>
        <w:t>C</w:t>
      </w:r>
      <w:r w:rsidR="007351F0">
        <w:rPr>
          <w:rFonts w:asciiTheme="majorBidi" w:hAnsiTheme="majorBidi" w:cstheme="majorBidi"/>
          <w:sz w:val="24"/>
          <w:szCs w:val="24"/>
        </w:rPr>
        <w:t xml:space="preserve">adavers </w:t>
      </w:r>
      <w:r w:rsidR="00B17A03">
        <w:rPr>
          <w:rFonts w:asciiTheme="majorBidi" w:hAnsiTheme="majorBidi" w:cstheme="majorBidi"/>
          <w:sz w:val="24"/>
          <w:szCs w:val="24"/>
        </w:rPr>
        <w:t xml:space="preserve">are </w:t>
      </w:r>
      <w:r w:rsidR="007351F0">
        <w:rPr>
          <w:rFonts w:asciiTheme="majorBidi" w:hAnsiTheme="majorBidi" w:cstheme="majorBidi"/>
          <w:sz w:val="24"/>
          <w:szCs w:val="24"/>
        </w:rPr>
        <w:t>u</w:t>
      </w:r>
      <w:r>
        <w:rPr>
          <w:rFonts w:asciiTheme="majorBidi" w:hAnsiTheme="majorBidi" w:cstheme="majorBidi"/>
          <w:sz w:val="24"/>
          <w:szCs w:val="24"/>
        </w:rPr>
        <w:t xml:space="preserve">tilised </w:t>
      </w:r>
      <w:r w:rsidR="00B17A03">
        <w:rPr>
          <w:rFonts w:asciiTheme="majorBidi" w:hAnsiTheme="majorBidi" w:cstheme="majorBidi"/>
          <w:sz w:val="24"/>
          <w:szCs w:val="24"/>
        </w:rPr>
        <w:t>in the</w:t>
      </w:r>
      <w:r w:rsidR="00DB7A47">
        <w:rPr>
          <w:rFonts w:asciiTheme="majorBidi" w:hAnsiTheme="majorBidi" w:cstheme="majorBidi"/>
          <w:sz w:val="24"/>
          <w:szCs w:val="24"/>
        </w:rPr>
        <w:t xml:space="preserve"> modern</w:t>
      </w:r>
      <w:r w:rsidR="00B17A03">
        <w:rPr>
          <w:rFonts w:asciiTheme="majorBidi" w:hAnsiTheme="majorBidi" w:cstheme="majorBidi"/>
          <w:sz w:val="24"/>
          <w:szCs w:val="24"/>
        </w:rPr>
        <w:t xml:space="preserve"> </w:t>
      </w:r>
      <w:r>
        <w:rPr>
          <w:rFonts w:asciiTheme="majorBidi" w:hAnsiTheme="majorBidi" w:cstheme="majorBidi"/>
          <w:sz w:val="24"/>
          <w:szCs w:val="24"/>
        </w:rPr>
        <w:t xml:space="preserve">art </w:t>
      </w:r>
      <w:r w:rsidR="00B17A03">
        <w:rPr>
          <w:rFonts w:asciiTheme="majorBidi" w:hAnsiTheme="majorBidi" w:cstheme="majorBidi"/>
          <w:sz w:val="24"/>
          <w:szCs w:val="24"/>
        </w:rPr>
        <w:t>of plastination.</w:t>
      </w:r>
      <w:r w:rsidR="00B17A03">
        <w:rPr>
          <w:rStyle w:val="FootnoteReference"/>
          <w:rFonts w:asciiTheme="majorBidi" w:hAnsiTheme="majorBidi" w:cstheme="majorBidi"/>
          <w:sz w:val="24"/>
          <w:szCs w:val="24"/>
        </w:rPr>
        <w:footnoteReference w:id="31"/>
      </w:r>
      <w:r w:rsidR="00520C2E">
        <w:rPr>
          <w:rFonts w:asciiTheme="majorBidi" w:hAnsiTheme="majorBidi" w:cstheme="majorBidi"/>
          <w:sz w:val="24"/>
          <w:szCs w:val="24"/>
        </w:rPr>
        <w:t xml:space="preserve"> </w:t>
      </w:r>
      <w:r>
        <w:rPr>
          <w:rFonts w:asciiTheme="majorBidi" w:hAnsiTheme="majorBidi" w:cstheme="majorBidi"/>
          <w:sz w:val="24"/>
          <w:szCs w:val="24"/>
        </w:rPr>
        <w:t>C</w:t>
      </w:r>
      <w:r w:rsidR="00B17A03">
        <w:rPr>
          <w:rFonts w:asciiTheme="majorBidi" w:hAnsiTheme="majorBidi" w:cstheme="majorBidi"/>
          <w:sz w:val="24"/>
          <w:szCs w:val="24"/>
        </w:rPr>
        <w:t>adavers are</w:t>
      </w:r>
      <w:r>
        <w:rPr>
          <w:rFonts w:asciiTheme="majorBidi" w:hAnsiTheme="majorBidi" w:cstheme="majorBidi"/>
          <w:sz w:val="24"/>
          <w:szCs w:val="24"/>
        </w:rPr>
        <w:t xml:space="preserve"> equally useful</w:t>
      </w:r>
      <w:r w:rsidR="00B17A03">
        <w:rPr>
          <w:rFonts w:asciiTheme="majorBidi" w:hAnsiTheme="majorBidi" w:cstheme="majorBidi"/>
          <w:sz w:val="24"/>
          <w:szCs w:val="24"/>
        </w:rPr>
        <w:t xml:space="preserve"> for</w:t>
      </w:r>
      <w:r w:rsidR="007351F0">
        <w:rPr>
          <w:rFonts w:asciiTheme="majorBidi" w:hAnsiTheme="majorBidi" w:cstheme="majorBidi"/>
          <w:sz w:val="24"/>
          <w:szCs w:val="24"/>
        </w:rPr>
        <w:t xml:space="preserve"> test</w:t>
      </w:r>
      <w:r w:rsidR="00B17A03">
        <w:rPr>
          <w:rFonts w:asciiTheme="majorBidi" w:hAnsiTheme="majorBidi" w:cstheme="majorBidi"/>
          <w:sz w:val="24"/>
          <w:szCs w:val="24"/>
        </w:rPr>
        <w:t>ing</w:t>
      </w:r>
      <w:r w:rsidR="007351F0">
        <w:rPr>
          <w:rFonts w:asciiTheme="majorBidi" w:hAnsiTheme="majorBidi" w:cstheme="majorBidi"/>
          <w:sz w:val="24"/>
          <w:szCs w:val="24"/>
        </w:rPr>
        <w:t xml:space="preserve"> boots that protect the wearer against landmines</w:t>
      </w:r>
      <w:r>
        <w:rPr>
          <w:rFonts w:asciiTheme="majorBidi" w:hAnsiTheme="majorBidi" w:cstheme="majorBidi"/>
          <w:sz w:val="24"/>
          <w:szCs w:val="24"/>
        </w:rPr>
        <w:t xml:space="preserve">; similarly, cadavers are used </w:t>
      </w:r>
      <w:r w:rsidR="00B17A03">
        <w:rPr>
          <w:rFonts w:asciiTheme="majorBidi" w:hAnsiTheme="majorBidi" w:cstheme="majorBidi"/>
          <w:sz w:val="24"/>
          <w:szCs w:val="24"/>
        </w:rPr>
        <w:t xml:space="preserve">in the automobile industry </w:t>
      </w:r>
      <w:r>
        <w:rPr>
          <w:rFonts w:asciiTheme="majorBidi" w:hAnsiTheme="majorBidi" w:cstheme="majorBidi"/>
          <w:sz w:val="24"/>
          <w:szCs w:val="24"/>
        </w:rPr>
        <w:t>for</w:t>
      </w:r>
      <w:r w:rsidR="007351F0">
        <w:rPr>
          <w:rFonts w:asciiTheme="majorBidi" w:hAnsiTheme="majorBidi" w:cstheme="majorBidi"/>
          <w:sz w:val="24"/>
          <w:szCs w:val="24"/>
        </w:rPr>
        <w:t xml:space="preserve"> crash and safety tests</w:t>
      </w:r>
      <w:r w:rsidR="00B17A03">
        <w:rPr>
          <w:rFonts w:asciiTheme="majorBidi" w:hAnsiTheme="majorBidi" w:cstheme="majorBidi"/>
          <w:sz w:val="24"/>
          <w:szCs w:val="24"/>
        </w:rPr>
        <w:t>.</w:t>
      </w:r>
      <w:r w:rsidR="00B17A03">
        <w:rPr>
          <w:rStyle w:val="FootnoteReference"/>
          <w:rFonts w:asciiTheme="majorBidi" w:hAnsiTheme="majorBidi" w:cstheme="majorBidi"/>
          <w:sz w:val="24"/>
          <w:szCs w:val="24"/>
        </w:rPr>
        <w:footnoteReference w:id="32"/>
      </w:r>
      <w:r w:rsidR="007351F0">
        <w:rPr>
          <w:rFonts w:asciiTheme="majorBidi" w:hAnsiTheme="majorBidi" w:cstheme="majorBidi"/>
          <w:sz w:val="24"/>
          <w:szCs w:val="24"/>
        </w:rPr>
        <w:t xml:space="preserve"> </w:t>
      </w:r>
      <w:r>
        <w:rPr>
          <w:rFonts w:asciiTheme="majorBidi" w:hAnsiTheme="majorBidi" w:cstheme="majorBidi"/>
          <w:sz w:val="24"/>
          <w:szCs w:val="24"/>
        </w:rPr>
        <w:t>More traditionally,</w:t>
      </w:r>
      <w:r w:rsidR="007351F0">
        <w:rPr>
          <w:rFonts w:asciiTheme="majorBidi" w:hAnsiTheme="majorBidi" w:cstheme="majorBidi"/>
          <w:sz w:val="24"/>
          <w:szCs w:val="24"/>
        </w:rPr>
        <w:t xml:space="preserve"> cadavers</w:t>
      </w:r>
      <w:r w:rsidR="00B17A03">
        <w:rPr>
          <w:rFonts w:asciiTheme="majorBidi" w:hAnsiTheme="majorBidi" w:cstheme="majorBidi"/>
          <w:sz w:val="24"/>
          <w:szCs w:val="24"/>
        </w:rPr>
        <w:t xml:space="preserve"> are</w:t>
      </w:r>
      <w:r w:rsidR="007351F0">
        <w:rPr>
          <w:rFonts w:asciiTheme="majorBidi" w:hAnsiTheme="majorBidi" w:cstheme="majorBidi"/>
          <w:sz w:val="24"/>
          <w:szCs w:val="24"/>
        </w:rPr>
        <w:t xml:space="preserve"> used</w:t>
      </w:r>
      <w:r>
        <w:rPr>
          <w:rFonts w:asciiTheme="majorBidi" w:hAnsiTheme="majorBidi" w:cstheme="majorBidi"/>
          <w:sz w:val="24"/>
          <w:szCs w:val="24"/>
        </w:rPr>
        <w:t xml:space="preserve"> for</w:t>
      </w:r>
      <w:r w:rsidR="007351F0">
        <w:rPr>
          <w:rFonts w:asciiTheme="majorBidi" w:hAnsiTheme="majorBidi" w:cstheme="majorBidi"/>
          <w:sz w:val="24"/>
          <w:szCs w:val="24"/>
        </w:rPr>
        <w:t xml:space="preserve"> </w:t>
      </w:r>
      <w:r w:rsidR="00B17A03">
        <w:rPr>
          <w:rFonts w:asciiTheme="majorBidi" w:hAnsiTheme="majorBidi" w:cstheme="majorBidi"/>
          <w:sz w:val="24"/>
          <w:szCs w:val="24"/>
        </w:rPr>
        <w:t>anatomical</w:t>
      </w:r>
      <w:r w:rsidR="007351F0">
        <w:rPr>
          <w:rFonts w:asciiTheme="majorBidi" w:hAnsiTheme="majorBidi" w:cstheme="majorBidi"/>
          <w:sz w:val="24"/>
          <w:szCs w:val="24"/>
        </w:rPr>
        <w:t xml:space="preserve"> dissection</w:t>
      </w:r>
      <w:r w:rsidR="00B17A03">
        <w:rPr>
          <w:rFonts w:asciiTheme="majorBidi" w:hAnsiTheme="majorBidi" w:cstheme="majorBidi"/>
          <w:sz w:val="24"/>
          <w:szCs w:val="24"/>
        </w:rPr>
        <w:t>, medical</w:t>
      </w:r>
      <w:r w:rsidR="007351F0">
        <w:rPr>
          <w:rFonts w:asciiTheme="majorBidi" w:hAnsiTheme="majorBidi" w:cstheme="majorBidi"/>
          <w:sz w:val="24"/>
          <w:szCs w:val="24"/>
        </w:rPr>
        <w:t xml:space="preserve"> education</w:t>
      </w:r>
      <w:r w:rsidR="00B17A03">
        <w:rPr>
          <w:rFonts w:asciiTheme="majorBidi" w:hAnsiTheme="majorBidi" w:cstheme="majorBidi"/>
          <w:sz w:val="24"/>
          <w:szCs w:val="24"/>
        </w:rPr>
        <w:t>, and research.</w:t>
      </w:r>
      <w:r w:rsidR="00B17A03">
        <w:rPr>
          <w:rStyle w:val="FootnoteReference"/>
          <w:rFonts w:asciiTheme="majorBidi" w:hAnsiTheme="majorBidi" w:cstheme="majorBidi"/>
          <w:sz w:val="24"/>
          <w:szCs w:val="24"/>
        </w:rPr>
        <w:footnoteReference w:id="33"/>
      </w:r>
      <w:r w:rsidR="007351F0">
        <w:rPr>
          <w:rFonts w:asciiTheme="majorBidi" w:hAnsiTheme="majorBidi" w:cstheme="majorBidi"/>
          <w:sz w:val="24"/>
          <w:szCs w:val="24"/>
        </w:rPr>
        <w:t xml:space="preserve"> </w:t>
      </w:r>
      <w:r w:rsidR="00B17A03">
        <w:rPr>
          <w:rFonts w:asciiTheme="majorBidi" w:hAnsiTheme="majorBidi" w:cstheme="majorBidi"/>
          <w:sz w:val="24"/>
          <w:szCs w:val="24"/>
        </w:rPr>
        <w:t>In short,</w:t>
      </w:r>
      <w:r w:rsidR="007351F0">
        <w:rPr>
          <w:rFonts w:asciiTheme="majorBidi" w:hAnsiTheme="majorBidi" w:cstheme="majorBidi"/>
          <w:sz w:val="24"/>
          <w:szCs w:val="24"/>
        </w:rPr>
        <w:t xml:space="preserve"> bod</w:t>
      </w:r>
      <w:r w:rsidR="00663295">
        <w:rPr>
          <w:rFonts w:asciiTheme="majorBidi" w:hAnsiTheme="majorBidi" w:cstheme="majorBidi"/>
          <w:sz w:val="24"/>
          <w:szCs w:val="24"/>
        </w:rPr>
        <w:t>il</w:t>
      </w:r>
      <w:r w:rsidR="007351F0">
        <w:rPr>
          <w:rFonts w:asciiTheme="majorBidi" w:hAnsiTheme="majorBidi" w:cstheme="majorBidi"/>
          <w:sz w:val="24"/>
          <w:szCs w:val="24"/>
        </w:rPr>
        <w:t>y parts are used for various therapeutic, pharmac</w:t>
      </w:r>
      <w:r w:rsidR="00F72CC6">
        <w:rPr>
          <w:rFonts w:asciiTheme="majorBidi" w:hAnsiTheme="majorBidi" w:cstheme="majorBidi"/>
          <w:sz w:val="24"/>
          <w:szCs w:val="24"/>
        </w:rPr>
        <w:t>ological</w:t>
      </w:r>
      <w:r w:rsidR="007351F0">
        <w:rPr>
          <w:rFonts w:asciiTheme="majorBidi" w:hAnsiTheme="majorBidi" w:cstheme="majorBidi"/>
          <w:sz w:val="24"/>
          <w:szCs w:val="24"/>
        </w:rPr>
        <w:t xml:space="preserve"> and diagnostic </w:t>
      </w:r>
      <w:r>
        <w:rPr>
          <w:rFonts w:asciiTheme="majorBidi" w:hAnsiTheme="majorBidi" w:cstheme="majorBidi"/>
          <w:sz w:val="24"/>
          <w:szCs w:val="24"/>
        </w:rPr>
        <w:t>purposes</w:t>
      </w:r>
      <w:r w:rsidR="007351F0">
        <w:rPr>
          <w:rFonts w:asciiTheme="majorBidi" w:hAnsiTheme="majorBidi" w:cstheme="majorBidi"/>
          <w:sz w:val="24"/>
          <w:szCs w:val="24"/>
        </w:rPr>
        <w:t xml:space="preserve">. </w:t>
      </w:r>
      <w:r w:rsidR="00AE7D58">
        <w:rPr>
          <w:rFonts w:asciiTheme="majorBidi" w:hAnsiTheme="majorBidi" w:cstheme="majorBidi"/>
          <w:sz w:val="24"/>
          <w:szCs w:val="24"/>
        </w:rPr>
        <w:t>To say nothing about</w:t>
      </w:r>
      <w:r w:rsidR="00DB7A47">
        <w:rPr>
          <w:rFonts w:asciiTheme="majorBidi" w:hAnsiTheme="majorBidi" w:cstheme="majorBidi"/>
          <w:sz w:val="24"/>
          <w:szCs w:val="24"/>
        </w:rPr>
        <w:t xml:space="preserve"> modern</w:t>
      </w:r>
      <w:r w:rsidR="00AE7D58">
        <w:rPr>
          <w:rFonts w:asciiTheme="majorBidi" w:hAnsiTheme="majorBidi" w:cstheme="majorBidi"/>
          <w:sz w:val="24"/>
          <w:szCs w:val="24"/>
        </w:rPr>
        <w:t xml:space="preserve"> genomic studies</w:t>
      </w:r>
      <w:r w:rsidR="00DB7A47">
        <w:rPr>
          <w:rFonts w:asciiTheme="majorBidi" w:hAnsiTheme="majorBidi" w:cstheme="majorBidi"/>
          <w:sz w:val="24"/>
          <w:szCs w:val="24"/>
        </w:rPr>
        <w:t xml:space="preserve"> that</w:t>
      </w:r>
      <w:r>
        <w:rPr>
          <w:rFonts w:asciiTheme="majorBidi" w:hAnsiTheme="majorBidi" w:cstheme="majorBidi"/>
          <w:sz w:val="24"/>
          <w:szCs w:val="24"/>
        </w:rPr>
        <w:t xml:space="preserve"> utilis</w:t>
      </w:r>
      <w:r w:rsidR="00DB7A47">
        <w:rPr>
          <w:rFonts w:asciiTheme="majorBidi" w:hAnsiTheme="majorBidi" w:cstheme="majorBidi"/>
          <w:sz w:val="24"/>
          <w:szCs w:val="24"/>
        </w:rPr>
        <w:t>e</w:t>
      </w:r>
      <w:r>
        <w:rPr>
          <w:rFonts w:asciiTheme="majorBidi" w:hAnsiTheme="majorBidi" w:cstheme="majorBidi"/>
          <w:sz w:val="24"/>
          <w:szCs w:val="24"/>
        </w:rPr>
        <w:t xml:space="preserve"> bod</w:t>
      </w:r>
      <w:r w:rsidR="005568A6">
        <w:rPr>
          <w:rFonts w:asciiTheme="majorBidi" w:hAnsiTheme="majorBidi" w:cstheme="majorBidi"/>
          <w:sz w:val="24"/>
          <w:szCs w:val="24"/>
        </w:rPr>
        <w:t>il</w:t>
      </w:r>
      <w:r>
        <w:rPr>
          <w:rFonts w:asciiTheme="majorBidi" w:hAnsiTheme="majorBidi" w:cstheme="majorBidi"/>
          <w:sz w:val="24"/>
          <w:szCs w:val="24"/>
        </w:rPr>
        <w:t>y parts; these sorts of studies</w:t>
      </w:r>
      <w:r w:rsidR="00AE7D58">
        <w:rPr>
          <w:rFonts w:asciiTheme="majorBidi" w:hAnsiTheme="majorBidi" w:cstheme="majorBidi"/>
          <w:sz w:val="24"/>
          <w:szCs w:val="24"/>
        </w:rPr>
        <w:t xml:space="preserve"> have led to large scale biological projects and applications</w:t>
      </w:r>
      <w:r w:rsidR="00DB7A47">
        <w:rPr>
          <w:rFonts w:asciiTheme="majorBidi" w:hAnsiTheme="majorBidi" w:cstheme="majorBidi"/>
          <w:sz w:val="24"/>
          <w:szCs w:val="24"/>
        </w:rPr>
        <w:t xml:space="preserve"> that</w:t>
      </w:r>
      <w:r w:rsidR="00EA2D6F">
        <w:rPr>
          <w:rFonts w:asciiTheme="majorBidi" w:hAnsiTheme="majorBidi" w:cstheme="majorBidi"/>
          <w:sz w:val="24"/>
          <w:szCs w:val="24"/>
        </w:rPr>
        <w:t xml:space="preserve"> often raise </w:t>
      </w:r>
      <w:r w:rsidR="00AE7D58">
        <w:rPr>
          <w:rFonts w:asciiTheme="majorBidi" w:hAnsiTheme="majorBidi" w:cstheme="majorBidi"/>
          <w:sz w:val="24"/>
          <w:szCs w:val="24"/>
        </w:rPr>
        <w:t>serious</w:t>
      </w:r>
      <w:r w:rsidR="00DB7A47">
        <w:rPr>
          <w:rFonts w:asciiTheme="majorBidi" w:hAnsiTheme="majorBidi" w:cstheme="majorBidi"/>
          <w:sz w:val="24"/>
          <w:szCs w:val="24"/>
        </w:rPr>
        <w:t xml:space="preserve"> ethical and legal</w:t>
      </w:r>
      <w:r w:rsidR="00EA2D6F">
        <w:rPr>
          <w:rFonts w:asciiTheme="majorBidi" w:hAnsiTheme="majorBidi" w:cstheme="majorBidi"/>
          <w:sz w:val="24"/>
          <w:szCs w:val="24"/>
        </w:rPr>
        <w:t xml:space="preserve"> questions</w:t>
      </w:r>
      <w:r w:rsidR="00DB7A47">
        <w:rPr>
          <w:rFonts w:asciiTheme="majorBidi" w:hAnsiTheme="majorBidi" w:cstheme="majorBidi"/>
          <w:sz w:val="24"/>
          <w:szCs w:val="24"/>
        </w:rPr>
        <w:t>, especially those relating to</w:t>
      </w:r>
      <w:r w:rsidR="0075752F">
        <w:rPr>
          <w:rFonts w:asciiTheme="majorBidi" w:hAnsiTheme="majorBidi" w:cstheme="majorBidi"/>
          <w:sz w:val="24"/>
          <w:szCs w:val="24"/>
        </w:rPr>
        <w:t xml:space="preserve"> genetic privacy,</w:t>
      </w:r>
      <w:r w:rsidR="0075752F">
        <w:rPr>
          <w:rStyle w:val="FootnoteReference"/>
          <w:rFonts w:asciiTheme="majorBidi" w:hAnsiTheme="majorBidi" w:cstheme="majorBidi"/>
          <w:sz w:val="24"/>
          <w:szCs w:val="24"/>
        </w:rPr>
        <w:footnoteReference w:id="34"/>
      </w:r>
      <w:r w:rsidR="0075752F">
        <w:rPr>
          <w:rFonts w:asciiTheme="majorBidi" w:hAnsiTheme="majorBidi" w:cstheme="majorBidi"/>
          <w:sz w:val="24"/>
          <w:szCs w:val="24"/>
        </w:rPr>
        <w:t xml:space="preserve"> and</w:t>
      </w:r>
      <w:r w:rsidR="00AE7D58">
        <w:rPr>
          <w:rFonts w:asciiTheme="majorBidi" w:hAnsiTheme="majorBidi" w:cstheme="majorBidi"/>
          <w:sz w:val="24"/>
          <w:szCs w:val="24"/>
        </w:rPr>
        <w:t xml:space="preserve"> intellectual property </w:t>
      </w:r>
      <w:r w:rsidR="00EA2D6F">
        <w:rPr>
          <w:rFonts w:asciiTheme="majorBidi" w:hAnsiTheme="majorBidi" w:cstheme="majorBidi"/>
          <w:sz w:val="24"/>
          <w:szCs w:val="24"/>
        </w:rPr>
        <w:t>rights.</w:t>
      </w:r>
      <w:r w:rsidR="00AE7D58">
        <w:rPr>
          <w:rStyle w:val="FootnoteReference"/>
          <w:rFonts w:asciiTheme="majorBidi" w:hAnsiTheme="majorBidi" w:cstheme="majorBidi"/>
          <w:sz w:val="24"/>
          <w:szCs w:val="24"/>
        </w:rPr>
        <w:footnoteReference w:id="35"/>
      </w:r>
      <w:r w:rsidR="00AE7D58">
        <w:rPr>
          <w:rFonts w:asciiTheme="majorBidi" w:hAnsiTheme="majorBidi" w:cstheme="majorBidi"/>
          <w:sz w:val="24"/>
          <w:szCs w:val="24"/>
        </w:rPr>
        <w:t xml:space="preserve"> </w:t>
      </w:r>
      <w:r w:rsidR="00EA2D6F">
        <w:rPr>
          <w:rFonts w:asciiTheme="majorBidi" w:hAnsiTheme="majorBidi" w:cstheme="majorBidi"/>
          <w:sz w:val="24"/>
          <w:szCs w:val="24"/>
        </w:rPr>
        <w:t>T</w:t>
      </w:r>
      <w:r w:rsidR="007351F0">
        <w:rPr>
          <w:rFonts w:asciiTheme="majorBidi" w:hAnsiTheme="majorBidi" w:cstheme="majorBidi"/>
          <w:sz w:val="24"/>
          <w:szCs w:val="24"/>
        </w:rPr>
        <w:t>h</w:t>
      </w:r>
      <w:r w:rsidR="00AE7D58">
        <w:rPr>
          <w:rFonts w:asciiTheme="majorBidi" w:hAnsiTheme="majorBidi" w:cstheme="majorBidi"/>
          <w:sz w:val="24"/>
          <w:szCs w:val="24"/>
        </w:rPr>
        <w:t>e</w:t>
      </w:r>
      <w:r w:rsidR="00EA2D6F">
        <w:rPr>
          <w:rFonts w:asciiTheme="majorBidi" w:hAnsiTheme="majorBidi" w:cstheme="majorBidi"/>
          <w:sz w:val="24"/>
          <w:szCs w:val="24"/>
        </w:rPr>
        <w:t>se modern and</w:t>
      </w:r>
      <w:r w:rsidR="00AE7D58">
        <w:rPr>
          <w:rFonts w:asciiTheme="majorBidi" w:hAnsiTheme="majorBidi" w:cstheme="majorBidi"/>
          <w:sz w:val="24"/>
          <w:szCs w:val="24"/>
        </w:rPr>
        <w:t xml:space="preserve"> </w:t>
      </w:r>
      <w:r w:rsidR="007351F0">
        <w:rPr>
          <w:rFonts w:asciiTheme="majorBidi" w:hAnsiTheme="majorBidi" w:cstheme="majorBidi"/>
          <w:sz w:val="24"/>
          <w:szCs w:val="24"/>
        </w:rPr>
        <w:t>wide-ranging uses of bod</w:t>
      </w:r>
      <w:r w:rsidR="00663295">
        <w:rPr>
          <w:rFonts w:asciiTheme="majorBidi" w:hAnsiTheme="majorBidi" w:cstheme="majorBidi"/>
          <w:sz w:val="24"/>
          <w:szCs w:val="24"/>
        </w:rPr>
        <w:t>il</w:t>
      </w:r>
      <w:r w:rsidR="007351F0">
        <w:rPr>
          <w:rFonts w:asciiTheme="majorBidi" w:hAnsiTheme="majorBidi" w:cstheme="majorBidi"/>
          <w:sz w:val="24"/>
          <w:szCs w:val="24"/>
        </w:rPr>
        <w:t>y parts</w:t>
      </w:r>
      <w:r w:rsidR="00E5182A">
        <w:rPr>
          <w:rFonts w:asciiTheme="majorBidi" w:hAnsiTheme="majorBidi" w:cstheme="majorBidi"/>
          <w:sz w:val="24"/>
          <w:szCs w:val="24"/>
        </w:rPr>
        <w:t>, and the divergent and conflicting moral, cultural and ethical values</w:t>
      </w:r>
      <w:r w:rsidR="00EA2D6F">
        <w:rPr>
          <w:rFonts w:asciiTheme="majorBidi" w:hAnsiTheme="majorBidi" w:cstheme="majorBidi"/>
          <w:sz w:val="24"/>
          <w:szCs w:val="24"/>
        </w:rPr>
        <w:t xml:space="preserve"> surround</w:t>
      </w:r>
      <w:r w:rsidR="0075312D">
        <w:rPr>
          <w:rFonts w:asciiTheme="majorBidi" w:hAnsiTheme="majorBidi" w:cstheme="majorBidi"/>
          <w:sz w:val="24"/>
          <w:szCs w:val="24"/>
        </w:rPr>
        <w:t>ing</w:t>
      </w:r>
      <w:r w:rsidR="00E5182A">
        <w:rPr>
          <w:rFonts w:asciiTheme="majorBidi" w:hAnsiTheme="majorBidi" w:cstheme="majorBidi"/>
          <w:sz w:val="24"/>
          <w:szCs w:val="24"/>
        </w:rPr>
        <w:t xml:space="preserve"> the human body, raise complex and </w:t>
      </w:r>
      <w:r w:rsidR="00D52818">
        <w:rPr>
          <w:rFonts w:asciiTheme="majorBidi" w:hAnsiTheme="majorBidi" w:cstheme="majorBidi"/>
          <w:sz w:val="24"/>
          <w:szCs w:val="24"/>
        </w:rPr>
        <w:t>difficult question</w:t>
      </w:r>
      <w:r w:rsidR="00E5182A">
        <w:rPr>
          <w:rFonts w:asciiTheme="majorBidi" w:hAnsiTheme="majorBidi" w:cstheme="majorBidi"/>
          <w:sz w:val="24"/>
          <w:szCs w:val="24"/>
        </w:rPr>
        <w:t>s</w:t>
      </w:r>
      <w:r w:rsidR="00D52818">
        <w:rPr>
          <w:rFonts w:asciiTheme="majorBidi" w:hAnsiTheme="majorBidi" w:cstheme="majorBidi"/>
          <w:sz w:val="24"/>
          <w:szCs w:val="24"/>
        </w:rPr>
        <w:t xml:space="preserve"> </w:t>
      </w:r>
      <w:r w:rsidR="0075312D">
        <w:rPr>
          <w:rFonts w:asciiTheme="majorBidi" w:hAnsiTheme="majorBidi" w:cstheme="majorBidi"/>
          <w:sz w:val="24"/>
          <w:szCs w:val="24"/>
        </w:rPr>
        <w:t>of</w:t>
      </w:r>
      <w:r w:rsidR="00D52818">
        <w:rPr>
          <w:rFonts w:asciiTheme="majorBidi" w:hAnsiTheme="majorBidi" w:cstheme="majorBidi"/>
          <w:sz w:val="24"/>
          <w:szCs w:val="24"/>
        </w:rPr>
        <w:t xml:space="preserve"> l</w:t>
      </w:r>
      <w:r w:rsidR="0014377F">
        <w:rPr>
          <w:rFonts w:asciiTheme="majorBidi" w:hAnsiTheme="majorBidi" w:cstheme="majorBidi"/>
          <w:sz w:val="24"/>
          <w:szCs w:val="24"/>
        </w:rPr>
        <w:t>egal</w:t>
      </w:r>
      <w:r w:rsidR="00D52818">
        <w:rPr>
          <w:rFonts w:asciiTheme="majorBidi" w:hAnsiTheme="majorBidi" w:cstheme="majorBidi"/>
          <w:sz w:val="24"/>
          <w:szCs w:val="24"/>
        </w:rPr>
        <w:t xml:space="preserve"> regulation.</w:t>
      </w:r>
      <w:r w:rsidR="00492510">
        <w:rPr>
          <w:rStyle w:val="FootnoteReference"/>
          <w:rFonts w:asciiTheme="majorBidi" w:hAnsiTheme="majorBidi" w:cstheme="majorBidi"/>
          <w:sz w:val="24"/>
          <w:szCs w:val="24"/>
        </w:rPr>
        <w:footnoteReference w:id="36"/>
      </w:r>
      <w:r w:rsidR="00492510">
        <w:rPr>
          <w:rFonts w:asciiTheme="majorBidi" w:hAnsiTheme="majorBidi" w:cstheme="majorBidi"/>
          <w:sz w:val="24"/>
          <w:szCs w:val="24"/>
        </w:rPr>
        <w:t xml:space="preserve"> </w:t>
      </w:r>
      <w:r w:rsidR="00175C95">
        <w:rPr>
          <w:rFonts w:asciiTheme="majorBidi" w:hAnsiTheme="majorBidi" w:cstheme="majorBidi"/>
          <w:sz w:val="24"/>
          <w:szCs w:val="24"/>
        </w:rPr>
        <w:t>The</w:t>
      </w:r>
      <w:r w:rsidR="00E5182A">
        <w:rPr>
          <w:rFonts w:asciiTheme="majorBidi" w:hAnsiTheme="majorBidi" w:cstheme="majorBidi"/>
          <w:sz w:val="24"/>
          <w:szCs w:val="24"/>
        </w:rPr>
        <w:t xml:space="preserve"> Human Tissue Act</w:t>
      </w:r>
      <w:r w:rsidR="00492510">
        <w:rPr>
          <w:rFonts w:asciiTheme="majorBidi" w:hAnsiTheme="majorBidi" w:cstheme="majorBidi"/>
          <w:sz w:val="24"/>
          <w:szCs w:val="24"/>
        </w:rPr>
        <w:t xml:space="preserve"> 2004</w:t>
      </w:r>
      <w:r w:rsidR="00175C95">
        <w:rPr>
          <w:rFonts w:asciiTheme="majorBidi" w:hAnsiTheme="majorBidi" w:cstheme="majorBidi"/>
          <w:sz w:val="24"/>
          <w:szCs w:val="24"/>
        </w:rPr>
        <w:t xml:space="preserve"> </w:t>
      </w:r>
      <w:r w:rsidR="007821CC">
        <w:rPr>
          <w:rFonts w:asciiTheme="majorBidi" w:hAnsiTheme="majorBidi" w:cstheme="majorBidi"/>
          <w:sz w:val="24"/>
          <w:szCs w:val="24"/>
        </w:rPr>
        <w:t>represents a serious legislative effort to deal with some of the regulatory challenges noted above; the Act was</w:t>
      </w:r>
      <w:r w:rsidR="00175C95">
        <w:rPr>
          <w:rFonts w:asciiTheme="majorBidi" w:hAnsiTheme="majorBidi" w:cstheme="majorBidi"/>
          <w:sz w:val="24"/>
          <w:szCs w:val="24"/>
        </w:rPr>
        <w:t xml:space="preserve"> born out of</w:t>
      </w:r>
      <w:r w:rsidR="00E5611D">
        <w:rPr>
          <w:rFonts w:asciiTheme="majorBidi" w:hAnsiTheme="majorBidi" w:cstheme="majorBidi"/>
          <w:sz w:val="24"/>
          <w:szCs w:val="24"/>
        </w:rPr>
        <w:t xml:space="preserve"> the paediatric organ retention</w:t>
      </w:r>
      <w:r w:rsidR="00175C95">
        <w:rPr>
          <w:rFonts w:asciiTheme="majorBidi" w:hAnsiTheme="majorBidi" w:cstheme="majorBidi"/>
          <w:sz w:val="24"/>
          <w:szCs w:val="24"/>
        </w:rPr>
        <w:t xml:space="preserve"> scandal</w:t>
      </w:r>
      <w:r w:rsidR="00E5611D">
        <w:rPr>
          <w:rFonts w:asciiTheme="majorBidi" w:hAnsiTheme="majorBidi" w:cstheme="majorBidi"/>
          <w:sz w:val="24"/>
          <w:szCs w:val="24"/>
        </w:rPr>
        <w:t xml:space="preserve"> in England</w:t>
      </w:r>
      <w:r w:rsidR="00175C95">
        <w:rPr>
          <w:rFonts w:asciiTheme="majorBidi" w:hAnsiTheme="majorBidi" w:cstheme="majorBidi"/>
          <w:sz w:val="24"/>
          <w:szCs w:val="24"/>
        </w:rPr>
        <w:t>,</w:t>
      </w:r>
      <w:r w:rsidR="00175C95">
        <w:rPr>
          <w:rStyle w:val="FootnoteReference"/>
          <w:rFonts w:asciiTheme="majorBidi" w:hAnsiTheme="majorBidi" w:cstheme="majorBidi"/>
          <w:sz w:val="24"/>
          <w:szCs w:val="24"/>
        </w:rPr>
        <w:footnoteReference w:id="37"/>
      </w:r>
      <w:r w:rsidR="007821CC">
        <w:rPr>
          <w:rFonts w:asciiTheme="majorBidi" w:hAnsiTheme="majorBidi" w:cstheme="majorBidi"/>
          <w:sz w:val="24"/>
          <w:szCs w:val="24"/>
        </w:rPr>
        <w:t xml:space="preserve"> which was in part</w:t>
      </w:r>
      <w:r w:rsidR="00175C95">
        <w:rPr>
          <w:rFonts w:asciiTheme="majorBidi" w:hAnsiTheme="majorBidi" w:cstheme="majorBidi"/>
          <w:sz w:val="24"/>
          <w:szCs w:val="24"/>
        </w:rPr>
        <w:t xml:space="preserve"> engendered</w:t>
      </w:r>
      <w:r w:rsidR="007821CC">
        <w:rPr>
          <w:rFonts w:asciiTheme="majorBidi" w:hAnsiTheme="majorBidi" w:cstheme="majorBidi"/>
          <w:sz w:val="24"/>
          <w:szCs w:val="24"/>
        </w:rPr>
        <w:t xml:space="preserve"> by </w:t>
      </w:r>
      <w:r w:rsidR="00175C95">
        <w:rPr>
          <w:rFonts w:asciiTheme="majorBidi" w:hAnsiTheme="majorBidi" w:cstheme="majorBidi"/>
          <w:sz w:val="24"/>
          <w:szCs w:val="24"/>
        </w:rPr>
        <w:t>the ambiguous provisions of the (</w:t>
      </w:r>
      <w:r w:rsidR="00DC031F">
        <w:rPr>
          <w:rFonts w:asciiTheme="majorBidi" w:hAnsiTheme="majorBidi" w:cstheme="majorBidi"/>
          <w:sz w:val="24"/>
          <w:szCs w:val="24"/>
        </w:rPr>
        <w:t xml:space="preserve">now </w:t>
      </w:r>
      <w:r w:rsidR="00175C95">
        <w:rPr>
          <w:rFonts w:asciiTheme="majorBidi" w:hAnsiTheme="majorBidi" w:cstheme="majorBidi"/>
          <w:sz w:val="24"/>
          <w:szCs w:val="24"/>
        </w:rPr>
        <w:t>repealed) Human Tissue Act 1961</w:t>
      </w:r>
      <w:r w:rsidR="007821CC">
        <w:rPr>
          <w:rFonts w:asciiTheme="majorBidi" w:hAnsiTheme="majorBidi" w:cstheme="majorBidi"/>
          <w:sz w:val="24"/>
          <w:szCs w:val="24"/>
        </w:rPr>
        <w:t>.</w:t>
      </w:r>
      <w:r w:rsidR="00175C95">
        <w:rPr>
          <w:rStyle w:val="FootnoteReference"/>
          <w:rFonts w:asciiTheme="majorBidi" w:hAnsiTheme="majorBidi" w:cstheme="majorBidi"/>
          <w:sz w:val="24"/>
          <w:szCs w:val="24"/>
        </w:rPr>
        <w:footnoteReference w:id="38"/>
      </w:r>
      <w:r w:rsidR="007821CC">
        <w:rPr>
          <w:rFonts w:asciiTheme="majorBidi" w:hAnsiTheme="majorBidi" w:cstheme="majorBidi"/>
          <w:sz w:val="24"/>
          <w:szCs w:val="24"/>
        </w:rPr>
        <w:t xml:space="preserve"> The regulatory formula of the</w:t>
      </w:r>
      <w:r w:rsidR="00DC031F">
        <w:rPr>
          <w:rFonts w:asciiTheme="majorBidi" w:hAnsiTheme="majorBidi" w:cstheme="majorBidi"/>
          <w:sz w:val="24"/>
          <w:szCs w:val="24"/>
        </w:rPr>
        <w:t xml:space="preserve"> 2004</w:t>
      </w:r>
      <w:r w:rsidR="007821CC">
        <w:rPr>
          <w:rFonts w:asciiTheme="majorBidi" w:hAnsiTheme="majorBidi" w:cstheme="majorBidi"/>
          <w:sz w:val="24"/>
          <w:szCs w:val="24"/>
        </w:rPr>
        <w:t xml:space="preserve"> Act is based on</w:t>
      </w:r>
      <w:r w:rsidR="00E5182A">
        <w:rPr>
          <w:rFonts w:asciiTheme="majorBidi" w:hAnsiTheme="majorBidi" w:cstheme="majorBidi"/>
          <w:sz w:val="24"/>
          <w:szCs w:val="24"/>
        </w:rPr>
        <w:t xml:space="preserve"> consent</w:t>
      </w:r>
      <w:r w:rsidR="00175C95">
        <w:rPr>
          <w:rFonts w:asciiTheme="majorBidi" w:hAnsiTheme="majorBidi" w:cstheme="majorBidi"/>
          <w:sz w:val="24"/>
          <w:szCs w:val="24"/>
        </w:rPr>
        <w:t xml:space="preserve">. </w:t>
      </w:r>
      <w:r w:rsidR="00726FE9">
        <w:rPr>
          <w:rFonts w:asciiTheme="majorBidi" w:hAnsiTheme="majorBidi" w:cstheme="majorBidi"/>
          <w:sz w:val="24"/>
          <w:szCs w:val="24"/>
        </w:rPr>
        <w:t>It has been suggested that t</w:t>
      </w:r>
      <w:r w:rsidR="00175C95">
        <w:rPr>
          <w:rFonts w:asciiTheme="majorBidi" w:hAnsiTheme="majorBidi" w:cstheme="majorBidi"/>
          <w:sz w:val="24"/>
          <w:szCs w:val="24"/>
        </w:rPr>
        <w:t>he</w:t>
      </w:r>
      <w:r w:rsidR="00726FE9">
        <w:rPr>
          <w:rFonts w:asciiTheme="majorBidi" w:hAnsiTheme="majorBidi" w:cstheme="majorBidi"/>
          <w:sz w:val="24"/>
          <w:szCs w:val="24"/>
        </w:rPr>
        <w:t xml:space="preserve"> Act’s consent model</w:t>
      </w:r>
      <w:r w:rsidR="00264229">
        <w:rPr>
          <w:rFonts w:asciiTheme="majorBidi" w:hAnsiTheme="majorBidi" w:cstheme="majorBidi"/>
          <w:sz w:val="24"/>
          <w:szCs w:val="24"/>
        </w:rPr>
        <w:t xml:space="preserve"> is underpinned by</w:t>
      </w:r>
      <w:r w:rsidR="00726FE9">
        <w:rPr>
          <w:rFonts w:asciiTheme="majorBidi" w:hAnsiTheme="majorBidi" w:cstheme="majorBidi"/>
          <w:sz w:val="24"/>
          <w:szCs w:val="24"/>
        </w:rPr>
        <w:t xml:space="preserve"> the erroneous</w:t>
      </w:r>
      <w:r w:rsidR="00264229">
        <w:rPr>
          <w:rFonts w:asciiTheme="majorBidi" w:hAnsiTheme="majorBidi" w:cstheme="majorBidi"/>
          <w:sz w:val="24"/>
          <w:szCs w:val="24"/>
        </w:rPr>
        <w:t xml:space="preserve"> belief that</w:t>
      </w:r>
      <w:r w:rsidR="00175C95">
        <w:rPr>
          <w:rFonts w:asciiTheme="majorBidi" w:hAnsiTheme="majorBidi" w:cstheme="majorBidi"/>
          <w:sz w:val="24"/>
          <w:szCs w:val="24"/>
        </w:rPr>
        <w:t xml:space="preserve"> consent is </w:t>
      </w:r>
      <w:r w:rsidR="00040FBF">
        <w:rPr>
          <w:rFonts w:asciiTheme="majorBidi" w:hAnsiTheme="majorBidi" w:cstheme="majorBidi"/>
          <w:sz w:val="24"/>
          <w:szCs w:val="24"/>
        </w:rPr>
        <w:t>a</w:t>
      </w:r>
      <w:r w:rsidR="00175C95">
        <w:rPr>
          <w:rFonts w:asciiTheme="majorBidi" w:hAnsiTheme="majorBidi" w:cstheme="majorBidi"/>
          <w:sz w:val="24"/>
          <w:szCs w:val="24"/>
        </w:rPr>
        <w:t xml:space="preserve"> panacea for</w:t>
      </w:r>
      <w:r w:rsidR="00264229">
        <w:rPr>
          <w:rFonts w:asciiTheme="majorBidi" w:hAnsiTheme="majorBidi" w:cstheme="majorBidi"/>
          <w:sz w:val="24"/>
          <w:szCs w:val="24"/>
        </w:rPr>
        <w:t xml:space="preserve"> most</w:t>
      </w:r>
      <w:r w:rsidR="007F3A6A">
        <w:rPr>
          <w:rFonts w:asciiTheme="majorBidi" w:hAnsiTheme="majorBidi" w:cstheme="majorBidi"/>
          <w:sz w:val="24"/>
          <w:szCs w:val="24"/>
        </w:rPr>
        <w:t xml:space="preserve"> </w:t>
      </w:r>
      <w:r w:rsidR="00175C95">
        <w:rPr>
          <w:rFonts w:asciiTheme="majorBidi" w:hAnsiTheme="majorBidi" w:cstheme="majorBidi"/>
          <w:sz w:val="24"/>
          <w:szCs w:val="24"/>
        </w:rPr>
        <w:t>problems</w:t>
      </w:r>
      <w:r w:rsidR="00247482">
        <w:rPr>
          <w:rFonts w:asciiTheme="majorBidi" w:hAnsiTheme="majorBidi" w:cstheme="majorBidi"/>
          <w:sz w:val="24"/>
          <w:szCs w:val="24"/>
        </w:rPr>
        <w:t xml:space="preserve"> that occur in a</w:t>
      </w:r>
      <w:r w:rsidR="00040FBF">
        <w:rPr>
          <w:rFonts w:asciiTheme="majorBidi" w:hAnsiTheme="majorBidi" w:cstheme="majorBidi"/>
          <w:sz w:val="24"/>
          <w:szCs w:val="24"/>
        </w:rPr>
        <w:t xml:space="preserve"> medical</w:t>
      </w:r>
      <w:r w:rsidR="00247482">
        <w:rPr>
          <w:rFonts w:asciiTheme="majorBidi" w:hAnsiTheme="majorBidi" w:cstheme="majorBidi"/>
          <w:sz w:val="24"/>
          <w:szCs w:val="24"/>
        </w:rPr>
        <w:t xml:space="preserve"> setting</w:t>
      </w:r>
      <w:r w:rsidR="00040FBF">
        <w:rPr>
          <w:rFonts w:asciiTheme="majorBidi" w:hAnsiTheme="majorBidi" w:cstheme="majorBidi"/>
          <w:sz w:val="24"/>
          <w:szCs w:val="24"/>
        </w:rPr>
        <w:t>,</w:t>
      </w:r>
      <w:r w:rsidR="000B1B1F">
        <w:rPr>
          <w:rStyle w:val="FootnoteReference"/>
          <w:rFonts w:asciiTheme="majorBidi" w:hAnsiTheme="majorBidi" w:cstheme="majorBidi"/>
          <w:sz w:val="24"/>
          <w:szCs w:val="24"/>
        </w:rPr>
        <w:footnoteReference w:id="39"/>
      </w:r>
      <w:r w:rsidR="00264229">
        <w:rPr>
          <w:rFonts w:asciiTheme="majorBidi" w:hAnsiTheme="majorBidi" w:cstheme="majorBidi"/>
          <w:sz w:val="24"/>
          <w:szCs w:val="24"/>
        </w:rPr>
        <w:t xml:space="preserve"> such as unauthorised</w:t>
      </w:r>
      <w:r w:rsidR="00175C95">
        <w:rPr>
          <w:rFonts w:asciiTheme="majorBidi" w:hAnsiTheme="majorBidi" w:cstheme="majorBidi"/>
          <w:sz w:val="24"/>
          <w:szCs w:val="24"/>
        </w:rPr>
        <w:t xml:space="preserve"> dealings with bod</w:t>
      </w:r>
      <w:r w:rsidR="005568A6">
        <w:rPr>
          <w:rFonts w:asciiTheme="majorBidi" w:hAnsiTheme="majorBidi" w:cstheme="majorBidi"/>
          <w:sz w:val="24"/>
          <w:szCs w:val="24"/>
        </w:rPr>
        <w:t>il</w:t>
      </w:r>
      <w:r w:rsidR="00175C95">
        <w:rPr>
          <w:rFonts w:asciiTheme="majorBidi" w:hAnsiTheme="majorBidi" w:cstheme="majorBidi"/>
          <w:sz w:val="24"/>
          <w:szCs w:val="24"/>
        </w:rPr>
        <w:t>y parts</w:t>
      </w:r>
      <w:r w:rsidR="00264229">
        <w:rPr>
          <w:rFonts w:asciiTheme="majorBidi" w:hAnsiTheme="majorBidi" w:cstheme="majorBidi"/>
          <w:sz w:val="24"/>
          <w:szCs w:val="24"/>
        </w:rPr>
        <w:t>.</w:t>
      </w:r>
      <w:r w:rsidR="00EA061D">
        <w:rPr>
          <w:rStyle w:val="FootnoteReference"/>
          <w:rFonts w:asciiTheme="majorBidi" w:hAnsiTheme="majorBidi" w:cstheme="majorBidi"/>
          <w:sz w:val="24"/>
          <w:szCs w:val="24"/>
        </w:rPr>
        <w:footnoteReference w:id="40"/>
      </w:r>
      <w:r w:rsidR="00264229">
        <w:rPr>
          <w:rFonts w:asciiTheme="majorBidi" w:hAnsiTheme="majorBidi" w:cstheme="majorBidi"/>
          <w:sz w:val="24"/>
          <w:szCs w:val="24"/>
        </w:rPr>
        <w:t xml:space="preserve"> Also, the Act’s regulatory framework of consent might have been adopted</w:t>
      </w:r>
      <w:r w:rsidR="00040FBF">
        <w:rPr>
          <w:rFonts w:asciiTheme="majorBidi" w:hAnsiTheme="majorBidi" w:cstheme="majorBidi"/>
          <w:sz w:val="24"/>
          <w:szCs w:val="24"/>
        </w:rPr>
        <w:t xml:space="preserve"> due to</w:t>
      </w:r>
      <w:r w:rsidR="005568AE">
        <w:rPr>
          <w:rFonts w:asciiTheme="majorBidi" w:hAnsiTheme="majorBidi" w:cstheme="majorBidi"/>
          <w:sz w:val="24"/>
          <w:szCs w:val="24"/>
        </w:rPr>
        <w:t xml:space="preserve"> the dignitarian</w:t>
      </w:r>
      <w:r w:rsidR="00AE410C">
        <w:rPr>
          <w:rFonts w:asciiTheme="majorBidi" w:hAnsiTheme="majorBidi" w:cstheme="majorBidi"/>
          <w:sz w:val="24"/>
          <w:szCs w:val="24"/>
        </w:rPr>
        <w:t xml:space="preserve"> aversion</w:t>
      </w:r>
      <w:r w:rsidR="007F3A6A">
        <w:rPr>
          <w:rFonts w:asciiTheme="majorBidi" w:hAnsiTheme="majorBidi" w:cstheme="majorBidi"/>
          <w:sz w:val="24"/>
          <w:szCs w:val="24"/>
        </w:rPr>
        <w:t xml:space="preserve"> </w:t>
      </w:r>
      <w:r w:rsidR="00A01CA8">
        <w:rPr>
          <w:rFonts w:asciiTheme="majorBidi" w:hAnsiTheme="majorBidi" w:cstheme="majorBidi"/>
          <w:sz w:val="24"/>
          <w:szCs w:val="24"/>
        </w:rPr>
        <w:t>to</w:t>
      </w:r>
      <w:r w:rsidR="00AE410C">
        <w:rPr>
          <w:rFonts w:asciiTheme="majorBidi" w:hAnsiTheme="majorBidi" w:cstheme="majorBidi"/>
          <w:sz w:val="24"/>
          <w:szCs w:val="24"/>
        </w:rPr>
        <w:t xml:space="preserve"> propert</w:t>
      </w:r>
      <w:r w:rsidR="007F3A6A">
        <w:rPr>
          <w:rFonts w:asciiTheme="majorBidi" w:hAnsiTheme="majorBidi" w:cstheme="majorBidi"/>
          <w:sz w:val="24"/>
          <w:szCs w:val="24"/>
        </w:rPr>
        <w:t>y rights in</w:t>
      </w:r>
      <w:r w:rsidR="00040FBF">
        <w:rPr>
          <w:rFonts w:asciiTheme="majorBidi" w:hAnsiTheme="majorBidi" w:cstheme="majorBidi"/>
          <w:sz w:val="24"/>
          <w:szCs w:val="24"/>
        </w:rPr>
        <w:t xml:space="preserve"> the</w:t>
      </w:r>
      <w:r w:rsidR="00247482">
        <w:rPr>
          <w:rFonts w:asciiTheme="majorBidi" w:hAnsiTheme="majorBidi" w:cstheme="majorBidi"/>
          <w:sz w:val="24"/>
          <w:szCs w:val="24"/>
        </w:rPr>
        <w:t xml:space="preserve"> human</w:t>
      </w:r>
      <w:r w:rsidR="00AE410C">
        <w:rPr>
          <w:rFonts w:asciiTheme="majorBidi" w:hAnsiTheme="majorBidi" w:cstheme="majorBidi"/>
          <w:sz w:val="24"/>
          <w:szCs w:val="24"/>
        </w:rPr>
        <w:t xml:space="preserve"> body</w:t>
      </w:r>
      <w:r w:rsidR="00413FFB">
        <w:rPr>
          <w:rFonts w:asciiTheme="majorBidi" w:hAnsiTheme="majorBidi" w:cstheme="majorBidi"/>
          <w:sz w:val="24"/>
          <w:szCs w:val="24"/>
        </w:rPr>
        <w:t>. A</w:t>
      </w:r>
      <w:r w:rsidR="00A01CA8">
        <w:rPr>
          <w:rFonts w:asciiTheme="majorBidi" w:hAnsiTheme="majorBidi" w:cstheme="majorBidi"/>
          <w:sz w:val="24"/>
          <w:szCs w:val="24"/>
        </w:rPr>
        <w:t>s Brownsword observed, dignitarians</w:t>
      </w:r>
      <w:r w:rsidR="00040FBF">
        <w:rPr>
          <w:rFonts w:asciiTheme="majorBidi" w:hAnsiTheme="majorBidi" w:cstheme="majorBidi"/>
          <w:sz w:val="24"/>
          <w:szCs w:val="24"/>
        </w:rPr>
        <w:t xml:space="preserve"> </w:t>
      </w:r>
      <w:r w:rsidR="00A01CA8">
        <w:rPr>
          <w:rFonts w:asciiTheme="majorBidi" w:hAnsiTheme="majorBidi" w:cstheme="majorBidi"/>
          <w:sz w:val="24"/>
          <w:szCs w:val="24"/>
        </w:rPr>
        <w:t>argue that a proprietary regulatory framework for bodily parts would potentially have some</w:t>
      </w:r>
      <w:r w:rsidR="00AE410C">
        <w:rPr>
          <w:rFonts w:asciiTheme="majorBidi" w:hAnsiTheme="majorBidi" w:cstheme="majorBidi"/>
          <w:sz w:val="24"/>
          <w:szCs w:val="24"/>
        </w:rPr>
        <w:t xml:space="preserve"> deleterious </w:t>
      </w:r>
      <w:r w:rsidR="007F3A6A">
        <w:rPr>
          <w:rFonts w:asciiTheme="majorBidi" w:hAnsiTheme="majorBidi" w:cstheme="majorBidi"/>
          <w:sz w:val="24"/>
          <w:szCs w:val="24"/>
        </w:rPr>
        <w:t>effect</w:t>
      </w:r>
      <w:r w:rsidR="00A01CA8">
        <w:rPr>
          <w:rFonts w:asciiTheme="majorBidi" w:hAnsiTheme="majorBidi" w:cstheme="majorBidi"/>
          <w:sz w:val="24"/>
          <w:szCs w:val="24"/>
        </w:rPr>
        <w:t>s</w:t>
      </w:r>
      <w:r w:rsidR="00AE410C">
        <w:rPr>
          <w:rFonts w:asciiTheme="majorBidi" w:hAnsiTheme="majorBidi" w:cstheme="majorBidi"/>
          <w:sz w:val="24"/>
          <w:szCs w:val="24"/>
        </w:rPr>
        <w:t xml:space="preserve"> o</w:t>
      </w:r>
      <w:r w:rsidR="00040FBF">
        <w:rPr>
          <w:rFonts w:asciiTheme="majorBidi" w:hAnsiTheme="majorBidi" w:cstheme="majorBidi"/>
          <w:sz w:val="24"/>
          <w:szCs w:val="24"/>
        </w:rPr>
        <w:t>n human dignity and personhood.</w:t>
      </w:r>
      <w:r w:rsidR="00247482">
        <w:rPr>
          <w:rStyle w:val="FootnoteReference"/>
          <w:rFonts w:asciiTheme="majorBidi" w:hAnsiTheme="majorBidi" w:cstheme="majorBidi"/>
          <w:sz w:val="24"/>
          <w:szCs w:val="24"/>
        </w:rPr>
        <w:footnoteReference w:id="41"/>
      </w:r>
      <w:r w:rsidR="00040FBF">
        <w:rPr>
          <w:rFonts w:asciiTheme="majorBidi" w:hAnsiTheme="majorBidi" w:cstheme="majorBidi"/>
          <w:sz w:val="24"/>
          <w:szCs w:val="24"/>
        </w:rPr>
        <w:t xml:space="preserve"> </w:t>
      </w:r>
      <w:r w:rsidR="009C215F">
        <w:rPr>
          <w:rFonts w:asciiTheme="majorBidi" w:hAnsiTheme="majorBidi" w:cstheme="majorBidi"/>
          <w:sz w:val="24"/>
          <w:szCs w:val="24"/>
        </w:rPr>
        <w:t>Although</w:t>
      </w:r>
      <w:r w:rsidR="003E6EB8">
        <w:rPr>
          <w:rFonts w:asciiTheme="majorBidi" w:hAnsiTheme="majorBidi" w:cstheme="majorBidi"/>
          <w:sz w:val="24"/>
          <w:szCs w:val="24"/>
        </w:rPr>
        <w:t xml:space="preserve"> the</w:t>
      </w:r>
      <w:r w:rsidR="005230B8">
        <w:rPr>
          <w:rFonts w:asciiTheme="majorBidi" w:hAnsiTheme="majorBidi" w:cstheme="majorBidi"/>
          <w:sz w:val="24"/>
          <w:szCs w:val="24"/>
        </w:rPr>
        <w:t xml:space="preserve"> 2004</w:t>
      </w:r>
      <w:r w:rsidR="0078139C">
        <w:rPr>
          <w:rFonts w:asciiTheme="majorBidi" w:hAnsiTheme="majorBidi" w:cstheme="majorBidi"/>
          <w:sz w:val="24"/>
          <w:szCs w:val="24"/>
        </w:rPr>
        <w:t xml:space="preserve"> Act</w:t>
      </w:r>
      <w:r w:rsidR="003E6EB8">
        <w:rPr>
          <w:rFonts w:asciiTheme="majorBidi" w:hAnsiTheme="majorBidi" w:cstheme="majorBidi"/>
          <w:sz w:val="24"/>
          <w:szCs w:val="24"/>
        </w:rPr>
        <w:t xml:space="preserve"> </w:t>
      </w:r>
      <w:r w:rsidR="004A14B8">
        <w:rPr>
          <w:rFonts w:asciiTheme="majorBidi" w:hAnsiTheme="majorBidi" w:cstheme="majorBidi"/>
          <w:sz w:val="24"/>
          <w:szCs w:val="24"/>
        </w:rPr>
        <w:t>sh</w:t>
      </w:r>
      <w:r w:rsidR="0078139C">
        <w:rPr>
          <w:rFonts w:asciiTheme="majorBidi" w:hAnsiTheme="majorBidi" w:cstheme="majorBidi"/>
          <w:sz w:val="24"/>
          <w:szCs w:val="24"/>
        </w:rPr>
        <w:t>o</w:t>
      </w:r>
      <w:r w:rsidR="003E6EB8">
        <w:rPr>
          <w:rFonts w:asciiTheme="majorBidi" w:hAnsiTheme="majorBidi" w:cstheme="majorBidi"/>
          <w:sz w:val="24"/>
          <w:szCs w:val="24"/>
        </w:rPr>
        <w:t>uld have deployed</w:t>
      </w:r>
      <w:r w:rsidR="0078139C">
        <w:rPr>
          <w:rFonts w:asciiTheme="majorBidi" w:hAnsiTheme="majorBidi" w:cstheme="majorBidi"/>
          <w:sz w:val="24"/>
          <w:szCs w:val="24"/>
        </w:rPr>
        <w:t xml:space="preserve"> a</w:t>
      </w:r>
      <w:r w:rsidR="003E6EB8">
        <w:rPr>
          <w:rFonts w:asciiTheme="majorBidi" w:hAnsiTheme="majorBidi" w:cstheme="majorBidi"/>
          <w:sz w:val="24"/>
          <w:szCs w:val="24"/>
        </w:rPr>
        <w:t xml:space="preserve"> </w:t>
      </w:r>
      <w:r w:rsidR="003E6EB8" w:rsidRPr="0078139C">
        <w:rPr>
          <w:rFonts w:asciiTheme="majorBidi" w:hAnsiTheme="majorBidi" w:cstheme="majorBidi"/>
          <w:sz w:val="24"/>
          <w:szCs w:val="24"/>
        </w:rPr>
        <w:t>prop</w:t>
      </w:r>
      <w:r w:rsidR="0078139C">
        <w:rPr>
          <w:rFonts w:asciiTheme="majorBidi" w:hAnsiTheme="majorBidi" w:cstheme="majorBidi"/>
          <w:sz w:val="24"/>
          <w:szCs w:val="24"/>
        </w:rPr>
        <w:t>rietary</w:t>
      </w:r>
      <w:r w:rsidR="003E6EB8">
        <w:rPr>
          <w:rFonts w:asciiTheme="majorBidi" w:hAnsiTheme="majorBidi" w:cstheme="majorBidi"/>
          <w:sz w:val="24"/>
          <w:szCs w:val="24"/>
        </w:rPr>
        <w:t xml:space="preserve"> </w:t>
      </w:r>
      <w:r w:rsidR="0078139C">
        <w:rPr>
          <w:rFonts w:asciiTheme="majorBidi" w:hAnsiTheme="majorBidi" w:cstheme="majorBidi"/>
          <w:sz w:val="24"/>
          <w:szCs w:val="24"/>
        </w:rPr>
        <w:t xml:space="preserve">approach </w:t>
      </w:r>
      <w:r w:rsidR="003E6EB8">
        <w:rPr>
          <w:rFonts w:asciiTheme="majorBidi" w:hAnsiTheme="majorBidi" w:cstheme="majorBidi"/>
          <w:sz w:val="24"/>
          <w:szCs w:val="24"/>
        </w:rPr>
        <w:t>as an adjunct to the consent model</w:t>
      </w:r>
      <w:r w:rsidR="007F3A6A">
        <w:rPr>
          <w:rFonts w:asciiTheme="majorBidi" w:hAnsiTheme="majorBidi" w:cstheme="majorBidi"/>
          <w:sz w:val="24"/>
          <w:szCs w:val="24"/>
        </w:rPr>
        <w:t>,</w:t>
      </w:r>
      <w:r w:rsidR="0078139C">
        <w:rPr>
          <w:rStyle w:val="FootnoteReference"/>
          <w:rFonts w:asciiTheme="majorBidi" w:hAnsiTheme="majorBidi" w:cstheme="majorBidi"/>
          <w:sz w:val="24"/>
          <w:szCs w:val="24"/>
        </w:rPr>
        <w:footnoteReference w:id="42"/>
      </w:r>
      <w:r w:rsidR="0078139C">
        <w:rPr>
          <w:rFonts w:asciiTheme="majorBidi" w:hAnsiTheme="majorBidi" w:cstheme="majorBidi"/>
          <w:sz w:val="24"/>
          <w:szCs w:val="24"/>
        </w:rPr>
        <w:t xml:space="preserve"> it clearly went for the exclusive regulatory modality of consent. </w:t>
      </w:r>
    </w:p>
    <w:p w:rsidR="007B301B" w:rsidRDefault="0078139C" w:rsidP="00383BD9">
      <w:pPr>
        <w:ind w:firstLine="720"/>
        <w:jc w:val="both"/>
        <w:rPr>
          <w:rFonts w:asciiTheme="majorBidi" w:hAnsiTheme="majorBidi" w:cstheme="majorBidi"/>
          <w:sz w:val="24"/>
          <w:szCs w:val="24"/>
        </w:rPr>
      </w:pPr>
      <w:r>
        <w:rPr>
          <w:rFonts w:asciiTheme="majorBidi" w:hAnsiTheme="majorBidi" w:cstheme="majorBidi"/>
          <w:sz w:val="24"/>
          <w:szCs w:val="24"/>
        </w:rPr>
        <w:t>Coupling a proprietary framework with the consent model would have</w:t>
      </w:r>
      <w:r w:rsidR="003E6EB8">
        <w:rPr>
          <w:rFonts w:asciiTheme="majorBidi" w:hAnsiTheme="majorBidi" w:cstheme="majorBidi"/>
          <w:sz w:val="24"/>
          <w:szCs w:val="24"/>
        </w:rPr>
        <w:t xml:space="preserve"> achieve</w:t>
      </w:r>
      <w:r>
        <w:rPr>
          <w:rFonts w:asciiTheme="majorBidi" w:hAnsiTheme="majorBidi" w:cstheme="majorBidi"/>
          <w:sz w:val="24"/>
          <w:szCs w:val="24"/>
        </w:rPr>
        <w:t>d</w:t>
      </w:r>
      <w:r w:rsidR="003E6EB8">
        <w:rPr>
          <w:rFonts w:asciiTheme="majorBidi" w:hAnsiTheme="majorBidi" w:cstheme="majorBidi"/>
          <w:sz w:val="24"/>
          <w:szCs w:val="24"/>
        </w:rPr>
        <w:t xml:space="preserve"> what Brownsword identified as an ‘optimal mix of regulatory modalities’.</w:t>
      </w:r>
      <w:r w:rsidR="009C215F">
        <w:rPr>
          <w:rStyle w:val="FootnoteReference"/>
          <w:rFonts w:asciiTheme="majorBidi" w:hAnsiTheme="majorBidi" w:cstheme="majorBidi"/>
          <w:sz w:val="24"/>
          <w:szCs w:val="24"/>
        </w:rPr>
        <w:footnoteReference w:id="43"/>
      </w:r>
      <w:r w:rsidR="00BF796D">
        <w:rPr>
          <w:rFonts w:asciiTheme="majorBidi" w:hAnsiTheme="majorBidi" w:cstheme="majorBidi"/>
          <w:sz w:val="24"/>
          <w:szCs w:val="24"/>
        </w:rPr>
        <w:t xml:space="preserve"> </w:t>
      </w:r>
      <w:r w:rsidR="00EF2305">
        <w:rPr>
          <w:rFonts w:asciiTheme="majorBidi" w:hAnsiTheme="majorBidi" w:cstheme="majorBidi"/>
          <w:sz w:val="24"/>
          <w:szCs w:val="24"/>
        </w:rPr>
        <w:t>In essence,</w:t>
      </w:r>
      <w:r w:rsidR="00BF796D">
        <w:rPr>
          <w:rFonts w:asciiTheme="majorBidi" w:hAnsiTheme="majorBidi" w:cstheme="majorBidi"/>
          <w:sz w:val="24"/>
          <w:szCs w:val="24"/>
        </w:rPr>
        <w:t xml:space="preserve"> the Act </w:t>
      </w:r>
      <w:r>
        <w:rPr>
          <w:rFonts w:asciiTheme="majorBidi" w:hAnsiTheme="majorBidi" w:cstheme="majorBidi"/>
          <w:sz w:val="24"/>
          <w:szCs w:val="24"/>
        </w:rPr>
        <w:t>failed to</w:t>
      </w:r>
      <w:r w:rsidR="00BF796D">
        <w:rPr>
          <w:rFonts w:asciiTheme="majorBidi" w:hAnsiTheme="majorBidi" w:cstheme="majorBidi"/>
          <w:sz w:val="24"/>
          <w:szCs w:val="24"/>
        </w:rPr>
        <w:t xml:space="preserve"> buy into Black’s</w:t>
      </w:r>
      <w:r>
        <w:rPr>
          <w:rFonts w:asciiTheme="majorBidi" w:hAnsiTheme="majorBidi" w:cstheme="majorBidi"/>
          <w:sz w:val="24"/>
          <w:szCs w:val="24"/>
        </w:rPr>
        <w:t xml:space="preserve"> regulatory</w:t>
      </w:r>
      <w:r w:rsidR="00BF796D">
        <w:rPr>
          <w:rFonts w:asciiTheme="majorBidi" w:hAnsiTheme="majorBidi" w:cstheme="majorBidi"/>
          <w:sz w:val="24"/>
          <w:szCs w:val="24"/>
        </w:rPr>
        <w:t xml:space="preserve"> aphorism</w:t>
      </w:r>
      <w:r>
        <w:rPr>
          <w:rFonts w:asciiTheme="majorBidi" w:hAnsiTheme="majorBidi" w:cstheme="majorBidi"/>
          <w:sz w:val="24"/>
          <w:szCs w:val="24"/>
        </w:rPr>
        <w:t>,</w:t>
      </w:r>
      <w:r w:rsidR="00BF796D">
        <w:rPr>
          <w:rFonts w:asciiTheme="majorBidi" w:hAnsiTheme="majorBidi" w:cstheme="majorBidi"/>
          <w:sz w:val="24"/>
          <w:szCs w:val="24"/>
        </w:rPr>
        <w:t xml:space="preserve"> that ‘instrument mix is the new buzz phrase’</w:t>
      </w:r>
      <w:r w:rsidR="003B703C">
        <w:rPr>
          <w:rFonts w:asciiTheme="majorBidi" w:hAnsiTheme="majorBidi" w:cstheme="majorBidi"/>
          <w:sz w:val="24"/>
          <w:szCs w:val="24"/>
        </w:rPr>
        <w:t>,</w:t>
      </w:r>
      <w:r>
        <w:rPr>
          <w:rFonts w:asciiTheme="majorBidi" w:hAnsiTheme="majorBidi" w:cstheme="majorBidi"/>
          <w:sz w:val="24"/>
          <w:szCs w:val="24"/>
        </w:rPr>
        <w:t xml:space="preserve"> and that</w:t>
      </w:r>
      <w:r w:rsidR="00BF796D">
        <w:rPr>
          <w:rFonts w:asciiTheme="majorBidi" w:hAnsiTheme="majorBidi" w:cstheme="majorBidi"/>
          <w:sz w:val="24"/>
          <w:szCs w:val="24"/>
        </w:rPr>
        <w:t xml:space="preserve"> regulators</w:t>
      </w:r>
      <w:r>
        <w:rPr>
          <w:rFonts w:asciiTheme="majorBidi" w:hAnsiTheme="majorBidi" w:cstheme="majorBidi"/>
          <w:sz w:val="24"/>
          <w:szCs w:val="24"/>
        </w:rPr>
        <w:t xml:space="preserve"> should</w:t>
      </w:r>
      <w:r w:rsidR="00BF796D">
        <w:rPr>
          <w:rFonts w:asciiTheme="majorBidi" w:hAnsiTheme="majorBidi" w:cstheme="majorBidi"/>
          <w:sz w:val="24"/>
          <w:szCs w:val="24"/>
        </w:rPr>
        <w:t xml:space="preserve"> ‘not think in terms of using just one regulatory instrument to address a problem, but of using a range of instruments in combination’.</w:t>
      </w:r>
      <w:r w:rsidR="00F135D3">
        <w:rPr>
          <w:rStyle w:val="FootnoteReference"/>
          <w:rFonts w:asciiTheme="majorBidi" w:hAnsiTheme="majorBidi" w:cstheme="majorBidi"/>
          <w:sz w:val="24"/>
          <w:szCs w:val="24"/>
        </w:rPr>
        <w:footnoteReference w:id="44"/>
      </w:r>
      <w:r w:rsidR="003E6EB8">
        <w:rPr>
          <w:rFonts w:asciiTheme="majorBidi" w:hAnsiTheme="majorBidi" w:cstheme="majorBidi"/>
          <w:sz w:val="24"/>
          <w:szCs w:val="24"/>
        </w:rPr>
        <w:t xml:space="preserve"> </w:t>
      </w:r>
      <w:r w:rsidR="00AE410C">
        <w:rPr>
          <w:rFonts w:asciiTheme="majorBidi" w:hAnsiTheme="majorBidi" w:cstheme="majorBidi"/>
          <w:sz w:val="24"/>
          <w:szCs w:val="24"/>
        </w:rPr>
        <w:t>Unsurprisingly, problems remain despite the</w:t>
      </w:r>
      <w:r w:rsidR="002B6BF3">
        <w:rPr>
          <w:rFonts w:asciiTheme="majorBidi" w:hAnsiTheme="majorBidi" w:cstheme="majorBidi"/>
          <w:sz w:val="24"/>
          <w:szCs w:val="24"/>
        </w:rPr>
        <w:t xml:space="preserve"> promulgation of the</w:t>
      </w:r>
      <w:r w:rsidR="00AE410C">
        <w:rPr>
          <w:rFonts w:asciiTheme="majorBidi" w:hAnsiTheme="majorBidi" w:cstheme="majorBidi"/>
          <w:sz w:val="24"/>
          <w:szCs w:val="24"/>
        </w:rPr>
        <w:t xml:space="preserve"> Act. As the next section</w:t>
      </w:r>
      <w:r w:rsidR="002B6BF3">
        <w:rPr>
          <w:rFonts w:asciiTheme="majorBidi" w:hAnsiTheme="majorBidi" w:cstheme="majorBidi"/>
          <w:sz w:val="24"/>
          <w:szCs w:val="24"/>
        </w:rPr>
        <w:t xml:space="preserve"> shows,</w:t>
      </w:r>
      <w:r w:rsidR="00AE410C">
        <w:rPr>
          <w:rFonts w:asciiTheme="majorBidi" w:hAnsiTheme="majorBidi" w:cstheme="majorBidi"/>
          <w:sz w:val="24"/>
          <w:szCs w:val="24"/>
        </w:rPr>
        <w:t xml:space="preserve"> for instance,</w:t>
      </w:r>
      <w:r w:rsidR="00492510">
        <w:rPr>
          <w:rFonts w:asciiTheme="majorBidi" w:hAnsiTheme="majorBidi" w:cstheme="majorBidi"/>
          <w:sz w:val="24"/>
          <w:szCs w:val="24"/>
        </w:rPr>
        <w:t xml:space="preserve"> neither the law of consent</w:t>
      </w:r>
      <w:r w:rsidR="002B6BF3">
        <w:rPr>
          <w:rFonts w:asciiTheme="majorBidi" w:hAnsiTheme="majorBidi" w:cstheme="majorBidi"/>
          <w:sz w:val="24"/>
          <w:szCs w:val="24"/>
        </w:rPr>
        <w:t>,</w:t>
      </w:r>
      <w:r w:rsidR="00492510">
        <w:rPr>
          <w:rFonts w:asciiTheme="majorBidi" w:hAnsiTheme="majorBidi" w:cstheme="majorBidi"/>
          <w:sz w:val="24"/>
          <w:szCs w:val="24"/>
        </w:rPr>
        <w:t xml:space="preserve"> nor</w:t>
      </w:r>
      <w:r w:rsidR="002B6BF3">
        <w:rPr>
          <w:rFonts w:asciiTheme="majorBidi" w:hAnsiTheme="majorBidi" w:cstheme="majorBidi"/>
          <w:sz w:val="24"/>
          <w:szCs w:val="24"/>
        </w:rPr>
        <w:t xml:space="preserve"> most other non-proprietary categories of private law in</w:t>
      </w:r>
      <w:r w:rsidR="00492510">
        <w:rPr>
          <w:rFonts w:asciiTheme="majorBidi" w:hAnsiTheme="majorBidi" w:cstheme="majorBidi"/>
          <w:sz w:val="24"/>
          <w:szCs w:val="24"/>
        </w:rPr>
        <w:t xml:space="preserve"> England and Wales</w:t>
      </w:r>
      <w:r w:rsidR="002B6BF3">
        <w:rPr>
          <w:rFonts w:asciiTheme="majorBidi" w:hAnsiTheme="majorBidi" w:cstheme="majorBidi"/>
          <w:sz w:val="24"/>
          <w:szCs w:val="24"/>
        </w:rPr>
        <w:t xml:space="preserve"> can</w:t>
      </w:r>
      <w:r w:rsidR="00AE410C">
        <w:rPr>
          <w:rFonts w:asciiTheme="majorBidi" w:hAnsiTheme="majorBidi" w:cstheme="majorBidi"/>
          <w:sz w:val="24"/>
          <w:szCs w:val="24"/>
        </w:rPr>
        <w:t xml:space="preserve"> satisfactorily deal</w:t>
      </w:r>
      <w:r w:rsidR="00492510">
        <w:rPr>
          <w:rFonts w:asciiTheme="majorBidi" w:hAnsiTheme="majorBidi" w:cstheme="majorBidi"/>
          <w:sz w:val="24"/>
          <w:szCs w:val="24"/>
        </w:rPr>
        <w:t xml:space="preserve"> with</w:t>
      </w:r>
      <w:r w:rsidR="002B6BF3">
        <w:rPr>
          <w:rFonts w:asciiTheme="majorBidi" w:hAnsiTheme="majorBidi" w:cstheme="majorBidi"/>
          <w:sz w:val="24"/>
          <w:szCs w:val="24"/>
        </w:rPr>
        <w:t xml:space="preserve"> most</w:t>
      </w:r>
      <w:r w:rsidR="00AE410C">
        <w:rPr>
          <w:rFonts w:asciiTheme="majorBidi" w:hAnsiTheme="majorBidi" w:cstheme="majorBidi"/>
          <w:sz w:val="24"/>
          <w:szCs w:val="24"/>
        </w:rPr>
        <w:t xml:space="preserve"> complaints</w:t>
      </w:r>
      <w:r w:rsidR="002B6BF3">
        <w:rPr>
          <w:rFonts w:asciiTheme="majorBidi" w:hAnsiTheme="majorBidi" w:cstheme="majorBidi"/>
          <w:sz w:val="24"/>
          <w:szCs w:val="24"/>
        </w:rPr>
        <w:t xml:space="preserve"> </w:t>
      </w:r>
      <w:r w:rsidR="0043047E">
        <w:rPr>
          <w:rFonts w:asciiTheme="majorBidi" w:hAnsiTheme="majorBidi" w:cstheme="majorBidi"/>
          <w:sz w:val="24"/>
          <w:szCs w:val="24"/>
        </w:rPr>
        <w:t>arising from</w:t>
      </w:r>
      <w:r w:rsidR="00AE410C">
        <w:rPr>
          <w:rFonts w:asciiTheme="majorBidi" w:hAnsiTheme="majorBidi" w:cstheme="majorBidi"/>
          <w:sz w:val="24"/>
          <w:szCs w:val="24"/>
        </w:rPr>
        <w:t xml:space="preserve"> </w:t>
      </w:r>
      <w:r w:rsidR="00492510">
        <w:rPr>
          <w:rFonts w:asciiTheme="majorBidi" w:hAnsiTheme="majorBidi" w:cstheme="majorBidi"/>
          <w:sz w:val="24"/>
          <w:szCs w:val="24"/>
        </w:rPr>
        <w:t>unauthorised</w:t>
      </w:r>
      <w:r w:rsidR="002B6BF3">
        <w:rPr>
          <w:rFonts w:asciiTheme="majorBidi" w:hAnsiTheme="majorBidi" w:cstheme="majorBidi"/>
          <w:sz w:val="24"/>
          <w:szCs w:val="24"/>
        </w:rPr>
        <w:t xml:space="preserve"> dealings with</w:t>
      </w:r>
      <w:r w:rsidR="00492510">
        <w:rPr>
          <w:rFonts w:asciiTheme="majorBidi" w:hAnsiTheme="majorBidi" w:cstheme="majorBidi"/>
          <w:sz w:val="24"/>
          <w:szCs w:val="24"/>
        </w:rPr>
        <w:t xml:space="preserve"> bod</w:t>
      </w:r>
      <w:r w:rsidR="0043047E">
        <w:rPr>
          <w:rFonts w:asciiTheme="majorBidi" w:hAnsiTheme="majorBidi" w:cstheme="majorBidi"/>
          <w:sz w:val="24"/>
          <w:szCs w:val="24"/>
        </w:rPr>
        <w:t>il</w:t>
      </w:r>
      <w:r w:rsidR="00492510">
        <w:rPr>
          <w:rFonts w:asciiTheme="majorBidi" w:hAnsiTheme="majorBidi" w:cstheme="majorBidi"/>
          <w:sz w:val="24"/>
          <w:szCs w:val="24"/>
        </w:rPr>
        <w:t>y parts</w:t>
      </w:r>
      <w:r w:rsidR="002B6BF3">
        <w:rPr>
          <w:rFonts w:asciiTheme="majorBidi" w:hAnsiTheme="majorBidi" w:cstheme="majorBidi"/>
          <w:sz w:val="24"/>
          <w:szCs w:val="24"/>
        </w:rPr>
        <w:t>.</w:t>
      </w:r>
      <w:r w:rsidR="00AE410C">
        <w:rPr>
          <w:rFonts w:asciiTheme="majorBidi" w:hAnsiTheme="majorBidi" w:cstheme="majorBidi"/>
          <w:sz w:val="24"/>
          <w:szCs w:val="24"/>
        </w:rPr>
        <w:t xml:space="preserve"> </w:t>
      </w:r>
      <w:r w:rsidR="002B6BF3">
        <w:rPr>
          <w:rFonts w:asciiTheme="majorBidi" w:hAnsiTheme="majorBidi" w:cstheme="majorBidi"/>
          <w:sz w:val="24"/>
          <w:szCs w:val="24"/>
        </w:rPr>
        <w:t>P</w:t>
      </w:r>
      <w:r w:rsidR="00AE410C">
        <w:rPr>
          <w:rFonts w:asciiTheme="majorBidi" w:hAnsiTheme="majorBidi" w:cstheme="majorBidi"/>
          <w:sz w:val="24"/>
          <w:szCs w:val="24"/>
        </w:rPr>
        <w:t>articularly,</w:t>
      </w:r>
      <w:r w:rsidR="002B6BF3">
        <w:rPr>
          <w:rFonts w:asciiTheme="majorBidi" w:hAnsiTheme="majorBidi" w:cstheme="majorBidi"/>
          <w:sz w:val="24"/>
          <w:szCs w:val="24"/>
        </w:rPr>
        <w:t xml:space="preserve"> most elements of private law </w:t>
      </w:r>
      <w:r w:rsidR="00AE410C">
        <w:rPr>
          <w:rFonts w:asciiTheme="majorBidi" w:hAnsiTheme="majorBidi" w:cstheme="majorBidi"/>
          <w:sz w:val="24"/>
          <w:szCs w:val="24"/>
        </w:rPr>
        <w:t xml:space="preserve">struggle with the remedification of claims </w:t>
      </w:r>
      <w:r w:rsidR="002B6BF3">
        <w:rPr>
          <w:rFonts w:asciiTheme="majorBidi" w:hAnsiTheme="majorBidi" w:cstheme="majorBidi"/>
          <w:sz w:val="24"/>
          <w:szCs w:val="24"/>
        </w:rPr>
        <w:t xml:space="preserve">made </w:t>
      </w:r>
      <w:r w:rsidR="00AE410C">
        <w:rPr>
          <w:rFonts w:asciiTheme="majorBidi" w:hAnsiTheme="majorBidi" w:cstheme="majorBidi"/>
          <w:sz w:val="24"/>
          <w:szCs w:val="24"/>
        </w:rPr>
        <w:t>by tissue sources.</w:t>
      </w:r>
      <w:r w:rsidR="00141304">
        <w:rPr>
          <w:rStyle w:val="FootnoteReference"/>
          <w:rFonts w:asciiTheme="majorBidi" w:hAnsiTheme="majorBidi" w:cstheme="majorBidi"/>
          <w:sz w:val="24"/>
          <w:szCs w:val="24"/>
        </w:rPr>
        <w:footnoteReference w:id="45"/>
      </w:r>
      <w:r w:rsidR="000818F5">
        <w:rPr>
          <w:rFonts w:asciiTheme="majorBidi" w:hAnsiTheme="majorBidi" w:cstheme="majorBidi"/>
          <w:sz w:val="24"/>
          <w:szCs w:val="24"/>
        </w:rPr>
        <w:t xml:space="preserve"> Similar challenges are evident in the </w:t>
      </w:r>
      <w:r w:rsidR="00492510">
        <w:rPr>
          <w:rFonts w:asciiTheme="majorBidi" w:hAnsiTheme="majorBidi" w:cstheme="majorBidi"/>
          <w:sz w:val="24"/>
          <w:szCs w:val="24"/>
        </w:rPr>
        <w:t>public law, particularly</w:t>
      </w:r>
      <w:r w:rsidR="000818F5">
        <w:rPr>
          <w:rFonts w:asciiTheme="majorBidi" w:hAnsiTheme="majorBidi" w:cstheme="majorBidi"/>
          <w:sz w:val="24"/>
          <w:szCs w:val="24"/>
        </w:rPr>
        <w:t xml:space="preserve"> the</w:t>
      </w:r>
      <w:r w:rsidR="00492510">
        <w:rPr>
          <w:rFonts w:asciiTheme="majorBidi" w:hAnsiTheme="majorBidi" w:cstheme="majorBidi"/>
          <w:sz w:val="24"/>
          <w:szCs w:val="24"/>
        </w:rPr>
        <w:t xml:space="preserve"> criminal law</w:t>
      </w:r>
      <w:r w:rsidR="000818F5">
        <w:rPr>
          <w:rFonts w:asciiTheme="majorBidi" w:hAnsiTheme="majorBidi" w:cstheme="majorBidi"/>
          <w:sz w:val="24"/>
          <w:szCs w:val="24"/>
        </w:rPr>
        <w:t>. As the unsuccessful prosecution in the recent German organ scandal shows,</w:t>
      </w:r>
      <w:r w:rsidR="0043047E">
        <w:rPr>
          <w:rStyle w:val="FootnoteReference"/>
          <w:rFonts w:asciiTheme="majorBidi" w:hAnsiTheme="majorBidi" w:cstheme="majorBidi"/>
          <w:sz w:val="24"/>
          <w:szCs w:val="24"/>
        </w:rPr>
        <w:footnoteReference w:id="46"/>
      </w:r>
      <w:r w:rsidR="000818F5">
        <w:rPr>
          <w:rFonts w:asciiTheme="majorBidi" w:hAnsiTheme="majorBidi" w:cstheme="majorBidi"/>
          <w:sz w:val="24"/>
          <w:szCs w:val="24"/>
        </w:rPr>
        <w:t xml:space="preserve"> criminal law is rarely helpful</w:t>
      </w:r>
      <w:r w:rsidR="00AE410C">
        <w:rPr>
          <w:rFonts w:asciiTheme="majorBidi" w:hAnsiTheme="majorBidi" w:cstheme="majorBidi"/>
          <w:sz w:val="24"/>
          <w:szCs w:val="24"/>
        </w:rPr>
        <w:t xml:space="preserve"> in relation to issues</w:t>
      </w:r>
      <w:r w:rsidR="000818F5">
        <w:rPr>
          <w:rFonts w:asciiTheme="majorBidi" w:hAnsiTheme="majorBidi" w:cstheme="majorBidi"/>
          <w:sz w:val="24"/>
          <w:szCs w:val="24"/>
        </w:rPr>
        <w:t xml:space="preserve"> arising from</w:t>
      </w:r>
      <w:r w:rsidR="00AE410C">
        <w:rPr>
          <w:rFonts w:asciiTheme="majorBidi" w:hAnsiTheme="majorBidi" w:cstheme="majorBidi"/>
          <w:sz w:val="24"/>
          <w:szCs w:val="24"/>
        </w:rPr>
        <w:t xml:space="preserve"> </w:t>
      </w:r>
      <w:r w:rsidR="0043047E">
        <w:rPr>
          <w:rFonts w:asciiTheme="majorBidi" w:hAnsiTheme="majorBidi" w:cstheme="majorBidi"/>
          <w:sz w:val="24"/>
          <w:szCs w:val="24"/>
        </w:rPr>
        <w:t xml:space="preserve">the processes of </w:t>
      </w:r>
      <w:r w:rsidR="00AE410C">
        <w:rPr>
          <w:rFonts w:asciiTheme="majorBidi" w:hAnsiTheme="majorBidi" w:cstheme="majorBidi"/>
          <w:sz w:val="24"/>
          <w:szCs w:val="24"/>
        </w:rPr>
        <w:t>organ donation and transplantation</w:t>
      </w:r>
      <w:r w:rsidR="000818F5">
        <w:rPr>
          <w:rFonts w:asciiTheme="majorBidi" w:hAnsiTheme="majorBidi" w:cstheme="majorBidi"/>
          <w:sz w:val="24"/>
          <w:szCs w:val="24"/>
        </w:rPr>
        <w:t xml:space="preserve">; however, the law of theft might be relevant </w:t>
      </w:r>
      <w:r w:rsidR="003C28AE">
        <w:rPr>
          <w:rFonts w:asciiTheme="majorBidi" w:hAnsiTheme="majorBidi" w:cstheme="majorBidi"/>
          <w:sz w:val="24"/>
          <w:szCs w:val="24"/>
        </w:rPr>
        <w:t>to</w:t>
      </w:r>
      <w:r w:rsidR="000818F5">
        <w:rPr>
          <w:rFonts w:asciiTheme="majorBidi" w:hAnsiTheme="majorBidi" w:cstheme="majorBidi"/>
          <w:sz w:val="24"/>
          <w:szCs w:val="24"/>
        </w:rPr>
        <w:t xml:space="preserve"> bod</w:t>
      </w:r>
      <w:r w:rsidR="003C28AE">
        <w:rPr>
          <w:rFonts w:asciiTheme="majorBidi" w:hAnsiTheme="majorBidi" w:cstheme="majorBidi"/>
          <w:sz w:val="24"/>
          <w:szCs w:val="24"/>
        </w:rPr>
        <w:t>il</w:t>
      </w:r>
      <w:r w:rsidR="000818F5">
        <w:rPr>
          <w:rFonts w:asciiTheme="majorBidi" w:hAnsiTheme="majorBidi" w:cstheme="majorBidi"/>
          <w:sz w:val="24"/>
          <w:szCs w:val="24"/>
        </w:rPr>
        <w:t xml:space="preserve">y parts </w:t>
      </w:r>
      <w:r w:rsidR="00AE410C">
        <w:rPr>
          <w:rFonts w:asciiTheme="majorBidi" w:hAnsiTheme="majorBidi" w:cstheme="majorBidi"/>
          <w:sz w:val="24"/>
          <w:szCs w:val="24"/>
        </w:rPr>
        <w:t>transformed</w:t>
      </w:r>
      <w:r w:rsidR="000818F5">
        <w:rPr>
          <w:rFonts w:asciiTheme="majorBidi" w:hAnsiTheme="majorBidi" w:cstheme="majorBidi"/>
          <w:sz w:val="24"/>
          <w:szCs w:val="24"/>
        </w:rPr>
        <w:t xml:space="preserve"> by the application of work or skill</w:t>
      </w:r>
      <w:r w:rsidR="00492510">
        <w:rPr>
          <w:rFonts w:asciiTheme="majorBidi" w:hAnsiTheme="majorBidi" w:cstheme="majorBidi"/>
          <w:sz w:val="24"/>
          <w:szCs w:val="24"/>
        </w:rPr>
        <w:t>.</w:t>
      </w:r>
      <w:r w:rsidR="00AE410C">
        <w:rPr>
          <w:rStyle w:val="FootnoteReference"/>
          <w:rFonts w:asciiTheme="majorBidi" w:hAnsiTheme="majorBidi" w:cstheme="majorBidi"/>
          <w:sz w:val="24"/>
          <w:szCs w:val="24"/>
        </w:rPr>
        <w:footnoteReference w:id="47"/>
      </w:r>
      <w:r w:rsidR="00663295">
        <w:rPr>
          <w:rFonts w:asciiTheme="majorBidi" w:hAnsiTheme="majorBidi" w:cstheme="majorBidi"/>
          <w:sz w:val="24"/>
          <w:szCs w:val="24"/>
        </w:rPr>
        <w:t xml:space="preserve"> As discussed below, the reluctance to embrace the regulatory modality of property in redressing claims</w:t>
      </w:r>
      <w:r w:rsidR="001408AA">
        <w:rPr>
          <w:rFonts w:asciiTheme="majorBidi" w:hAnsiTheme="majorBidi" w:cstheme="majorBidi"/>
          <w:sz w:val="24"/>
          <w:szCs w:val="24"/>
        </w:rPr>
        <w:t xml:space="preserve"> brought by</w:t>
      </w:r>
      <w:r w:rsidR="00663295">
        <w:rPr>
          <w:rFonts w:asciiTheme="majorBidi" w:hAnsiTheme="majorBidi" w:cstheme="majorBidi"/>
          <w:sz w:val="24"/>
          <w:szCs w:val="24"/>
        </w:rPr>
        <w:t xml:space="preserve"> tissue sources partly emanate from the general idea, supported by a significant number of cases, that bodily parts do not qualify as property</w:t>
      </w:r>
      <w:r w:rsidR="004205B5">
        <w:rPr>
          <w:rFonts w:asciiTheme="majorBidi" w:hAnsiTheme="majorBidi" w:cstheme="majorBidi"/>
          <w:sz w:val="24"/>
          <w:szCs w:val="24"/>
        </w:rPr>
        <w:t xml:space="preserve"> (the no-property rule)</w:t>
      </w:r>
      <w:r w:rsidR="00E409A2">
        <w:rPr>
          <w:rFonts w:asciiTheme="majorBidi" w:hAnsiTheme="majorBidi" w:cstheme="majorBidi"/>
          <w:sz w:val="24"/>
          <w:szCs w:val="24"/>
        </w:rPr>
        <w:t>;</w:t>
      </w:r>
      <w:r w:rsidR="00E409A2">
        <w:rPr>
          <w:rStyle w:val="FootnoteReference"/>
          <w:rFonts w:asciiTheme="majorBidi" w:hAnsiTheme="majorBidi" w:cstheme="majorBidi"/>
          <w:sz w:val="24"/>
          <w:szCs w:val="24"/>
        </w:rPr>
        <w:footnoteReference w:id="48"/>
      </w:r>
      <w:r w:rsidR="00E409A2">
        <w:rPr>
          <w:rFonts w:asciiTheme="majorBidi" w:hAnsiTheme="majorBidi" w:cstheme="majorBidi"/>
          <w:sz w:val="24"/>
          <w:szCs w:val="24"/>
        </w:rPr>
        <w:t xml:space="preserve"> this has been disputed by </w:t>
      </w:r>
      <w:r w:rsidR="00937B5F">
        <w:rPr>
          <w:rFonts w:asciiTheme="majorBidi" w:hAnsiTheme="majorBidi" w:cstheme="majorBidi"/>
          <w:sz w:val="24"/>
          <w:szCs w:val="24"/>
        </w:rPr>
        <w:t>some</w:t>
      </w:r>
      <w:r w:rsidR="00E409A2">
        <w:rPr>
          <w:rFonts w:asciiTheme="majorBidi" w:hAnsiTheme="majorBidi" w:cstheme="majorBidi"/>
          <w:sz w:val="24"/>
          <w:szCs w:val="24"/>
        </w:rPr>
        <w:t xml:space="preserve"> authors.</w:t>
      </w:r>
      <w:r w:rsidR="00E409A2">
        <w:rPr>
          <w:rStyle w:val="FootnoteReference"/>
          <w:rFonts w:asciiTheme="majorBidi" w:hAnsiTheme="majorBidi" w:cstheme="majorBidi"/>
          <w:sz w:val="24"/>
          <w:szCs w:val="24"/>
        </w:rPr>
        <w:footnoteReference w:id="49"/>
      </w:r>
      <w:r w:rsidR="00E409A2">
        <w:rPr>
          <w:rFonts w:asciiTheme="majorBidi" w:hAnsiTheme="majorBidi" w:cstheme="majorBidi"/>
          <w:sz w:val="24"/>
          <w:szCs w:val="24"/>
        </w:rPr>
        <w:t xml:space="preserve"> Notice, however, that the various uses of bodily parts highlighted above, from medicinal cannibalism in the </w:t>
      </w:r>
      <w:r w:rsidR="000914FD">
        <w:rPr>
          <w:rFonts w:asciiTheme="majorBidi" w:hAnsiTheme="majorBidi" w:cstheme="majorBidi"/>
          <w:sz w:val="24"/>
          <w:szCs w:val="24"/>
        </w:rPr>
        <w:t>middle</w:t>
      </w:r>
      <w:r w:rsidR="00E409A2">
        <w:rPr>
          <w:rFonts w:asciiTheme="majorBidi" w:hAnsiTheme="majorBidi" w:cstheme="majorBidi"/>
          <w:sz w:val="24"/>
          <w:szCs w:val="24"/>
        </w:rPr>
        <w:t xml:space="preserve"> </w:t>
      </w:r>
      <w:r w:rsidR="000914FD">
        <w:rPr>
          <w:rFonts w:asciiTheme="majorBidi" w:hAnsiTheme="majorBidi" w:cstheme="majorBidi"/>
          <w:sz w:val="24"/>
          <w:szCs w:val="24"/>
        </w:rPr>
        <w:t>a</w:t>
      </w:r>
      <w:r w:rsidR="00E409A2">
        <w:rPr>
          <w:rFonts w:asciiTheme="majorBidi" w:hAnsiTheme="majorBidi" w:cstheme="majorBidi"/>
          <w:sz w:val="24"/>
          <w:szCs w:val="24"/>
        </w:rPr>
        <w:t>ges to</w:t>
      </w:r>
      <w:r w:rsidR="00937B5F">
        <w:rPr>
          <w:rFonts w:asciiTheme="majorBidi" w:hAnsiTheme="majorBidi" w:cstheme="majorBidi"/>
          <w:sz w:val="24"/>
          <w:szCs w:val="24"/>
        </w:rPr>
        <w:t xml:space="preserve"> our</w:t>
      </w:r>
      <w:r w:rsidR="00E409A2">
        <w:rPr>
          <w:rFonts w:asciiTheme="majorBidi" w:hAnsiTheme="majorBidi" w:cstheme="majorBidi"/>
          <w:sz w:val="24"/>
          <w:szCs w:val="24"/>
        </w:rPr>
        <w:t xml:space="preserve"> modern biotechnology, all attest</w:t>
      </w:r>
      <w:r w:rsidR="000914FD">
        <w:rPr>
          <w:rFonts w:asciiTheme="majorBidi" w:hAnsiTheme="majorBidi" w:cstheme="majorBidi"/>
          <w:sz w:val="24"/>
          <w:szCs w:val="24"/>
        </w:rPr>
        <w:t>s</w:t>
      </w:r>
      <w:r w:rsidR="00E409A2">
        <w:rPr>
          <w:rFonts w:asciiTheme="majorBidi" w:hAnsiTheme="majorBidi" w:cstheme="majorBidi"/>
          <w:sz w:val="24"/>
          <w:szCs w:val="24"/>
        </w:rPr>
        <w:t xml:space="preserve"> to at least the practical</w:t>
      </w:r>
      <w:r w:rsidR="00631999">
        <w:rPr>
          <w:rFonts w:asciiTheme="majorBidi" w:hAnsiTheme="majorBidi" w:cstheme="majorBidi"/>
          <w:sz w:val="24"/>
          <w:szCs w:val="24"/>
        </w:rPr>
        <w:t xml:space="preserve"> rendition</w:t>
      </w:r>
      <w:r w:rsidR="00E409A2">
        <w:rPr>
          <w:rFonts w:asciiTheme="majorBidi" w:hAnsiTheme="majorBidi" w:cstheme="majorBidi"/>
          <w:sz w:val="24"/>
          <w:szCs w:val="24"/>
        </w:rPr>
        <w:t xml:space="preserve"> of bodily parts</w:t>
      </w:r>
      <w:r w:rsidR="00631999">
        <w:rPr>
          <w:rFonts w:asciiTheme="majorBidi" w:hAnsiTheme="majorBidi" w:cstheme="majorBidi"/>
          <w:sz w:val="24"/>
          <w:szCs w:val="24"/>
        </w:rPr>
        <w:t xml:space="preserve"> as property</w:t>
      </w:r>
      <w:r w:rsidR="00E409A2">
        <w:rPr>
          <w:rFonts w:asciiTheme="majorBidi" w:hAnsiTheme="majorBidi" w:cstheme="majorBidi"/>
          <w:sz w:val="24"/>
          <w:szCs w:val="24"/>
        </w:rPr>
        <w:t xml:space="preserve">, despite a contrary legal conceptualisation. Put differently, while </w:t>
      </w:r>
      <w:r w:rsidR="00480B03">
        <w:rPr>
          <w:rFonts w:asciiTheme="majorBidi" w:hAnsiTheme="majorBidi" w:cstheme="majorBidi"/>
          <w:sz w:val="24"/>
          <w:szCs w:val="24"/>
        </w:rPr>
        <w:t xml:space="preserve">legal regulation </w:t>
      </w:r>
      <w:r w:rsidR="00E409A2">
        <w:rPr>
          <w:rFonts w:asciiTheme="majorBidi" w:hAnsiTheme="majorBidi" w:cstheme="majorBidi"/>
          <w:sz w:val="24"/>
          <w:szCs w:val="24"/>
        </w:rPr>
        <w:t>regard</w:t>
      </w:r>
      <w:r w:rsidR="00480B03">
        <w:rPr>
          <w:rFonts w:asciiTheme="majorBidi" w:hAnsiTheme="majorBidi" w:cstheme="majorBidi"/>
          <w:sz w:val="24"/>
          <w:szCs w:val="24"/>
        </w:rPr>
        <w:t>s</w:t>
      </w:r>
      <w:r w:rsidR="00E409A2">
        <w:rPr>
          <w:rFonts w:asciiTheme="majorBidi" w:hAnsiTheme="majorBidi" w:cstheme="majorBidi"/>
          <w:sz w:val="24"/>
          <w:szCs w:val="24"/>
        </w:rPr>
        <w:t xml:space="preserve"> untransformed bodily parts as no</w:t>
      </w:r>
      <w:r w:rsidR="00B616D7">
        <w:rPr>
          <w:rFonts w:asciiTheme="majorBidi" w:hAnsiTheme="majorBidi" w:cstheme="majorBidi"/>
          <w:sz w:val="24"/>
          <w:szCs w:val="24"/>
        </w:rPr>
        <w:t>n</w:t>
      </w:r>
      <w:r w:rsidR="00480B03">
        <w:rPr>
          <w:rFonts w:asciiTheme="majorBidi" w:hAnsiTheme="majorBidi" w:cstheme="majorBidi"/>
          <w:sz w:val="24"/>
          <w:szCs w:val="24"/>
        </w:rPr>
        <w:t>-</w:t>
      </w:r>
      <w:r w:rsidR="00E409A2">
        <w:rPr>
          <w:rFonts w:asciiTheme="majorBidi" w:hAnsiTheme="majorBidi" w:cstheme="majorBidi"/>
          <w:sz w:val="24"/>
          <w:szCs w:val="24"/>
        </w:rPr>
        <w:t>property, the practice on bodily parts and</w:t>
      </w:r>
      <w:r w:rsidR="006F31AB">
        <w:rPr>
          <w:rFonts w:asciiTheme="majorBidi" w:hAnsiTheme="majorBidi" w:cstheme="majorBidi"/>
          <w:sz w:val="24"/>
          <w:szCs w:val="24"/>
        </w:rPr>
        <w:t xml:space="preserve"> the multifarious</w:t>
      </w:r>
      <w:r w:rsidR="00E409A2">
        <w:rPr>
          <w:rFonts w:asciiTheme="majorBidi" w:hAnsiTheme="majorBidi" w:cstheme="majorBidi"/>
          <w:sz w:val="24"/>
          <w:szCs w:val="24"/>
        </w:rPr>
        <w:t xml:space="preserve"> transactions involving them actually</w:t>
      </w:r>
      <w:r w:rsidR="006F31AB">
        <w:rPr>
          <w:rFonts w:asciiTheme="majorBidi" w:hAnsiTheme="majorBidi" w:cstheme="majorBidi"/>
          <w:sz w:val="24"/>
          <w:szCs w:val="24"/>
        </w:rPr>
        <w:t xml:space="preserve"> treat bodily parts as objects of property.</w:t>
      </w:r>
      <w:r w:rsidR="00B616D7">
        <w:rPr>
          <w:rFonts w:asciiTheme="majorBidi" w:hAnsiTheme="majorBidi" w:cstheme="majorBidi"/>
          <w:sz w:val="24"/>
          <w:szCs w:val="24"/>
        </w:rPr>
        <w:t xml:space="preserve"> Even with respect to transformed bodily parts under the work or skill exception, they are both property and non-property, depending on whether it is the tissue user or source that relies on the exception; thus, as highlighted in the introduction above and examined further below, the</w:t>
      </w:r>
      <w:r w:rsidR="0039332F">
        <w:rPr>
          <w:rFonts w:asciiTheme="majorBidi" w:hAnsiTheme="majorBidi" w:cstheme="majorBidi"/>
          <w:sz w:val="24"/>
          <w:szCs w:val="24"/>
        </w:rPr>
        <w:t xml:space="preserve"> unprincipled nature of the</w:t>
      </w:r>
      <w:r w:rsidR="00B616D7">
        <w:rPr>
          <w:rFonts w:asciiTheme="majorBidi" w:hAnsiTheme="majorBidi" w:cstheme="majorBidi"/>
          <w:sz w:val="24"/>
          <w:szCs w:val="24"/>
        </w:rPr>
        <w:t xml:space="preserve"> work or skill exception</w:t>
      </w:r>
      <w:r w:rsidR="00383BD9">
        <w:rPr>
          <w:rFonts w:asciiTheme="majorBidi" w:hAnsiTheme="majorBidi" w:cstheme="majorBidi"/>
          <w:sz w:val="24"/>
          <w:szCs w:val="24"/>
        </w:rPr>
        <w:t xml:space="preserve"> has</w:t>
      </w:r>
      <w:r w:rsidR="0039332F">
        <w:rPr>
          <w:rFonts w:asciiTheme="majorBidi" w:hAnsiTheme="majorBidi" w:cstheme="majorBidi"/>
          <w:sz w:val="24"/>
          <w:szCs w:val="24"/>
        </w:rPr>
        <w:t xml:space="preserve"> destabilise</w:t>
      </w:r>
      <w:r w:rsidR="00383BD9">
        <w:rPr>
          <w:rFonts w:asciiTheme="majorBidi" w:hAnsiTheme="majorBidi" w:cstheme="majorBidi"/>
          <w:sz w:val="24"/>
          <w:szCs w:val="24"/>
        </w:rPr>
        <w:t>d</w:t>
      </w:r>
      <w:r w:rsidR="0039332F">
        <w:rPr>
          <w:rFonts w:asciiTheme="majorBidi" w:hAnsiTheme="majorBidi" w:cstheme="majorBidi"/>
          <w:sz w:val="24"/>
          <w:szCs w:val="24"/>
        </w:rPr>
        <w:t xml:space="preserve"> it </w:t>
      </w:r>
      <w:r w:rsidR="00ED299D">
        <w:rPr>
          <w:rFonts w:asciiTheme="majorBidi" w:hAnsiTheme="majorBidi" w:cstheme="majorBidi"/>
          <w:sz w:val="24"/>
          <w:szCs w:val="24"/>
        </w:rPr>
        <w:t>conceptually</w:t>
      </w:r>
      <w:r w:rsidR="0039332F">
        <w:rPr>
          <w:rFonts w:asciiTheme="majorBidi" w:hAnsiTheme="majorBidi" w:cstheme="majorBidi"/>
          <w:sz w:val="24"/>
          <w:szCs w:val="24"/>
        </w:rPr>
        <w:t>,</w:t>
      </w:r>
      <w:r w:rsidR="00383BD9">
        <w:rPr>
          <w:rFonts w:asciiTheme="majorBidi" w:hAnsiTheme="majorBidi" w:cstheme="majorBidi"/>
          <w:sz w:val="24"/>
          <w:szCs w:val="24"/>
        </w:rPr>
        <w:t xml:space="preserve"> and as</w:t>
      </w:r>
      <w:r w:rsidR="0039332F">
        <w:rPr>
          <w:rFonts w:asciiTheme="majorBidi" w:hAnsiTheme="majorBidi" w:cstheme="majorBidi"/>
          <w:sz w:val="24"/>
          <w:szCs w:val="24"/>
        </w:rPr>
        <w:t xml:space="preserve"> such</w:t>
      </w:r>
      <w:r w:rsidR="00383BD9">
        <w:rPr>
          <w:rFonts w:asciiTheme="majorBidi" w:hAnsiTheme="majorBidi" w:cstheme="majorBidi"/>
          <w:sz w:val="24"/>
          <w:szCs w:val="24"/>
        </w:rPr>
        <w:t>,</w:t>
      </w:r>
      <w:r w:rsidR="0039332F">
        <w:rPr>
          <w:rFonts w:asciiTheme="majorBidi" w:hAnsiTheme="majorBidi" w:cstheme="majorBidi"/>
          <w:sz w:val="24"/>
          <w:szCs w:val="24"/>
        </w:rPr>
        <w:t xml:space="preserve"> the exception is not a s</w:t>
      </w:r>
      <w:r w:rsidR="00B616D7">
        <w:rPr>
          <w:rFonts w:asciiTheme="majorBidi" w:hAnsiTheme="majorBidi" w:cstheme="majorBidi"/>
          <w:sz w:val="24"/>
          <w:szCs w:val="24"/>
        </w:rPr>
        <w:t>ufficient</w:t>
      </w:r>
      <w:r w:rsidR="0039332F">
        <w:rPr>
          <w:rFonts w:asciiTheme="majorBidi" w:hAnsiTheme="majorBidi" w:cstheme="majorBidi"/>
          <w:sz w:val="24"/>
          <w:szCs w:val="24"/>
        </w:rPr>
        <w:t xml:space="preserve"> justification for</w:t>
      </w:r>
      <w:r w:rsidR="00B616D7">
        <w:rPr>
          <w:rFonts w:asciiTheme="majorBidi" w:hAnsiTheme="majorBidi" w:cstheme="majorBidi"/>
          <w:sz w:val="24"/>
          <w:szCs w:val="24"/>
        </w:rPr>
        <w:t xml:space="preserve"> the paradoxical treatment of bodily parts</w:t>
      </w:r>
      <w:r w:rsidR="00ED299D">
        <w:rPr>
          <w:rFonts w:asciiTheme="majorBidi" w:hAnsiTheme="majorBidi" w:cstheme="majorBidi"/>
          <w:sz w:val="24"/>
          <w:szCs w:val="24"/>
        </w:rPr>
        <w:t>;</w:t>
      </w:r>
      <w:r w:rsidR="00383BD9">
        <w:rPr>
          <w:rFonts w:asciiTheme="majorBidi" w:hAnsiTheme="majorBidi" w:cstheme="majorBidi"/>
          <w:sz w:val="24"/>
          <w:szCs w:val="24"/>
        </w:rPr>
        <w:t xml:space="preserve"> I argue that</w:t>
      </w:r>
      <w:r w:rsidR="00ED299D">
        <w:rPr>
          <w:rFonts w:asciiTheme="majorBidi" w:hAnsiTheme="majorBidi" w:cstheme="majorBidi"/>
          <w:sz w:val="24"/>
          <w:szCs w:val="24"/>
        </w:rPr>
        <w:t xml:space="preserve"> duplex </w:t>
      </w:r>
      <w:r w:rsidR="0039332F">
        <w:rPr>
          <w:rFonts w:asciiTheme="majorBidi" w:hAnsiTheme="majorBidi" w:cstheme="majorBidi"/>
          <w:sz w:val="24"/>
          <w:szCs w:val="24"/>
        </w:rPr>
        <w:t>is</w:t>
      </w:r>
      <w:r w:rsidR="00ED299D">
        <w:rPr>
          <w:rFonts w:asciiTheme="majorBidi" w:hAnsiTheme="majorBidi" w:cstheme="majorBidi"/>
          <w:sz w:val="24"/>
          <w:szCs w:val="24"/>
        </w:rPr>
        <w:t>.</w:t>
      </w:r>
      <w:r w:rsidR="006F31AB">
        <w:rPr>
          <w:rFonts w:asciiTheme="majorBidi" w:hAnsiTheme="majorBidi" w:cstheme="majorBidi"/>
          <w:sz w:val="24"/>
          <w:szCs w:val="24"/>
        </w:rPr>
        <w:t xml:space="preserve"> </w:t>
      </w:r>
    </w:p>
    <w:p w:rsidR="00492510" w:rsidRDefault="006F31AB" w:rsidP="00383BD9">
      <w:pPr>
        <w:ind w:firstLine="720"/>
        <w:jc w:val="both"/>
        <w:rPr>
          <w:rFonts w:asciiTheme="majorBidi" w:hAnsiTheme="majorBidi" w:cstheme="majorBidi"/>
          <w:sz w:val="24"/>
          <w:szCs w:val="24"/>
        </w:rPr>
      </w:pPr>
      <w:r>
        <w:rPr>
          <w:rFonts w:asciiTheme="majorBidi" w:hAnsiTheme="majorBidi" w:cstheme="majorBidi"/>
          <w:sz w:val="24"/>
          <w:szCs w:val="24"/>
        </w:rPr>
        <w:t xml:space="preserve">At once, therefore, bodily parts </w:t>
      </w:r>
      <w:r w:rsidR="001A0ADE">
        <w:rPr>
          <w:rFonts w:asciiTheme="majorBidi" w:hAnsiTheme="majorBidi" w:cstheme="majorBidi"/>
          <w:sz w:val="24"/>
          <w:szCs w:val="24"/>
        </w:rPr>
        <w:t>ar</w:t>
      </w:r>
      <w:r>
        <w:rPr>
          <w:rFonts w:asciiTheme="majorBidi" w:hAnsiTheme="majorBidi" w:cstheme="majorBidi"/>
          <w:sz w:val="24"/>
          <w:szCs w:val="24"/>
        </w:rPr>
        <w:t>e property and no</w:t>
      </w:r>
      <w:r w:rsidR="00ED299D">
        <w:rPr>
          <w:rFonts w:asciiTheme="majorBidi" w:hAnsiTheme="majorBidi" w:cstheme="majorBidi"/>
          <w:sz w:val="24"/>
          <w:szCs w:val="24"/>
        </w:rPr>
        <w:t>n</w:t>
      </w:r>
      <w:r>
        <w:rPr>
          <w:rFonts w:asciiTheme="majorBidi" w:hAnsiTheme="majorBidi" w:cstheme="majorBidi"/>
          <w:sz w:val="24"/>
          <w:szCs w:val="24"/>
        </w:rPr>
        <w:t>-property.</w:t>
      </w:r>
      <w:r w:rsidR="004E256F">
        <w:rPr>
          <w:rFonts w:asciiTheme="majorBidi" w:hAnsiTheme="majorBidi" w:cstheme="majorBidi"/>
          <w:sz w:val="24"/>
          <w:szCs w:val="24"/>
        </w:rPr>
        <w:t xml:space="preserve"> This duplex, however, currently operates in favour of tissue user</w:t>
      </w:r>
      <w:r w:rsidR="003E43D6">
        <w:rPr>
          <w:rFonts w:asciiTheme="majorBidi" w:hAnsiTheme="majorBidi" w:cstheme="majorBidi"/>
          <w:sz w:val="24"/>
          <w:szCs w:val="24"/>
        </w:rPr>
        <w:t>s</w:t>
      </w:r>
      <w:r w:rsidR="004E256F">
        <w:rPr>
          <w:rFonts w:asciiTheme="majorBidi" w:hAnsiTheme="majorBidi" w:cstheme="majorBidi"/>
          <w:sz w:val="24"/>
          <w:szCs w:val="24"/>
        </w:rPr>
        <w:t xml:space="preserve"> only. I</w:t>
      </w:r>
      <w:r w:rsidR="003E43D6">
        <w:rPr>
          <w:rFonts w:asciiTheme="majorBidi" w:hAnsiTheme="majorBidi" w:cstheme="majorBidi"/>
          <w:sz w:val="24"/>
          <w:szCs w:val="24"/>
        </w:rPr>
        <w:t>n this piece, I</w:t>
      </w:r>
      <w:r w:rsidR="004E256F">
        <w:rPr>
          <w:rFonts w:asciiTheme="majorBidi" w:hAnsiTheme="majorBidi" w:cstheme="majorBidi"/>
          <w:sz w:val="24"/>
          <w:szCs w:val="24"/>
        </w:rPr>
        <w:t xml:space="preserve"> argue for its normative extension </w:t>
      </w:r>
      <w:r w:rsidR="003E43D6">
        <w:rPr>
          <w:rFonts w:asciiTheme="majorBidi" w:hAnsiTheme="majorBidi" w:cstheme="majorBidi"/>
          <w:sz w:val="24"/>
          <w:szCs w:val="24"/>
        </w:rPr>
        <w:t>over</w:t>
      </w:r>
      <w:r w:rsidR="004E256F">
        <w:rPr>
          <w:rFonts w:asciiTheme="majorBidi" w:hAnsiTheme="majorBidi" w:cstheme="majorBidi"/>
          <w:sz w:val="24"/>
          <w:szCs w:val="24"/>
        </w:rPr>
        <w:t xml:space="preserve"> the claims of tissue sources.</w:t>
      </w:r>
      <w:r>
        <w:rPr>
          <w:rFonts w:asciiTheme="majorBidi" w:hAnsiTheme="majorBidi" w:cstheme="majorBidi"/>
          <w:sz w:val="24"/>
          <w:szCs w:val="24"/>
        </w:rPr>
        <w:t xml:space="preserve"> I highlight th</w:t>
      </w:r>
      <w:r w:rsidR="004E256F">
        <w:rPr>
          <w:rFonts w:asciiTheme="majorBidi" w:hAnsiTheme="majorBidi" w:cstheme="majorBidi"/>
          <w:sz w:val="24"/>
          <w:szCs w:val="24"/>
        </w:rPr>
        <w:t>e</w:t>
      </w:r>
      <w:r>
        <w:rPr>
          <w:rFonts w:asciiTheme="majorBidi" w:hAnsiTheme="majorBidi" w:cstheme="majorBidi"/>
          <w:sz w:val="24"/>
          <w:szCs w:val="24"/>
        </w:rPr>
        <w:t xml:space="preserve"> paradox</w:t>
      </w:r>
      <w:r w:rsidR="003E43D6">
        <w:rPr>
          <w:rFonts w:asciiTheme="majorBidi" w:hAnsiTheme="majorBidi" w:cstheme="majorBidi"/>
          <w:sz w:val="24"/>
          <w:szCs w:val="24"/>
        </w:rPr>
        <w:t xml:space="preserve"> on bodily parts</w:t>
      </w:r>
      <w:r>
        <w:rPr>
          <w:rFonts w:asciiTheme="majorBidi" w:hAnsiTheme="majorBidi" w:cstheme="majorBidi"/>
          <w:sz w:val="24"/>
          <w:szCs w:val="24"/>
        </w:rPr>
        <w:t xml:space="preserve"> here in order to pursue it further in the next sections using the trope of </w:t>
      </w:r>
      <w:r w:rsidRPr="006F31AB">
        <w:rPr>
          <w:rFonts w:asciiTheme="majorBidi" w:hAnsiTheme="majorBidi" w:cstheme="majorBidi"/>
          <w:i/>
          <w:iCs/>
          <w:sz w:val="24"/>
          <w:szCs w:val="24"/>
        </w:rPr>
        <w:t>duplex</w:t>
      </w:r>
      <w:r>
        <w:rPr>
          <w:rFonts w:asciiTheme="majorBidi" w:hAnsiTheme="majorBidi" w:cstheme="majorBidi"/>
          <w:sz w:val="24"/>
          <w:szCs w:val="24"/>
        </w:rPr>
        <w:t xml:space="preserve">, </w:t>
      </w:r>
      <w:r w:rsidR="004238E2">
        <w:rPr>
          <w:rFonts w:asciiTheme="majorBidi" w:hAnsiTheme="majorBidi" w:cstheme="majorBidi"/>
          <w:sz w:val="24"/>
          <w:szCs w:val="24"/>
        </w:rPr>
        <w:t xml:space="preserve">by </w:t>
      </w:r>
      <w:r>
        <w:rPr>
          <w:rFonts w:asciiTheme="majorBidi" w:hAnsiTheme="majorBidi" w:cstheme="majorBidi"/>
          <w:sz w:val="24"/>
          <w:szCs w:val="24"/>
        </w:rPr>
        <w:t>drawing on the work of Strathern.</w:t>
      </w:r>
      <w:r w:rsidR="004238E2">
        <w:rPr>
          <w:rStyle w:val="FootnoteReference"/>
          <w:rFonts w:asciiTheme="majorBidi" w:hAnsiTheme="majorBidi" w:cstheme="majorBidi"/>
          <w:sz w:val="24"/>
          <w:szCs w:val="24"/>
        </w:rPr>
        <w:footnoteReference w:id="50"/>
      </w:r>
      <w:r w:rsidR="004238E2">
        <w:rPr>
          <w:rFonts w:asciiTheme="majorBidi" w:hAnsiTheme="majorBidi" w:cstheme="majorBidi"/>
          <w:sz w:val="24"/>
          <w:szCs w:val="24"/>
        </w:rPr>
        <w:t xml:space="preserve"> Strathern posited that </w:t>
      </w:r>
      <w:r w:rsidR="004238E2" w:rsidRPr="004238E2">
        <w:rPr>
          <w:rFonts w:asciiTheme="majorBidi" w:hAnsiTheme="majorBidi" w:cstheme="majorBidi"/>
          <w:i/>
          <w:iCs/>
          <w:sz w:val="24"/>
          <w:szCs w:val="24"/>
        </w:rPr>
        <w:t>relationship</w:t>
      </w:r>
      <w:r w:rsidR="004238E2">
        <w:rPr>
          <w:rFonts w:asciiTheme="majorBidi" w:hAnsiTheme="majorBidi" w:cstheme="majorBidi"/>
          <w:sz w:val="24"/>
          <w:szCs w:val="24"/>
        </w:rPr>
        <w:t xml:space="preserve"> has a duplex character, in that it could be used to capture at once the paradox of a</w:t>
      </w:r>
      <w:r w:rsidR="00DA192A">
        <w:rPr>
          <w:rFonts w:asciiTheme="majorBidi" w:hAnsiTheme="majorBidi" w:cstheme="majorBidi"/>
          <w:sz w:val="24"/>
          <w:szCs w:val="24"/>
        </w:rPr>
        <w:t xml:space="preserve"> biological relationship unfolded by genetic technology revealing its </w:t>
      </w:r>
      <w:r w:rsidR="004238E2">
        <w:rPr>
          <w:rFonts w:asciiTheme="majorBidi" w:hAnsiTheme="majorBidi" w:cstheme="majorBidi"/>
          <w:sz w:val="24"/>
          <w:szCs w:val="24"/>
        </w:rPr>
        <w:t>conceptual/logical</w:t>
      </w:r>
      <w:r w:rsidR="00DA192A">
        <w:rPr>
          <w:rFonts w:asciiTheme="majorBidi" w:hAnsiTheme="majorBidi" w:cstheme="majorBidi"/>
          <w:sz w:val="24"/>
          <w:szCs w:val="24"/>
        </w:rPr>
        <w:t xml:space="preserve"> structure and, also, the very personal aspect</w:t>
      </w:r>
      <w:r w:rsidR="00937B5F">
        <w:rPr>
          <w:rFonts w:asciiTheme="majorBidi" w:hAnsiTheme="majorBidi" w:cstheme="majorBidi"/>
          <w:sz w:val="24"/>
          <w:szCs w:val="24"/>
        </w:rPr>
        <w:t>s</w:t>
      </w:r>
      <w:r w:rsidR="00DA192A">
        <w:rPr>
          <w:rFonts w:asciiTheme="majorBidi" w:hAnsiTheme="majorBidi" w:cstheme="majorBidi"/>
          <w:sz w:val="24"/>
          <w:szCs w:val="24"/>
        </w:rPr>
        <w:t xml:space="preserve"> of a relationship which </w:t>
      </w:r>
      <w:r w:rsidR="00937B5F">
        <w:rPr>
          <w:rFonts w:asciiTheme="majorBidi" w:hAnsiTheme="majorBidi" w:cstheme="majorBidi"/>
          <w:sz w:val="24"/>
          <w:szCs w:val="24"/>
        </w:rPr>
        <w:t>are</w:t>
      </w:r>
      <w:r w:rsidR="00DA192A">
        <w:rPr>
          <w:rFonts w:asciiTheme="majorBidi" w:hAnsiTheme="majorBidi" w:cstheme="majorBidi"/>
          <w:sz w:val="24"/>
          <w:szCs w:val="24"/>
        </w:rPr>
        <w:t xml:space="preserve"> not founded on a conceptual or logical structure. Strathern went on to use this paradoxical, duplex, nature of relationship to examine some issues raised by modern biotechnological applications on the human body.</w:t>
      </w:r>
      <w:r w:rsidR="00CA1075">
        <w:rPr>
          <w:rFonts w:asciiTheme="majorBidi" w:hAnsiTheme="majorBidi" w:cstheme="majorBidi"/>
          <w:sz w:val="24"/>
          <w:szCs w:val="24"/>
        </w:rPr>
        <w:t xml:space="preserve"> </w:t>
      </w:r>
      <w:r w:rsidR="00937B5F">
        <w:rPr>
          <w:rFonts w:asciiTheme="majorBidi" w:hAnsiTheme="majorBidi" w:cstheme="majorBidi"/>
          <w:sz w:val="24"/>
          <w:szCs w:val="24"/>
        </w:rPr>
        <w:t>A</w:t>
      </w:r>
      <w:r w:rsidR="00CA1075">
        <w:rPr>
          <w:rFonts w:asciiTheme="majorBidi" w:hAnsiTheme="majorBidi" w:cstheme="majorBidi"/>
          <w:sz w:val="24"/>
          <w:szCs w:val="24"/>
        </w:rPr>
        <w:t>nalogically, I suggest that bodily parts reflect a duplex,</w:t>
      </w:r>
      <w:r w:rsidR="001A0ADE">
        <w:rPr>
          <w:rFonts w:asciiTheme="majorBidi" w:hAnsiTheme="majorBidi" w:cstheme="majorBidi"/>
          <w:sz w:val="24"/>
          <w:szCs w:val="24"/>
        </w:rPr>
        <w:t xml:space="preserve"> in the sense of being</w:t>
      </w:r>
      <w:r w:rsidR="00CA1075">
        <w:rPr>
          <w:rFonts w:asciiTheme="majorBidi" w:hAnsiTheme="majorBidi" w:cstheme="majorBidi"/>
          <w:sz w:val="24"/>
          <w:szCs w:val="24"/>
        </w:rPr>
        <w:t xml:space="preserve"> generally regarded as no</w:t>
      </w:r>
      <w:r w:rsidR="00ED299D">
        <w:rPr>
          <w:rFonts w:asciiTheme="majorBidi" w:hAnsiTheme="majorBidi" w:cstheme="majorBidi"/>
          <w:sz w:val="24"/>
          <w:szCs w:val="24"/>
        </w:rPr>
        <w:t>n</w:t>
      </w:r>
      <w:r w:rsidR="00CA1075">
        <w:rPr>
          <w:rFonts w:asciiTheme="majorBidi" w:hAnsiTheme="majorBidi" w:cstheme="majorBidi"/>
          <w:sz w:val="24"/>
          <w:szCs w:val="24"/>
        </w:rPr>
        <w:t>-property by legal regulation but</w:t>
      </w:r>
      <w:r w:rsidR="00937B5F">
        <w:rPr>
          <w:rFonts w:asciiTheme="majorBidi" w:hAnsiTheme="majorBidi" w:cstheme="majorBidi"/>
          <w:sz w:val="24"/>
          <w:szCs w:val="24"/>
        </w:rPr>
        <w:t>,</w:t>
      </w:r>
      <w:r w:rsidR="00CA1075">
        <w:rPr>
          <w:rFonts w:asciiTheme="majorBidi" w:hAnsiTheme="majorBidi" w:cstheme="majorBidi"/>
          <w:sz w:val="24"/>
          <w:szCs w:val="24"/>
        </w:rPr>
        <w:t xml:space="preserve"> paradoxically</w:t>
      </w:r>
      <w:r w:rsidR="00937B5F">
        <w:rPr>
          <w:rFonts w:asciiTheme="majorBidi" w:hAnsiTheme="majorBidi" w:cstheme="majorBidi"/>
          <w:sz w:val="24"/>
          <w:szCs w:val="24"/>
        </w:rPr>
        <w:t>,</w:t>
      </w:r>
      <w:r w:rsidR="00CA1075">
        <w:rPr>
          <w:rFonts w:asciiTheme="majorBidi" w:hAnsiTheme="majorBidi" w:cstheme="majorBidi"/>
          <w:sz w:val="24"/>
          <w:szCs w:val="24"/>
        </w:rPr>
        <w:t xml:space="preserve"> treated as property in practical and transactional senses</w:t>
      </w:r>
      <w:r w:rsidR="00ED299D">
        <w:rPr>
          <w:rFonts w:asciiTheme="majorBidi" w:hAnsiTheme="majorBidi" w:cstheme="majorBidi"/>
          <w:sz w:val="24"/>
          <w:szCs w:val="24"/>
        </w:rPr>
        <w:t>, as well as through certain legal interpretations.</w:t>
      </w:r>
      <w:r w:rsidR="00CA1075">
        <w:rPr>
          <w:rFonts w:asciiTheme="majorBidi" w:hAnsiTheme="majorBidi" w:cstheme="majorBidi"/>
          <w:sz w:val="24"/>
          <w:szCs w:val="24"/>
        </w:rPr>
        <w:t xml:space="preserve"> True, Strathern’s referent for duplex was relationship, but through some epistemological reification of th</w:t>
      </w:r>
      <w:r w:rsidR="001A0ADE">
        <w:rPr>
          <w:rFonts w:asciiTheme="majorBidi" w:hAnsiTheme="majorBidi" w:cstheme="majorBidi"/>
          <w:sz w:val="24"/>
          <w:szCs w:val="24"/>
        </w:rPr>
        <w:t>at</w:t>
      </w:r>
      <w:r w:rsidR="00CA1075">
        <w:rPr>
          <w:rFonts w:asciiTheme="majorBidi" w:hAnsiTheme="majorBidi" w:cstheme="majorBidi"/>
          <w:sz w:val="24"/>
          <w:szCs w:val="24"/>
        </w:rPr>
        <w:t xml:space="preserve"> term, I have</w:t>
      </w:r>
      <w:r w:rsidR="001A0ADE">
        <w:rPr>
          <w:rFonts w:asciiTheme="majorBidi" w:hAnsiTheme="majorBidi" w:cstheme="majorBidi"/>
          <w:sz w:val="24"/>
          <w:szCs w:val="24"/>
        </w:rPr>
        <w:t xml:space="preserve"> (instead)</w:t>
      </w:r>
      <w:r w:rsidR="00CA1075">
        <w:rPr>
          <w:rFonts w:asciiTheme="majorBidi" w:hAnsiTheme="majorBidi" w:cstheme="majorBidi"/>
          <w:sz w:val="24"/>
          <w:szCs w:val="24"/>
        </w:rPr>
        <w:t xml:space="preserve"> used bodily parts as my referent</w:t>
      </w:r>
      <w:r w:rsidR="001A0ADE">
        <w:rPr>
          <w:rFonts w:asciiTheme="majorBidi" w:hAnsiTheme="majorBidi" w:cstheme="majorBidi"/>
          <w:sz w:val="24"/>
          <w:szCs w:val="24"/>
        </w:rPr>
        <w:t xml:space="preserve"> for duplex</w:t>
      </w:r>
      <w:r w:rsidR="00CA1075">
        <w:rPr>
          <w:rFonts w:asciiTheme="majorBidi" w:hAnsiTheme="majorBidi" w:cstheme="majorBidi"/>
          <w:sz w:val="24"/>
          <w:szCs w:val="24"/>
        </w:rPr>
        <w:t>. Below, I suggest that a duplex thinking over bodily parts, the realisation that</w:t>
      </w:r>
      <w:r w:rsidR="009209AE">
        <w:rPr>
          <w:rFonts w:asciiTheme="majorBidi" w:hAnsiTheme="majorBidi" w:cstheme="majorBidi"/>
          <w:sz w:val="24"/>
          <w:szCs w:val="24"/>
        </w:rPr>
        <w:t xml:space="preserve"> bodily parts</w:t>
      </w:r>
      <w:r w:rsidR="00CA1075">
        <w:rPr>
          <w:rFonts w:asciiTheme="majorBidi" w:hAnsiTheme="majorBidi" w:cstheme="majorBidi"/>
          <w:sz w:val="24"/>
          <w:szCs w:val="24"/>
        </w:rPr>
        <w:t xml:space="preserve"> have always</w:t>
      </w:r>
      <w:r w:rsidR="009209AE">
        <w:rPr>
          <w:rFonts w:asciiTheme="majorBidi" w:hAnsiTheme="majorBidi" w:cstheme="majorBidi"/>
          <w:sz w:val="24"/>
          <w:szCs w:val="24"/>
        </w:rPr>
        <w:t xml:space="preserve"> inhabited a realm of contradiction, simultaneously treated as property and no</w:t>
      </w:r>
      <w:r w:rsidR="00ED299D">
        <w:rPr>
          <w:rFonts w:asciiTheme="majorBidi" w:hAnsiTheme="majorBidi" w:cstheme="majorBidi"/>
          <w:sz w:val="24"/>
          <w:szCs w:val="24"/>
        </w:rPr>
        <w:t>n</w:t>
      </w:r>
      <w:r w:rsidR="009209AE">
        <w:rPr>
          <w:rFonts w:asciiTheme="majorBidi" w:hAnsiTheme="majorBidi" w:cstheme="majorBidi"/>
          <w:sz w:val="24"/>
          <w:szCs w:val="24"/>
        </w:rPr>
        <w:t>-property</w:t>
      </w:r>
      <w:r w:rsidR="00937B5F">
        <w:rPr>
          <w:rFonts w:asciiTheme="majorBidi" w:hAnsiTheme="majorBidi" w:cstheme="majorBidi"/>
          <w:sz w:val="24"/>
          <w:szCs w:val="24"/>
        </w:rPr>
        <w:t>,</w:t>
      </w:r>
      <w:r w:rsidR="00CA1075">
        <w:rPr>
          <w:rFonts w:asciiTheme="majorBidi" w:hAnsiTheme="majorBidi" w:cstheme="majorBidi"/>
          <w:sz w:val="24"/>
          <w:szCs w:val="24"/>
        </w:rPr>
        <w:t xml:space="preserve"> might</w:t>
      </w:r>
      <w:r w:rsidR="000F628F">
        <w:rPr>
          <w:rFonts w:asciiTheme="majorBidi" w:hAnsiTheme="majorBidi" w:cstheme="majorBidi"/>
          <w:sz w:val="24"/>
          <w:szCs w:val="24"/>
        </w:rPr>
        <w:t xml:space="preserve"> </w:t>
      </w:r>
      <w:r w:rsidR="00ED299D">
        <w:rPr>
          <w:rFonts w:asciiTheme="majorBidi" w:hAnsiTheme="majorBidi" w:cstheme="majorBidi"/>
          <w:sz w:val="24"/>
          <w:szCs w:val="24"/>
        </w:rPr>
        <w:t>challenge</w:t>
      </w:r>
      <w:r w:rsidR="009209AE">
        <w:rPr>
          <w:rFonts w:asciiTheme="majorBidi" w:hAnsiTheme="majorBidi" w:cstheme="majorBidi"/>
          <w:sz w:val="24"/>
          <w:szCs w:val="24"/>
        </w:rPr>
        <w:t xml:space="preserve"> the current</w:t>
      </w:r>
      <w:r w:rsidR="000F628F">
        <w:rPr>
          <w:rFonts w:asciiTheme="majorBidi" w:hAnsiTheme="majorBidi" w:cstheme="majorBidi"/>
          <w:sz w:val="24"/>
          <w:szCs w:val="24"/>
        </w:rPr>
        <w:t xml:space="preserve"> exclusive non-proprietary frameworks </w:t>
      </w:r>
      <w:r w:rsidR="009209AE">
        <w:rPr>
          <w:rFonts w:asciiTheme="majorBidi" w:hAnsiTheme="majorBidi" w:cstheme="majorBidi"/>
          <w:sz w:val="24"/>
          <w:szCs w:val="24"/>
        </w:rPr>
        <w:t>applied to claims made by tissue sources.</w:t>
      </w:r>
      <w:r w:rsidR="007253A0">
        <w:rPr>
          <w:rFonts w:asciiTheme="majorBidi" w:hAnsiTheme="majorBidi" w:cstheme="majorBidi"/>
          <w:sz w:val="24"/>
          <w:szCs w:val="24"/>
        </w:rPr>
        <w:t xml:space="preserve"> A duplex sort of thinking over bodily parts might alleviate the problems encountered in non-proprietary regulatory frameworks discussed below.</w:t>
      </w:r>
    </w:p>
    <w:p w:rsidR="006913F3" w:rsidRDefault="006913F3" w:rsidP="006F09FC">
      <w:pPr>
        <w:jc w:val="both"/>
        <w:rPr>
          <w:rFonts w:asciiTheme="majorBidi" w:hAnsiTheme="majorBidi" w:cstheme="majorBidi"/>
          <w:b/>
          <w:bCs/>
          <w:sz w:val="24"/>
          <w:szCs w:val="24"/>
        </w:rPr>
      </w:pPr>
    </w:p>
    <w:p w:rsidR="00460ACC" w:rsidRPr="007E5E4E" w:rsidRDefault="00460ACC" w:rsidP="007E5E4E">
      <w:pPr>
        <w:pStyle w:val="ListParagraph"/>
        <w:numPr>
          <w:ilvl w:val="0"/>
          <w:numId w:val="2"/>
        </w:numPr>
        <w:jc w:val="center"/>
        <w:rPr>
          <w:rFonts w:asciiTheme="majorBidi" w:hAnsiTheme="majorBidi" w:cstheme="majorBidi"/>
          <w:bCs/>
        </w:rPr>
      </w:pPr>
      <w:r w:rsidRPr="007E5E4E">
        <w:rPr>
          <w:rFonts w:asciiTheme="majorBidi" w:hAnsiTheme="majorBidi" w:cstheme="majorBidi"/>
          <w:bCs/>
        </w:rPr>
        <w:t>B</w:t>
      </w:r>
      <w:r w:rsidR="00C43034" w:rsidRPr="007E5E4E">
        <w:rPr>
          <w:rFonts w:asciiTheme="majorBidi" w:hAnsiTheme="majorBidi" w:cstheme="majorBidi"/>
          <w:bCs/>
        </w:rPr>
        <w:t>ODILY PARTS AND THE</w:t>
      </w:r>
      <w:r w:rsidRPr="007E5E4E">
        <w:rPr>
          <w:rFonts w:asciiTheme="majorBidi" w:hAnsiTheme="majorBidi" w:cstheme="majorBidi"/>
          <w:bCs/>
        </w:rPr>
        <w:t xml:space="preserve"> R</w:t>
      </w:r>
      <w:r w:rsidR="00C43034" w:rsidRPr="007E5E4E">
        <w:rPr>
          <w:rFonts w:asciiTheme="majorBidi" w:hAnsiTheme="majorBidi" w:cstheme="majorBidi"/>
          <w:bCs/>
        </w:rPr>
        <w:t>EGULATORY</w:t>
      </w:r>
      <w:r w:rsidRPr="007E5E4E">
        <w:rPr>
          <w:rFonts w:asciiTheme="majorBidi" w:hAnsiTheme="majorBidi" w:cstheme="majorBidi"/>
          <w:bCs/>
        </w:rPr>
        <w:t xml:space="preserve"> C</w:t>
      </w:r>
      <w:r w:rsidR="00C43034" w:rsidRPr="007E5E4E">
        <w:rPr>
          <w:rFonts w:asciiTheme="majorBidi" w:hAnsiTheme="majorBidi" w:cstheme="majorBidi"/>
          <w:bCs/>
        </w:rPr>
        <w:t>HALLENGES OF</w:t>
      </w:r>
      <w:r w:rsidR="00BB7E21" w:rsidRPr="007E5E4E">
        <w:rPr>
          <w:rFonts w:asciiTheme="majorBidi" w:hAnsiTheme="majorBidi" w:cstheme="majorBidi"/>
          <w:bCs/>
        </w:rPr>
        <w:t xml:space="preserve"> P</w:t>
      </w:r>
      <w:r w:rsidR="00C43034" w:rsidRPr="007E5E4E">
        <w:rPr>
          <w:rFonts w:asciiTheme="majorBidi" w:hAnsiTheme="majorBidi" w:cstheme="majorBidi"/>
          <w:bCs/>
        </w:rPr>
        <w:t>RIVATE</w:t>
      </w:r>
      <w:r w:rsidR="00BB7E21" w:rsidRPr="007E5E4E">
        <w:rPr>
          <w:rFonts w:asciiTheme="majorBidi" w:hAnsiTheme="majorBidi" w:cstheme="majorBidi"/>
          <w:bCs/>
        </w:rPr>
        <w:t xml:space="preserve"> L</w:t>
      </w:r>
      <w:r w:rsidR="00C43034" w:rsidRPr="007E5E4E">
        <w:rPr>
          <w:rFonts w:asciiTheme="majorBidi" w:hAnsiTheme="majorBidi" w:cstheme="majorBidi"/>
          <w:bCs/>
        </w:rPr>
        <w:t>AW</w:t>
      </w:r>
    </w:p>
    <w:p w:rsidR="007E5E4E" w:rsidRDefault="007E5E4E" w:rsidP="00D33C12">
      <w:pPr>
        <w:jc w:val="both"/>
        <w:rPr>
          <w:rFonts w:asciiTheme="majorBidi" w:hAnsiTheme="majorBidi" w:cstheme="majorBidi"/>
          <w:sz w:val="24"/>
          <w:szCs w:val="24"/>
        </w:rPr>
      </w:pPr>
    </w:p>
    <w:p w:rsidR="001D39AC" w:rsidRDefault="00C4732C" w:rsidP="00D33C12">
      <w:pPr>
        <w:jc w:val="both"/>
        <w:rPr>
          <w:rFonts w:asciiTheme="majorBidi" w:hAnsiTheme="majorBidi" w:cstheme="majorBidi"/>
          <w:sz w:val="24"/>
          <w:szCs w:val="24"/>
        </w:rPr>
      </w:pPr>
      <w:r>
        <w:rPr>
          <w:rFonts w:asciiTheme="majorBidi" w:hAnsiTheme="majorBidi" w:cstheme="majorBidi"/>
          <w:sz w:val="24"/>
          <w:szCs w:val="24"/>
        </w:rPr>
        <w:t>Some of my previous works have extensively examined the gaps</w:t>
      </w:r>
      <w:r w:rsidR="004B1BAD">
        <w:rPr>
          <w:rFonts w:asciiTheme="majorBidi" w:hAnsiTheme="majorBidi" w:cstheme="majorBidi"/>
          <w:sz w:val="24"/>
          <w:szCs w:val="24"/>
        </w:rPr>
        <w:t xml:space="preserve"> that exist</w:t>
      </w:r>
      <w:r>
        <w:rPr>
          <w:rFonts w:asciiTheme="majorBidi" w:hAnsiTheme="majorBidi" w:cstheme="majorBidi"/>
          <w:sz w:val="24"/>
          <w:szCs w:val="24"/>
        </w:rPr>
        <w:t xml:space="preserve"> in</w:t>
      </w:r>
      <w:r w:rsidR="00FD23BD">
        <w:rPr>
          <w:rFonts w:asciiTheme="majorBidi" w:hAnsiTheme="majorBidi" w:cstheme="majorBidi"/>
          <w:sz w:val="24"/>
          <w:szCs w:val="24"/>
        </w:rPr>
        <w:t xml:space="preserve"> the</w:t>
      </w:r>
      <w:r w:rsidR="004B1BAD">
        <w:rPr>
          <w:rFonts w:asciiTheme="majorBidi" w:hAnsiTheme="majorBidi" w:cstheme="majorBidi"/>
          <w:sz w:val="24"/>
          <w:szCs w:val="24"/>
        </w:rPr>
        <w:t xml:space="preserve"> </w:t>
      </w:r>
      <w:r>
        <w:rPr>
          <w:rFonts w:asciiTheme="majorBidi" w:hAnsiTheme="majorBidi" w:cstheme="majorBidi"/>
          <w:sz w:val="24"/>
          <w:szCs w:val="24"/>
        </w:rPr>
        <w:t>private law</w:t>
      </w:r>
      <w:r w:rsidR="00FD23BD">
        <w:rPr>
          <w:rFonts w:asciiTheme="majorBidi" w:hAnsiTheme="majorBidi" w:cstheme="majorBidi"/>
          <w:sz w:val="24"/>
          <w:szCs w:val="24"/>
        </w:rPr>
        <w:t xml:space="preserve"> of England and Wales</w:t>
      </w:r>
      <w:r>
        <w:rPr>
          <w:rFonts w:asciiTheme="majorBidi" w:hAnsiTheme="majorBidi" w:cstheme="majorBidi"/>
          <w:sz w:val="24"/>
          <w:szCs w:val="24"/>
        </w:rPr>
        <w:t xml:space="preserve"> in relation to bodily parts.</w:t>
      </w:r>
      <w:r>
        <w:rPr>
          <w:rStyle w:val="FootnoteReference"/>
          <w:rFonts w:asciiTheme="majorBidi" w:hAnsiTheme="majorBidi" w:cstheme="majorBidi"/>
          <w:sz w:val="24"/>
          <w:szCs w:val="24"/>
        </w:rPr>
        <w:footnoteReference w:id="51"/>
      </w:r>
      <w:r>
        <w:rPr>
          <w:rFonts w:asciiTheme="majorBidi" w:hAnsiTheme="majorBidi" w:cstheme="majorBidi"/>
          <w:sz w:val="24"/>
          <w:szCs w:val="24"/>
        </w:rPr>
        <w:t xml:space="preserve"> Here,</w:t>
      </w:r>
      <w:r w:rsidR="00F7556F">
        <w:rPr>
          <w:rFonts w:asciiTheme="majorBidi" w:hAnsiTheme="majorBidi" w:cstheme="majorBidi"/>
          <w:sz w:val="24"/>
          <w:szCs w:val="24"/>
        </w:rPr>
        <w:t xml:space="preserve"> as a backdrop for the duplex analysis that follows,</w:t>
      </w:r>
      <w:r>
        <w:rPr>
          <w:rFonts w:asciiTheme="majorBidi" w:hAnsiTheme="majorBidi" w:cstheme="majorBidi"/>
          <w:sz w:val="24"/>
          <w:szCs w:val="24"/>
        </w:rPr>
        <w:t xml:space="preserve"> I only intend to provide some new thinking and</w:t>
      </w:r>
      <w:r w:rsidR="004B1BAD">
        <w:rPr>
          <w:rFonts w:asciiTheme="majorBidi" w:hAnsiTheme="majorBidi" w:cstheme="majorBidi"/>
          <w:sz w:val="24"/>
          <w:szCs w:val="24"/>
        </w:rPr>
        <w:t xml:space="preserve"> fresh</w:t>
      </w:r>
      <w:r>
        <w:rPr>
          <w:rFonts w:asciiTheme="majorBidi" w:hAnsiTheme="majorBidi" w:cstheme="majorBidi"/>
          <w:sz w:val="24"/>
          <w:szCs w:val="24"/>
        </w:rPr>
        <w:t xml:space="preserve"> insights on existing materials, analyse some</w:t>
      </w:r>
      <w:r w:rsidR="00D33C12">
        <w:rPr>
          <w:rFonts w:asciiTheme="majorBidi" w:hAnsiTheme="majorBidi" w:cstheme="majorBidi"/>
          <w:sz w:val="24"/>
          <w:szCs w:val="24"/>
        </w:rPr>
        <w:t xml:space="preserve"> new</w:t>
      </w:r>
      <w:r>
        <w:rPr>
          <w:rFonts w:asciiTheme="majorBidi" w:hAnsiTheme="majorBidi" w:cstheme="majorBidi"/>
          <w:sz w:val="24"/>
          <w:szCs w:val="24"/>
        </w:rPr>
        <w:t xml:space="preserve"> materials that have emerged</w:t>
      </w:r>
      <w:r w:rsidR="00F7556F">
        <w:rPr>
          <w:rFonts w:asciiTheme="majorBidi" w:hAnsiTheme="majorBidi" w:cstheme="majorBidi"/>
          <w:sz w:val="24"/>
          <w:szCs w:val="24"/>
        </w:rPr>
        <w:t>,</w:t>
      </w:r>
      <w:r>
        <w:rPr>
          <w:rFonts w:asciiTheme="majorBidi" w:hAnsiTheme="majorBidi" w:cstheme="majorBidi"/>
          <w:sz w:val="24"/>
          <w:szCs w:val="24"/>
        </w:rPr>
        <w:t xml:space="preserve"> and</w:t>
      </w:r>
      <w:r w:rsidR="00F7556F">
        <w:rPr>
          <w:rFonts w:asciiTheme="majorBidi" w:hAnsiTheme="majorBidi" w:cstheme="majorBidi"/>
          <w:sz w:val="24"/>
          <w:szCs w:val="24"/>
        </w:rPr>
        <w:t xml:space="preserve"> also,</w:t>
      </w:r>
      <w:r>
        <w:rPr>
          <w:rFonts w:asciiTheme="majorBidi" w:hAnsiTheme="majorBidi" w:cstheme="majorBidi"/>
          <w:sz w:val="24"/>
          <w:szCs w:val="24"/>
        </w:rPr>
        <w:t xml:space="preserve"> examine some unexplored </w:t>
      </w:r>
      <w:r w:rsidR="001D39AC">
        <w:rPr>
          <w:rFonts w:asciiTheme="majorBidi" w:hAnsiTheme="majorBidi" w:cstheme="majorBidi"/>
          <w:sz w:val="24"/>
          <w:szCs w:val="24"/>
        </w:rPr>
        <w:t>existing materials.</w:t>
      </w:r>
    </w:p>
    <w:p w:rsidR="00EC7A25" w:rsidRDefault="006D11DB" w:rsidP="0018704E">
      <w:pPr>
        <w:ind w:firstLine="720"/>
        <w:jc w:val="both"/>
        <w:rPr>
          <w:rFonts w:asciiTheme="majorBidi" w:hAnsiTheme="majorBidi" w:cstheme="majorBidi"/>
          <w:sz w:val="24"/>
          <w:szCs w:val="24"/>
        </w:rPr>
      </w:pPr>
      <w:r>
        <w:rPr>
          <w:rFonts w:asciiTheme="majorBidi" w:hAnsiTheme="majorBidi" w:cstheme="majorBidi"/>
          <w:sz w:val="24"/>
          <w:szCs w:val="24"/>
        </w:rPr>
        <w:t>It is not</w:t>
      </w:r>
      <w:r w:rsidR="00A40749">
        <w:rPr>
          <w:rFonts w:asciiTheme="majorBidi" w:hAnsiTheme="majorBidi" w:cstheme="majorBidi"/>
          <w:sz w:val="24"/>
          <w:szCs w:val="24"/>
        </w:rPr>
        <w:t xml:space="preserve"> clear</w:t>
      </w:r>
      <w:r>
        <w:rPr>
          <w:rFonts w:asciiTheme="majorBidi" w:hAnsiTheme="majorBidi" w:cstheme="majorBidi"/>
          <w:sz w:val="24"/>
          <w:szCs w:val="24"/>
        </w:rPr>
        <w:t xml:space="preserve"> that</w:t>
      </w:r>
      <w:r w:rsidR="00A40749">
        <w:rPr>
          <w:rFonts w:asciiTheme="majorBidi" w:hAnsiTheme="majorBidi" w:cstheme="majorBidi"/>
          <w:sz w:val="24"/>
          <w:szCs w:val="24"/>
        </w:rPr>
        <w:t xml:space="preserve"> effective legal remedies for unlawful interference with the rights of a tissue source</w:t>
      </w:r>
      <w:r>
        <w:rPr>
          <w:rFonts w:asciiTheme="majorBidi" w:hAnsiTheme="majorBidi" w:cstheme="majorBidi"/>
          <w:sz w:val="24"/>
          <w:szCs w:val="24"/>
        </w:rPr>
        <w:t xml:space="preserve"> exist under the private law of England and Wales</w:t>
      </w:r>
      <w:r w:rsidR="00A40749">
        <w:rPr>
          <w:rFonts w:asciiTheme="majorBidi" w:hAnsiTheme="majorBidi" w:cstheme="majorBidi"/>
          <w:sz w:val="24"/>
          <w:szCs w:val="24"/>
        </w:rPr>
        <w:t>.</w:t>
      </w:r>
      <w:r w:rsidR="004B1BAD">
        <w:rPr>
          <w:rFonts w:asciiTheme="majorBidi" w:hAnsiTheme="majorBidi" w:cstheme="majorBidi"/>
          <w:sz w:val="24"/>
          <w:szCs w:val="24"/>
        </w:rPr>
        <w:t xml:space="preserve"> When a tissue source complains about an unlawful interference with their excised </w:t>
      </w:r>
      <w:r w:rsidR="00F7556F">
        <w:rPr>
          <w:rFonts w:asciiTheme="majorBidi" w:hAnsiTheme="majorBidi" w:cstheme="majorBidi"/>
          <w:sz w:val="24"/>
          <w:szCs w:val="24"/>
        </w:rPr>
        <w:t>bodily parts</w:t>
      </w:r>
      <w:r w:rsidR="004B1BAD">
        <w:rPr>
          <w:rFonts w:asciiTheme="majorBidi" w:hAnsiTheme="majorBidi" w:cstheme="majorBidi"/>
          <w:sz w:val="24"/>
          <w:szCs w:val="24"/>
        </w:rPr>
        <w:t xml:space="preserve">, they are not necessarily </w:t>
      </w:r>
      <w:r w:rsidR="00F7556F">
        <w:rPr>
          <w:rFonts w:asciiTheme="majorBidi" w:hAnsiTheme="majorBidi" w:cstheme="majorBidi"/>
          <w:sz w:val="24"/>
          <w:szCs w:val="24"/>
        </w:rPr>
        <w:t>clamouring for</w:t>
      </w:r>
      <w:r w:rsidR="004B1BAD">
        <w:rPr>
          <w:rFonts w:asciiTheme="majorBidi" w:hAnsiTheme="majorBidi" w:cstheme="majorBidi"/>
          <w:sz w:val="24"/>
          <w:szCs w:val="24"/>
        </w:rPr>
        <w:t xml:space="preserve"> a share of</w:t>
      </w:r>
      <w:r w:rsidR="00456017">
        <w:rPr>
          <w:rFonts w:asciiTheme="majorBidi" w:hAnsiTheme="majorBidi" w:cstheme="majorBidi"/>
          <w:sz w:val="24"/>
          <w:szCs w:val="24"/>
        </w:rPr>
        <w:t xml:space="preserve"> the</w:t>
      </w:r>
      <w:r w:rsidR="004B1BAD">
        <w:rPr>
          <w:rFonts w:asciiTheme="majorBidi" w:hAnsiTheme="majorBidi" w:cstheme="majorBidi"/>
          <w:sz w:val="24"/>
          <w:szCs w:val="24"/>
        </w:rPr>
        <w:t xml:space="preserve"> profits engendered by biotechnological applications on their tissues, as in </w:t>
      </w:r>
      <w:r w:rsidR="004B1BAD" w:rsidRPr="004B1BAD">
        <w:rPr>
          <w:rFonts w:asciiTheme="majorBidi" w:hAnsiTheme="majorBidi" w:cstheme="majorBidi"/>
          <w:i/>
          <w:iCs/>
          <w:sz w:val="24"/>
          <w:szCs w:val="24"/>
        </w:rPr>
        <w:t>Moore v Regents of the University of California</w:t>
      </w:r>
      <w:r w:rsidR="004B1BAD">
        <w:rPr>
          <w:rFonts w:asciiTheme="majorBidi" w:hAnsiTheme="majorBidi" w:cstheme="majorBidi"/>
          <w:sz w:val="24"/>
          <w:szCs w:val="24"/>
        </w:rPr>
        <w:t>;</w:t>
      </w:r>
      <w:r w:rsidR="004B1BAD">
        <w:rPr>
          <w:rStyle w:val="FootnoteReference"/>
          <w:rFonts w:asciiTheme="majorBidi" w:hAnsiTheme="majorBidi" w:cstheme="majorBidi"/>
          <w:sz w:val="24"/>
          <w:szCs w:val="24"/>
        </w:rPr>
        <w:footnoteReference w:id="52"/>
      </w:r>
      <w:r w:rsidR="004B1BAD">
        <w:rPr>
          <w:rFonts w:asciiTheme="majorBidi" w:hAnsiTheme="majorBidi" w:cstheme="majorBidi"/>
          <w:sz w:val="24"/>
          <w:szCs w:val="24"/>
        </w:rPr>
        <w:t xml:space="preserve"> </w:t>
      </w:r>
      <w:r w:rsidR="002D1D8E">
        <w:rPr>
          <w:rFonts w:asciiTheme="majorBidi" w:hAnsiTheme="majorBidi" w:cstheme="majorBidi"/>
          <w:sz w:val="24"/>
          <w:szCs w:val="24"/>
        </w:rPr>
        <w:t>in contrast</w:t>
      </w:r>
      <w:r w:rsidR="004B1BAD">
        <w:rPr>
          <w:rFonts w:asciiTheme="majorBidi" w:hAnsiTheme="majorBidi" w:cstheme="majorBidi"/>
          <w:sz w:val="24"/>
          <w:szCs w:val="24"/>
        </w:rPr>
        <w:t>, the tissue source</w:t>
      </w:r>
      <w:r w:rsidR="00FC012F">
        <w:rPr>
          <w:rFonts w:asciiTheme="majorBidi" w:hAnsiTheme="majorBidi" w:cstheme="majorBidi"/>
          <w:sz w:val="24"/>
          <w:szCs w:val="24"/>
        </w:rPr>
        <w:t xml:space="preserve"> might be more concerned about prohibiting certain</w:t>
      </w:r>
      <w:r w:rsidR="008E5C42">
        <w:rPr>
          <w:rFonts w:asciiTheme="majorBidi" w:hAnsiTheme="majorBidi" w:cstheme="majorBidi"/>
          <w:sz w:val="24"/>
          <w:szCs w:val="24"/>
        </w:rPr>
        <w:t xml:space="preserve"> non-consensual</w:t>
      </w:r>
      <w:r w:rsidR="00FC012F">
        <w:rPr>
          <w:rFonts w:asciiTheme="majorBidi" w:hAnsiTheme="majorBidi" w:cstheme="majorBidi"/>
          <w:sz w:val="24"/>
          <w:szCs w:val="24"/>
        </w:rPr>
        <w:t xml:space="preserve"> uses of their tissues, such as</w:t>
      </w:r>
      <w:r w:rsidR="00D0133D">
        <w:rPr>
          <w:rFonts w:asciiTheme="majorBidi" w:hAnsiTheme="majorBidi" w:cstheme="majorBidi"/>
          <w:sz w:val="24"/>
          <w:szCs w:val="24"/>
        </w:rPr>
        <w:t xml:space="preserve"> </w:t>
      </w:r>
      <w:r w:rsidR="00FC012F">
        <w:rPr>
          <w:rFonts w:asciiTheme="majorBidi" w:hAnsiTheme="majorBidi" w:cstheme="majorBidi"/>
          <w:sz w:val="24"/>
          <w:szCs w:val="24"/>
        </w:rPr>
        <w:t xml:space="preserve">the </w:t>
      </w:r>
      <w:r w:rsidR="00FC012F" w:rsidRPr="00FC012F">
        <w:rPr>
          <w:rFonts w:asciiTheme="majorBidi" w:hAnsiTheme="majorBidi" w:cstheme="majorBidi"/>
          <w:i/>
          <w:iCs/>
          <w:sz w:val="24"/>
          <w:szCs w:val="24"/>
        </w:rPr>
        <w:t>Havasupai</w:t>
      </w:r>
      <w:r w:rsidR="00FC012F">
        <w:rPr>
          <w:rFonts w:asciiTheme="majorBidi" w:hAnsiTheme="majorBidi" w:cstheme="majorBidi"/>
          <w:sz w:val="24"/>
          <w:szCs w:val="24"/>
        </w:rPr>
        <w:t xml:space="preserve"> case where an American indigenous group consented to the use of their separated bodily parts for tests on diabetes</w:t>
      </w:r>
      <w:r w:rsidR="002A5F95">
        <w:rPr>
          <w:rFonts w:asciiTheme="majorBidi" w:hAnsiTheme="majorBidi" w:cstheme="majorBidi"/>
          <w:sz w:val="24"/>
          <w:szCs w:val="24"/>
        </w:rPr>
        <w:t xml:space="preserve"> in connection with a genetic research program</w:t>
      </w:r>
      <w:r w:rsidR="008E5C42">
        <w:rPr>
          <w:rFonts w:asciiTheme="majorBidi" w:hAnsiTheme="majorBidi" w:cstheme="majorBidi"/>
          <w:sz w:val="24"/>
          <w:szCs w:val="24"/>
        </w:rPr>
        <w:t>me</w:t>
      </w:r>
      <w:r w:rsidR="00FC012F">
        <w:rPr>
          <w:rFonts w:asciiTheme="majorBidi" w:hAnsiTheme="majorBidi" w:cstheme="majorBidi"/>
          <w:sz w:val="24"/>
          <w:szCs w:val="24"/>
        </w:rPr>
        <w:t>, but the tissues were non-consensually tested for schizophrenia</w:t>
      </w:r>
      <w:r w:rsidR="008E5C42">
        <w:rPr>
          <w:rFonts w:asciiTheme="majorBidi" w:hAnsiTheme="majorBidi" w:cstheme="majorBidi"/>
          <w:sz w:val="24"/>
          <w:szCs w:val="24"/>
        </w:rPr>
        <w:t>; thus,</w:t>
      </w:r>
      <w:r w:rsidR="002A5F95">
        <w:rPr>
          <w:rFonts w:asciiTheme="majorBidi" w:hAnsiTheme="majorBidi" w:cstheme="majorBidi"/>
          <w:sz w:val="24"/>
          <w:szCs w:val="24"/>
        </w:rPr>
        <w:t xml:space="preserve"> the tribe</w:t>
      </w:r>
      <w:r w:rsidR="00D0133D">
        <w:rPr>
          <w:rFonts w:asciiTheme="majorBidi" w:hAnsiTheme="majorBidi" w:cstheme="majorBidi"/>
          <w:sz w:val="24"/>
          <w:szCs w:val="24"/>
        </w:rPr>
        <w:t>’s people</w:t>
      </w:r>
      <w:r w:rsidR="002A5F95">
        <w:rPr>
          <w:rFonts w:asciiTheme="majorBidi" w:hAnsiTheme="majorBidi" w:cstheme="majorBidi"/>
          <w:sz w:val="24"/>
          <w:szCs w:val="24"/>
        </w:rPr>
        <w:t xml:space="preserve"> </w:t>
      </w:r>
      <w:r w:rsidR="008E5C42">
        <w:rPr>
          <w:rFonts w:asciiTheme="majorBidi" w:hAnsiTheme="majorBidi" w:cstheme="majorBidi"/>
          <w:sz w:val="24"/>
          <w:szCs w:val="24"/>
        </w:rPr>
        <w:t xml:space="preserve">were exposed </w:t>
      </w:r>
      <w:r w:rsidR="002A5F95">
        <w:rPr>
          <w:rFonts w:asciiTheme="majorBidi" w:hAnsiTheme="majorBidi" w:cstheme="majorBidi"/>
          <w:sz w:val="24"/>
          <w:szCs w:val="24"/>
        </w:rPr>
        <w:t>to stigma</w:t>
      </w:r>
      <w:r w:rsidR="00FC012F">
        <w:rPr>
          <w:rFonts w:asciiTheme="majorBidi" w:hAnsiTheme="majorBidi" w:cstheme="majorBidi"/>
          <w:sz w:val="24"/>
          <w:szCs w:val="24"/>
        </w:rPr>
        <w:t>.</w:t>
      </w:r>
      <w:r w:rsidR="00FC012F">
        <w:rPr>
          <w:rStyle w:val="FootnoteReference"/>
          <w:rFonts w:asciiTheme="majorBidi" w:hAnsiTheme="majorBidi" w:cstheme="majorBidi"/>
          <w:sz w:val="24"/>
          <w:szCs w:val="24"/>
        </w:rPr>
        <w:footnoteReference w:id="53"/>
      </w:r>
      <w:r w:rsidR="002A5F95">
        <w:rPr>
          <w:rFonts w:asciiTheme="majorBidi" w:hAnsiTheme="majorBidi" w:cstheme="majorBidi"/>
          <w:sz w:val="24"/>
          <w:szCs w:val="24"/>
        </w:rPr>
        <w:t xml:space="preserve"> Effective prevention of such unauthorised uses</w:t>
      </w:r>
      <w:r w:rsidR="000E22AD">
        <w:rPr>
          <w:rFonts w:asciiTheme="majorBidi" w:hAnsiTheme="majorBidi" w:cstheme="majorBidi"/>
          <w:sz w:val="24"/>
          <w:szCs w:val="24"/>
        </w:rPr>
        <w:t xml:space="preserve"> of bodily parts </w:t>
      </w:r>
      <w:r w:rsidR="002A5F95">
        <w:rPr>
          <w:rFonts w:asciiTheme="majorBidi" w:hAnsiTheme="majorBidi" w:cstheme="majorBidi"/>
          <w:sz w:val="24"/>
          <w:szCs w:val="24"/>
        </w:rPr>
        <w:t>requires</w:t>
      </w:r>
      <w:r w:rsidR="00CA1986">
        <w:rPr>
          <w:rFonts w:asciiTheme="majorBidi" w:hAnsiTheme="majorBidi" w:cstheme="majorBidi"/>
          <w:sz w:val="24"/>
          <w:szCs w:val="24"/>
        </w:rPr>
        <w:t>, in Lau</w:t>
      </w:r>
      <w:r w:rsidR="002A5F95">
        <w:rPr>
          <w:rFonts w:asciiTheme="majorBidi" w:hAnsiTheme="majorBidi" w:cstheme="majorBidi"/>
          <w:sz w:val="24"/>
          <w:szCs w:val="24"/>
        </w:rPr>
        <w:t>rie</w:t>
      </w:r>
      <w:r w:rsidR="00CA1986">
        <w:rPr>
          <w:rFonts w:asciiTheme="majorBidi" w:hAnsiTheme="majorBidi" w:cstheme="majorBidi"/>
          <w:sz w:val="24"/>
          <w:szCs w:val="24"/>
        </w:rPr>
        <w:t>’s</w:t>
      </w:r>
      <w:r w:rsidR="002A5F95">
        <w:rPr>
          <w:rFonts w:asciiTheme="majorBidi" w:hAnsiTheme="majorBidi" w:cstheme="majorBidi"/>
          <w:sz w:val="24"/>
          <w:szCs w:val="24"/>
        </w:rPr>
        <w:t xml:space="preserve"> felicitous</w:t>
      </w:r>
      <w:r w:rsidR="00CA1986">
        <w:rPr>
          <w:rFonts w:asciiTheme="majorBidi" w:hAnsiTheme="majorBidi" w:cstheme="majorBidi"/>
          <w:sz w:val="24"/>
          <w:szCs w:val="24"/>
        </w:rPr>
        <w:t xml:space="preserve"> expression, </w:t>
      </w:r>
      <w:r w:rsidR="002A5F95">
        <w:rPr>
          <w:rFonts w:asciiTheme="majorBidi" w:hAnsiTheme="majorBidi" w:cstheme="majorBidi"/>
          <w:sz w:val="24"/>
          <w:szCs w:val="24"/>
        </w:rPr>
        <w:t>a</w:t>
      </w:r>
      <w:r w:rsidR="00CA1986">
        <w:rPr>
          <w:rFonts w:asciiTheme="majorBidi" w:hAnsiTheme="majorBidi" w:cstheme="majorBidi"/>
          <w:sz w:val="24"/>
          <w:szCs w:val="24"/>
        </w:rPr>
        <w:t xml:space="preserve"> power of</w:t>
      </w:r>
      <w:r w:rsidR="002A5F95">
        <w:rPr>
          <w:rFonts w:asciiTheme="majorBidi" w:hAnsiTheme="majorBidi" w:cstheme="majorBidi"/>
          <w:sz w:val="24"/>
          <w:szCs w:val="24"/>
        </w:rPr>
        <w:t xml:space="preserve"> ‘continuing control’</w:t>
      </w:r>
      <w:r w:rsidR="00CA1986">
        <w:rPr>
          <w:rFonts w:asciiTheme="majorBidi" w:hAnsiTheme="majorBidi" w:cstheme="majorBidi"/>
          <w:sz w:val="24"/>
          <w:szCs w:val="24"/>
        </w:rPr>
        <w:t xml:space="preserve"> which</w:t>
      </w:r>
      <w:r w:rsidR="000E22AD">
        <w:rPr>
          <w:rFonts w:asciiTheme="majorBidi" w:hAnsiTheme="majorBidi" w:cstheme="majorBidi"/>
          <w:sz w:val="24"/>
          <w:szCs w:val="24"/>
        </w:rPr>
        <w:t>, interestingly, can</w:t>
      </w:r>
      <w:r w:rsidR="00CA1986">
        <w:rPr>
          <w:rFonts w:asciiTheme="majorBidi" w:hAnsiTheme="majorBidi" w:cstheme="majorBidi"/>
          <w:sz w:val="24"/>
          <w:szCs w:val="24"/>
        </w:rPr>
        <w:t xml:space="preserve"> only</w:t>
      </w:r>
      <w:r w:rsidR="000E22AD">
        <w:rPr>
          <w:rFonts w:asciiTheme="majorBidi" w:hAnsiTheme="majorBidi" w:cstheme="majorBidi"/>
          <w:sz w:val="24"/>
          <w:szCs w:val="24"/>
        </w:rPr>
        <w:t xml:space="preserve"> be furnished by</w:t>
      </w:r>
      <w:r w:rsidR="00CA1986">
        <w:rPr>
          <w:rFonts w:asciiTheme="majorBidi" w:hAnsiTheme="majorBidi" w:cstheme="majorBidi"/>
          <w:sz w:val="24"/>
          <w:szCs w:val="24"/>
        </w:rPr>
        <w:t xml:space="preserve"> a property right.</w:t>
      </w:r>
      <w:r w:rsidR="00CA1986">
        <w:rPr>
          <w:rStyle w:val="FootnoteReference"/>
          <w:rFonts w:asciiTheme="majorBidi" w:hAnsiTheme="majorBidi" w:cstheme="majorBidi"/>
          <w:sz w:val="24"/>
          <w:szCs w:val="24"/>
        </w:rPr>
        <w:footnoteReference w:id="54"/>
      </w:r>
      <w:r w:rsidR="00CA1986">
        <w:rPr>
          <w:rFonts w:asciiTheme="majorBidi" w:hAnsiTheme="majorBidi" w:cstheme="majorBidi"/>
          <w:sz w:val="24"/>
          <w:szCs w:val="24"/>
        </w:rPr>
        <w:t xml:space="preserve"> As delineated below, non-prop</w:t>
      </w:r>
      <w:r w:rsidR="00270D62">
        <w:rPr>
          <w:rFonts w:asciiTheme="majorBidi" w:hAnsiTheme="majorBidi" w:cstheme="majorBidi"/>
          <w:sz w:val="24"/>
          <w:szCs w:val="24"/>
        </w:rPr>
        <w:t>rietary</w:t>
      </w:r>
      <w:r w:rsidR="00CA1986">
        <w:rPr>
          <w:rFonts w:asciiTheme="majorBidi" w:hAnsiTheme="majorBidi" w:cstheme="majorBidi"/>
          <w:sz w:val="24"/>
          <w:szCs w:val="24"/>
        </w:rPr>
        <w:t xml:space="preserve"> categories of private law</w:t>
      </w:r>
      <w:r w:rsidR="00E57D54">
        <w:rPr>
          <w:rFonts w:asciiTheme="majorBidi" w:hAnsiTheme="majorBidi" w:cstheme="majorBidi"/>
          <w:sz w:val="24"/>
          <w:szCs w:val="24"/>
        </w:rPr>
        <w:t xml:space="preserve"> simply lack the empowerment that derives from</w:t>
      </w:r>
      <w:r w:rsidR="005B4FAB">
        <w:rPr>
          <w:rFonts w:asciiTheme="majorBidi" w:hAnsiTheme="majorBidi" w:cstheme="majorBidi"/>
          <w:sz w:val="24"/>
          <w:szCs w:val="24"/>
        </w:rPr>
        <w:t xml:space="preserve"> the ability of having or possessing a</w:t>
      </w:r>
      <w:r w:rsidR="00E57D54">
        <w:rPr>
          <w:rFonts w:asciiTheme="majorBidi" w:hAnsiTheme="majorBidi" w:cstheme="majorBidi"/>
          <w:sz w:val="24"/>
          <w:szCs w:val="24"/>
        </w:rPr>
        <w:t xml:space="preserve"> continuing control</w:t>
      </w:r>
      <w:r w:rsidR="005B4FAB">
        <w:rPr>
          <w:rFonts w:asciiTheme="majorBidi" w:hAnsiTheme="majorBidi" w:cstheme="majorBidi"/>
          <w:sz w:val="24"/>
          <w:szCs w:val="24"/>
        </w:rPr>
        <w:t>; also, non-proprietary categories</w:t>
      </w:r>
      <w:r w:rsidR="00CA1986">
        <w:rPr>
          <w:rFonts w:asciiTheme="majorBidi" w:hAnsiTheme="majorBidi" w:cstheme="majorBidi"/>
          <w:sz w:val="24"/>
          <w:szCs w:val="24"/>
        </w:rPr>
        <w:t xml:space="preserve"> suffer from one elemental </w:t>
      </w:r>
      <w:r w:rsidR="00301703">
        <w:rPr>
          <w:rFonts w:asciiTheme="majorBidi" w:hAnsiTheme="majorBidi" w:cstheme="majorBidi"/>
          <w:sz w:val="24"/>
          <w:szCs w:val="24"/>
        </w:rPr>
        <w:t xml:space="preserve">difficulty or another when deployed </w:t>
      </w:r>
      <w:r w:rsidR="00E57D54">
        <w:rPr>
          <w:rFonts w:asciiTheme="majorBidi" w:hAnsiTheme="majorBidi" w:cstheme="majorBidi"/>
          <w:sz w:val="24"/>
          <w:szCs w:val="24"/>
        </w:rPr>
        <w:t>to</w:t>
      </w:r>
      <w:r w:rsidR="00301703">
        <w:rPr>
          <w:rFonts w:asciiTheme="majorBidi" w:hAnsiTheme="majorBidi" w:cstheme="majorBidi"/>
          <w:sz w:val="24"/>
          <w:szCs w:val="24"/>
        </w:rPr>
        <w:t xml:space="preserve"> claims</w:t>
      </w:r>
      <w:r w:rsidR="005B4FAB">
        <w:rPr>
          <w:rFonts w:asciiTheme="majorBidi" w:hAnsiTheme="majorBidi" w:cstheme="majorBidi"/>
          <w:sz w:val="24"/>
          <w:szCs w:val="24"/>
        </w:rPr>
        <w:t xml:space="preserve"> brought</w:t>
      </w:r>
      <w:r w:rsidR="00301703">
        <w:rPr>
          <w:rFonts w:asciiTheme="majorBidi" w:hAnsiTheme="majorBidi" w:cstheme="majorBidi"/>
          <w:sz w:val="24"/>
          <w:szCs w:val="24"/>
        </w:rPr>
        <w:t xml:space="preserve"> by tissue sources. What we have at the present is the obviously unjust situation where proprietary protection is accorded to the claims of tissue users/innovators</w:t>
      </w:r>
      <w:r w:rsidR="00270D62">
        <w:rPr>
          <w:rFonts w:asciiTheme="majorBidi" w:hAnsiTheme="majorBidi" w:cstheme="majorBidi"/>
          <w:sz w:val="24"/>
          <w:szCs w:val="24"/>
        </w:rPr>
        <w:t xml:space="preserve"> but</w:t>
      </w:r>
      <w:r w:rsidR="00301703">
        <w:rPr>
          <w:rFonts w:asciiTheme="majorBidi" w:hAnsiTheme="majorBidi" w:cstheme="majorBidi"/>
          <w:sz w:val="24"/>
          <w:szCs w:val="24"/>
        </w:rPr>
        <w:t xml:space="preserve"> denied to the claims of tissue sources. </w:t>
      </w:r>
      <w:r w:rsidR="009C5CB9">
        <w:rPr>
          <w:rFonts w:asciiTheme="majorBidi" w:hAnsiTheme="majorBidi" w:cstheme="majorBidi"/>
          <w:sz w:val="24"/>
          <w:szCs w:val="24"/>
        </w:rPr>
        <w:t>Furthermore, w</w:t>
      </w:r>
      <w:r w:rsidR="00301703">
        <w:rPr>
          <w:rFonts w:asciiTheme="majorBidi" w:hAnsiTheme="majorBidi" w:cstheme="majorBidi"/>
          <w:sz w:val="24"/>
          <w:szCs w:val="24"/>
        </w:rPr>
        <w:t>hile</w:t>
      </w:r>
      <w:r w:rsidR="00E57D54">
        <w:rPr>
          <w:rFonts w:asciiTheme="majorBidi" w:hAnsiTheme="majorBidi" w:cstheme="majorBidi"/>
          <w:sz w:val="24"/>
          <w:szCs w:val="24"/>
        </w:rPr>
        <w:t xml:space="preserve"> the current legal regulatory system</w:t>
      </w:r>
      <w:r w:rsidR="00301703">
        <w:rPr>
          <w:rFonts w:asciiTheme="majorBidi" w:hAnsiTheme="majorBidi" w:cstheme="majorBidi"/>
          <w:sz w:val="24"/>
          <w:szCs w:val="24"/>
        </w:rPr>
        <w:t xml:space="preserve"> maintain</w:t>
      </w:r>
      <w:r w:rsidR="00E57D54">
        <w:rPr>
          <w:rFonts w:asciiTheme="majorBidi" w:hAnsiTheme="majorBidi" w:cstheme="majorBidi"/>
          <w:sz w:val="24"/>
          <w:szCs w:val="24"/>
        </w:rPr>
        <w:t>s and applies</w:t>
      </w:r>
      <w:r w:rsidR="00301703">
        <w:rPr>
          <w:rFonts w:asciiTheme="majorBidi" w:hAnsiTheme="majorBidi" w:cstheme="majorBidi"/>
          <w:sz w:val="24"/>
          <w:szCs w:val="24"/>
        </w:rPr>
        <w:t xml:space="preserve"> the general no-property rule on dead bodies and bodily parts</w:t>
      </w:r>
      <w:r w:rsidR="00E57D54">
        <w:rPr>
          <w:rFonts w:asciiTheme="majorBidi" w:hAnsiTheme="majorBidi" w:cstheme="majorBidi"/>
          <w:sz w:val="24"/>
          <w:szCs w:val="24"/>
        </w:rPr>
        <w:t xml:space="preserve"> to</w:t>
      </w:r>
      <w:r w:rsidR="00301703">
        <w:rPr>
          <w:rFonts w:asciiTheme="majorBidi" w:hAnsiTheme="majorBidi" w:cstheme="majorBidi"/>
          <w:sz w:val="24"/>
          <w:szCs w:val="24"/>
        </w:rPr>
        <w:t xml:space="preserve"> claims</w:t>
      </w:r>
      <w:r w:rsidR="00E57D54">
        <w:rPr>
          <w:rFonts w:asciiTheme="majorBidi" w:hAnsiTheme="majorBidi" w:cstheme="majorBidi"/>
          <w:sz w:val="24"/>
          <w:szCs w:val="24"/>
        </w:rPr>
        <w:t xml:space="preserve"> </w:t>
      </w:r>
      <w:r w:rsidR="009C5CB9">
        <w:rPr>
          <w:rFonts w:asciiTheme="majorBidi" w:hAnsiTheme="majorBidi" w:cstheme="majorBidi"/>
          <w:sz w:val="24"/>
          <w:szCs w:val="24"/>
        </w:rPr>
        <w:t xml:space="preserve">brought </w:t>
      </w:r>
      <w:r w:rsidR="00E57D54">
        <w:rPr>
          <w:rFonts w:asciiTheme="majorBidi" w:hAnsiTheme="majorBidi" w:cstheme="majorBidi"/>
          <w:sz w:val="24"/>
          <w:szCs w:val="24"/>
        </w:rPr>
        <w:t>by</w:t>
      </w:r>
      <w:r w:rsidR="00301703">
        <w:rPr>
          <w:rFonts w:asciiTheme="majorBidi" w:hAnsiTheme="majorBidi" w:cstheme="majorBidi"/>
          <w:sz w:val="24"/>
          <w:szCs w:val="24"/>
        </w:rPr>
        <w:t xml:space="preserve"> </w:t>
      </w:r>
      <w:r w:rsidR="00134C61">
        <w:rPr>
          <w:rFonts w:asciiTheme="majorBidi" w:hAnsiTheme="majorBidi" w:cstheme="majorBidi"/>
          <w:sz w:val="24"/>
          <w:szCs w:val="24"/>
        </w:rPr>
        <w:t>tissue sources, the courts have</w:t>
      </w:r>
      <w:r w:rsidR="00301703">
        <w:rPr>
          <w:rFonts w:asciiTheme="majorBidi" w:hAnsiTheme="majorBidi" w:cstheme="majorBidi"/>
          <w:sz w:val="24"/>
          <w:szCs w:val="24"/>
        </w:rPr>
        <w:t xml:space="preserve"> always found ways to</w:t>
      </w:r>
      <w:r w:rsidR="00E57D54">
        <w:rPr>
          <w:rFonts w:asciiTheme="majorBidi" w:hAnsiTheme="majorBidi" w:cstheme="majorBidi"/>
          <w:sz w:val="24"/>
          <w:szCs w:val="24"/>
        </w:rPr>
        <w:t xml:space="preserve"> recognise and</w:t>
      </w:r>
      <w:r w:rsidR="00301703">
        <w:rPr>
          <w:rFonts w:asciiTheme="majorBidi" w:hAnsiTheme="majorBidi" w:cstheme="majorBidi"/>
          <w:sz w:val="24"/>
          <w:szCs w:val="24"/>
        </w:rPr>
        <w:t xml:space="preserve"> endorse a prop</w:t>
      </w:r>
      <w:r w:rsidR="009C5CB9">
        <w:rPr>
          <w:rFonts w:asciiTheme="majorBidi" w:hAnsiTheme="majorBidi" w:cstheme="majorBidi"/>
          <w:sz w:val="24"/>
          <w:szCs w:val="24"/>
        </w:rPr>
        <w:t>rietary</w:t>
      </w:r>
      <w:r w:rsidR="00301703">
        <w:rPr>
          <w:rFonts w:asciiTheme="majorBidi" w:hAnsiTheme="majorBidi" w:cstheme="majorBidi"/>
          <w:sz w:val="24"/>
          <w:szCs w:val="24"/>
        </w:rPr>
        <w:t xml:space="preserve"> regime </w:t>
      </w:r>
      <w:r w:rsidR="00E57D54">
        <w:rPr>
          <w:rFonts w:asciiTheme="majorBidi" w:hAnsiTheme="majorBidi" w:cstheme="majorBidi"/>
          <w:sz w:val="24"/>
          <w:szCs w:val="24"/>
        </w:rPr>
        <w:t>for</w:t>
      </w:r>
      <w:r w:rsidR="00300FA2">
        <w:rPr>
          <w:rFonts w:asciiTheme="majorBidi" w:hAnsiTheme="majorBidi" w:cstheme="majorBidi"/>
          <w:sz w:val="24"/>
          <w:szCs w:val="24"/>
        </w:rPr>
        <w:t xml:space="preserve"> the</w:t>
      </w:r>
      <w:r w:rsidR="00301703">
        <w:rPr>
          <w:rFonts w:asciiTheme="majorBidi" w:hAnsiTheme="majorBidi" w:cstheme="majorBidi"/>
          <w:sz w:val="24"/>
          <w:szCs w:val="24"/>
        </w:rPr>
        <w:t xml:space="preserve"> claims </w:t>
      </w:r>
      <w:r w:rsidR="00300FA2">
        <w:rPr>
          <w:rFonts w:asciiTheme="majorBidi" w:hAnsiTheme="majorBidi" w:cstheme="majorBidi"/>
          <w:sz w:val="24"/>
          <w:szCs w:val="24"/>
        </w:rPr>
        <w:t>of</w:t>
      </w:r>
      <w:r w:rsidR="00301703">
        <w:rPr>
          <w:rFonts w:asciiTheme="majorBidi" w:hAnsiTheme="majorBidi" w:cstheme="majorBidi"/>
          <w:sz w:val="24"/>
          <w:szCs w:val="24"/>
        </w:rPr>
        <w:t xml:space="preserve"> tissue users and innovators.</w:t>
      </w:r>
      <w:r w:rsidR="00FB46C4">
        <w:rPr>
          <w:rFonts w:asciiTheme="majorBidi" w:hAnsiTheme="majorBidi" w:cstheme="majorBidi"/>
          <w:sz w:val="24"/>
          <w:szCs w:val="24"/>
        </w:rPr>
        <w:t xml:space="preserve"> </w:t>
      </w:r>
      <w:r w:rsidR="00301703">
        <w:rPr>
          <w:rFonts w:asciiTheme="majorBidi" w:hAnsiTheme="majorBidi" w:cstheme="majorBidi"/>
          <w:sz w:val="24"/>
          <w:szCs w:val="24"/>
        </w:rPr>
        <w:t>Notice the duplex at play here</w:t>
      </w:r>
      <w:r w:rsidR="00FB46C4">
        <w:rPr>
          <w:rFonts w:asciiTheme="majorBidi" w:hAnsiTheme="majorBidi" w:cstheme="majorBidi"/>
          <w:sz w:val="24"/>
          <w:szCs w:val="24"/>
        </w:rPr>
        <w:t xml:space="preserve">; no right of property exists </w:t>
      </w:r>
      <w:r w:rsidR="00300FA2">
        <w:rPr>
          <w:rFonts w:asciiTheme="majorBidi" w:hAnsiTheme="majorBidi" w:cstheme="majorBidi"/>
          <w:sz w:val="24"/>
          <w:szCs w:val="24"/>
        </w:rPr>
        <w:t>over</w:t>
      </w:r>
      <w:r w:rsidR="00134C61">
        <w:rPr>
          <w:rFonts w:asciiTheme="majorBidi" w:hAnsiTheme="majorBidi" w:cstheme="majorBidi"/>
          <w:sz w:val="24"/>
          <w:szCs w:val="24"/>
        </w:rPr>
        <w:t xml:space="preserve"> separated</w:t>
      </w:r>
      <w:r w:rsidR="00FB46C4">
        <w:rPr>
          <w:rFonts w:asciiTheme="majorBidi" w:hAnsiTheme="majorBidi" w:cstheme="majorBidi"/>
          <w:sz w:val="24"/>
          <w:szCs w:val="24"/>
        </w:rPr>
        <w:t xml:space="preserve"> bodily parts</w:t>
      </w:r>
      <w:r w:rsidR="00300FA2">
        <w:rPr>
          <w:rFonts w:asciiTheme="majorBidi" w:hAnsiTheme="majorBidi" w:cstheme="majorBidi"/>
          <w:sz w:val="24"/>
          <w:szCs w:val="24"/>
        </w:rPr>
        <w:t>;</w:t>
      </w:r>
      <w:r w:rsidR="00FB46C4">
        <w:rPr>
          <w:rFonts w:asciiTheme="majorBidi" w:hAnsiTheme="majorBidi" w:cstheme="majorBidi"/>
          <w:sz w:val="24"/>
          <w:szCs w:val="24"/>
        </w:rPr>
        <w:t xml:space="preserve"> paradoxically</w:t>
      </w:r>
      <w:r w:rsidR="00456017">
        <w:rPr>
          <w:rFonts w:asciiTheme="majorBidi" w:hAnsiTheme="majorBidi" w:cstheme="majorBidi"/>
          <w:sz w:val="24"/>
          <w:szCs w:val="24"/>
        </w:rPr>
        <w:t>,</w:t>
      </w:r>
      <w:r w:rsidR="00300FA2">
        <w:rPr>
          <w:rFonts w:asciiTheme="majorBidi" w:hAnsiTheme="majorBidi" w:cstheme="majorBidi"/>
          <w:sz w:val="24"/>
          <w:szCs w:val="24"/>
        </w:rPr>
        <w:t xml:space="preserve"> however</w:t>
      </w:r>
      <w:r w:rsidR="00FB46C4">
        <w:rPr>
          <w:rFonts w:asciiTheme="majorBidi" w:hAnsiTheme="majorBidi" w:cstheme="majorBidi"/>
          <w:sz w:val="24"/>
          <w:szCs w:val="24"/>
        </w:rPr>
        <w:t xml:space="preserve">, </w:t>
      </w:r>
      <w:r w:rsidR="00134C61">
        <w:rPr>
          <w:rFonts w:asciiTheme="majorBidi" w:hAnsiTheme="majorBidi" w:cstheme="majorBidi"/>
          <w:sz w:val="24"/>
          <w:szCs w:val="24"/>
        </w:rPr>
        <w:t>such rights</w:t>
      </w:r>
      <w:r w:rsidR="00300FA2">
        <w:rPr>
          <w:rFonts w:asciiTheme="majorBidi" w:hAnsiTheme="majorBidi" w:cstheme="majorBidi"/>
          <w:sz w:val="24"/>
          <w:szCs w:val="24"/>
        </w:rPr>
        <w:t xml:space="preserve"> exist</w:t>
      </w:r>
      <w:r w:rsidR="00FB46C4">
        <w:rPr>
          <w:rFonts w:asciiTheme="majorBidi" w:hAnsiTheme="majorBidi" w:cstheme="majorBidi"/>
          <w:sz w:val="24"/>
          <w:szCs w:val="24"/>
        </w:rPr>
        <w:t xml:space="preserve"> in relation to claims</w:t>
      </w:r>
      <w:r w:rsidR="009C5CB9">
        <w:rPr>
          <w:rFonts w:asciiTheme="majorBidi" w:hAnsiTheme="majorBidi" w:cstheme="majorBidi"/>
          <w:sz w:val="24"/>
          <w:szCs w:val="24"/>
        </w:rPr>
        <w:t xml:space="preserve"> instituted</w:t>
      </w:r>
      <w:r w:rsidR="00FB46C4">
        <w:rPr>
          <w:rFonts w:asciiTheme="majorBidi" w:hAnsiTheme="majorBidi" w:cstheme="majorBidi"/>
          <w:sz w:val="24"/>
          <w:szCs w:val="24"/>
        </w:rPr>
        <w:t xml:space="preserve"> by</w:t>
      </w:r>
      <w:r w:rsidR="00300FA2">
        <w:rPr>
          <w:rFonts w:asciiTheme="majorBidi" w:hAnsiTheme="majorBidi" w:cstheme="majorBidi"/>
          <w:sz w:val="24"/>
          <w:szCs w:val="24"/>
        </w:rPr>
        <w:t xml:space="preserve"> tissue users and</w:t>
      </w:r>
      <w:r w:rsidR="00FB46C4">
        <w:rPr>
          <w:rFonts w:asciiTheme="majorBidi" w:hAnsiTheme="majorBidi" w:cstheme="majorBidi"/>
          <w:sz w:val="24"/>
          <w:szCs w:val="24"/>
        </w:rPr>
        <w:t xml:space="preserve"> innovators</w:t>
      </w:r>
      <w:r w:rsidR="009C5CB9">
        <w:rPr>
          <w:rFonts w:asciiTheme="majorBidi" w:hAnsiTheme="majorBidi" w:cstheme="majorBidi"/>
          <w:sz w:val="24"/>
          <w:szCs w:val="24"/>
        </w:rPr>
        <w:t>;</w:t>
      </w:r>
      <w:r w:rsidR="00300FA2">
        <w:rPr>
          <w:rFonts w:asciiTheme="majorBidi" w:hAnsiTheme="majorBidi" w:cstheme="majorBidi"/>
          <w:sz w:val="24"/>
          <w:szCs w:val="24"/>
        </w:rPr>
        <w:t xml:space="preserve"> as I argue below, this inequality in treatment is not justified by the user/innovator’s work or skill on the tissue</w:t>
      </w:r>
      <w:r w:rsidR="00214875">
        <w:rPr>
          <w:rFonts w:asciiTheme="majorBidi" w:hAnsiTheme="majorBidi" w:cstheme="majorBidi"/>
          <w:sz w:val="24"/>
          <w:szCs w:val="24"/>
        </w:rPr>
        <w:t>, not least because such work or skill is usually un</w:t>
      </w:r>
      <w:r w:rsidR="00982AEF">
        <w:rPr>
          <w:rFonts w:asciiTheme="majorBidi" w:hAnsiTheme="majorBidi" w:cstheme="majorBidi"/>
          <w:sz w:val="24"/>
          <w:szCs w:val="24"/>
        </w:rPr>
        <w:t>-</w:t>
      </w:r>
      <w:r w:rsidR="00214875">
        <w:rPr>
          <w:rFonts w:asciiTheme="majorBidi" w:hAnsiTheme="majorBidi" w:cstheme="majorBidi"/>
          <w:sz w:val="24"/>
          <w:szCs w:val="24"/>
        </w:rPr>
        <w:t>transformative</w:t>
      </w:r>
      <w:r w:rsidR="00300FA2">
        <w:rPr>
          <w:rFonts w:asciiTheme="majorBidi" w:hAnsiTheme="majorBidi" w:cstheme="majorBidi"/>
          <w:sz w:val="24"/>
          <w:szCs w:val="24"/>
        </w:rPr>
        <w:t>.</w:t>
      </w:r>
      <w:r w:rsidR="00FB46C4">
        <w:rPr>
          <w:rFonts w:asciiTheme="majorBidi" w:hAnsiTheme="majorBidi" w:cstheme="majorBidi"/>
          <w:sz w:val="24"/>
          <w:szCs w:val="24"/>
        </w:rPr>
        <w:t xml:space="preserve"> Surely, this contradiction of the no-property regime, this useful paradox of property and no</w:t>
      </w:r>
      <w:r w:rsidR="00456017">
        <w:rPr>
          <w:rFonts w:asciiTheme="majorBidi" w:hAnsiTheme="majorBidi" w:cstheme="majorBidi"/>
          <w:sz w:val="24"/>
          <w:szCs w:val="24"/>
        </w:rPr>
        <w:t>n</w:t>
      </w:r>
      <w:r w:rsidR="00FB46C4">
        <w:rPr>
          <w:rFonts w:asciiTheme="majorBidi" w:hAnsiTheme="majorBidi" w:cstheme="majorBidi"/>
          <w:sz w:val="24"/>
          <w:szCs w:val="24"/>
        </w:rPr>
        <w:t xml:space="preserve">-property regimes </w:t>
      </w:r>
      <w:r w:rsidR="00456017">
        <w:rPr>
          <w:rFonts w:asciiTheme="majorBidi" w:hAnsiTheme="majorBidi" w:cstheme="majorBidi"/>
          <w:sz w:val="24"/>
          <w:szCs w:val="24"/>
        </w:rPr>
        <w:t>co-</w:t>
      </w:r>
      <w:r w:rsidR="00FB46C4">
        <w:rPr>
          <w:rFonts w:asciiTheme="majorBidi" w:hAnsiTheme="majorBidi" w:cstheme="majorBidi"/>
          <w:sz w:val="24"/>
          <w:szCs w:val="24"/>
        </w:rPr>
        <w:t xml:space="preserve">existing to protect the claims of tissue </w:t>
      </w:r>
      <w:r w:rsidR="00982AEF">
        <w:rPr>
          <w:rFonts w:asciiTheme="majorBidi" w:hAnsiTheme="majorBidi" w:cstheme="majorBidi"/>
          <w:sz w:val="24"/>
          <w:szCs w:val="24"/>
        </w:rPr>
        <w:t>users/innovators</w:t>
      </w:r>
      <w:r w:rsidR="002F1783">
        <w:rPr>
          <w:rFonts w:asciiTheme="majorBidi" w:hAnsiTheme="majorBidi" w:cstheme="majorBidi"/>
          <w:sz w:val="24"/>
          <w:szCs w:val="24"/>
        </w:rPr>
        <w:t>,</w:t>
      </w:r>
      <w:r w:rsidR="00982AEF">
        <w:rPr>
          <w:rFonts w:asciiTheme="majorBidi" w:hAnsiTheme="majorBidi" w:cstheme="majorBidi"/>
          <w:sz w:val="24"/>
          <w:szCs w:val="24"/>
        </w:rPr>
        <w:t xml:space="preserve"> is arguably</w:t>
      </w:r>
      <w:r w:rsidR="00FB46C4">
        <w:rPr>
          <w:rFonts w:asciiTheme="majorBidi" w:hAnsiTheme="majorBidi" w:cstheme="majorBidi"/>
          <w:sz w:val="24"/>
          <w:szCs w:val="24"/>
        </w:rPr>
        <w:t xml:space="preserve"> undergirded</w:t>
      </w:r>
      <w:r w:rsidR="002F1783">
        <w:rPr>
          <w:rFonts w:asciiTheme="majorBidi" w:hAnsiTheme="majorBidi" w:cstheme="majorBidi"/>
          <w:sz w:val="24"/>
          <w:szCs w:val="24"/>
        </w:rPr>
        <w:t xml:space="preserve"> and justified</w:t>
      </w:r>
      <w:r w:rsidR="00FB46C4">
        <w:rPr>
          <w:rFonts w:asciiTheme="majorBidi" w:hAnsiTheme="majorBidi" w:cstheme="majorBidi"/>
          <w:sz w:val="24"/>
          <w:szCs w:val="24"/>
        </w:rPr>
        <w:t xml:space="preserve"> by </w:t>
      </w:r>
      <w:r w:rsidR="00D24C91">
        <w:rPr>
          <w:rFonts w:asciiTheme="majorBidi" w:hAnsiTheme="majorBidi" w:cstheme="majorBidi"/>
          <w:sz w:val="24"/>
          <w:szCs w:val="24"/>
        </w:rPr>
        <w:t>important policy considerations;</w:t>
      </w:r>
      <w:r w:rsidR="002F1783">
        <w:rPr>
          <w:rStyle w:val="FootnoteReference"/>
          <w:rFonts w:asciiTheme="majorBidi" w:hAnsiTheme="majorBidi" w:cstheme="majorBidi"/>
          <w:sz w:val="24"/>
          <w:szCs w:val="24"/>
        </w:rPr>
        <w:footnoteReference w:id="55"/>
      </w:r>
      <w:r w:rsidR="00FB46C4">
        <w:rPr>
          <w:rFonts w:asciiTheme="majorBidi" w:hAnsiTheme="majorBidi" w:cstheme="majorBidi"/>
          <w:sz w:val="24"/>
          <w:szCs w:val="24"/>
        </w:rPr>
        <w:t xml:space="preserve"> </w:t>
      </w:r>
      <w:r w:rsidR="00456017">
        <w:rPr>
          <w:rFonts w:asciiTheme="majorBidi" w:hAnsiTheme="majorBidi" w:cstheme="majorBidi"/>
          <w:sz w:val="24"/>
          <w:szCs w:val="24"/>
        </w:rPr>
        <w:t>the question, however,</w:t>
      </w:r>
      <w:r w:rsidR="006F1274">
        <w:rPr>
          <w:rFonts w:asciiTheme="majorBidi" w:hAnsiTheme="majorBidi" w:cstheme="majorBidi"/>
          <w:sz w:val="24"/>
          <w:szCs w:val="24"/>
        </w:rPr>
        <w:t xml:space="preserve"> </w:t>
      </w:r>
      <w:r w:rsidR="00D24C91">
        <w:rPr>
          <w:rFonts w:asciiTheme="majorBidi" w:hAnsiTheme="majorBidi" w:cstheme="majorBidi"/>
          <w:sz w:val="24"/>
          <w:szCs w:val="24"/>
        </w:rPr>
        <w:t>is</w:t>
      </w:r>
      <w:r w:rsidR="006F1274">
        <w:rPr>
          <w:rFonts w:asciiTheme="majorBidi" w:hAnsiTheme="majorBidi" w:cstheme="majorBidi"/>
          <w:sz w:val="24"/>
          <w:szCs w:val="24"/>
        </w:rPr>
        <w:t xml:space="preserve"> why should</w:t>
      </w:r>
      <w:r w:rsidR="00295BEF">
        <w:rPr>
          <w:rFonts w:asciiTheme="majorBidi" w:hAnsiTheme="majorBidi" w:cstheme="majorBidi"/>
          <w:sz w:val="24"/>
          <w:szCs w:val="24"/>
        </w:rPr>
        <w:t xml:space="preserve"> such</w:t>
      </w:r>
      <w:r w:rsidR="006F1274">
        <w:rPr>
          <w:rFonts w:asciiTheme="majorBidi" w:hAnsiTheme="majorBidi" w:cstheme="majorBidi"/>
          <w:sz w:val="24"/>
          <w:szCs w:val="24"/>
        </w:rPr>
        <w:t xml:space="preserve"> a</w:t>
      </w:r>
      <w:r w:rsidR="00295BEF">
        <w:rPr>
          <w:rFonts w:asciiTheme="majorBidi" w:hAnsiTheme="majorBidi" w:cstheme="majorBidi"/>
          <w:sz w:val="24"/>
          <w:szCs w:val="24"/>
        </w:rPr>
        <w:t xml:space="preserve"> duplex</w:t>
      </w:r>
      <w:r w:rsidR="00D24C91">
        <w:rPr>
          <w:rFonts w:asciiTheme="majorBidi" w:hAnsiTheme="majorBidi" w:cstheme="majorBidi"/>
          <w:sz w:val="24"/>
          <w:szCs w:val="24"/>
        </w:rPr>
        <w:t xml:space="preserve"> reasoning</w:t>
      </w:r>
      <w:r w:rsidR="006F1274">
        <w:rPr>
          <w:rFonts w:asciiTheme="majorBidi" w:hAnsiTheme="majorBidi" w:cstheme="majorBidi"/>
          <w:sz w:val="24"/>
          <w:szCs w:val="24"/>
        </w:rPr>
        <w:t xml:space="preserve"> be</w:t>
      </w:r>
      <w:r w:rsidR="00295BEF">
        <w:rPr>
          <w:rFonts w:asciiTheme="majorBidi" w:hAnsiTheme="majorBidi" w:cstheme="majorBidi"/>
          <w:sz w:val="24"/>
          <w:szCs w:val="24"/>
        </w:rPr>
        <w:t xml:space="preserve"> </w:t>
      </w:r>
      <w:r w:rsidR="00D24C91">
        <w:rPr>
          <w:rFonts w:asciiTheme="majorBidi" w:hAnsiTheme="majorBidi" w:cstheme="majorBidi"/>
          <w:sz w:val="24"/>
          <w:szCs w:val="24"/>
        </w:rPr>
        <w:t xml:space="preserve">restricted </w:t>
      </w:r>
      <w:r w:rsidR="004D32EF">
        <w:rPr>
          <w:rFonts w:asciiTheme="majorBidi" w:hAnsiTheme="majorBidi" w:cstheme="majorBidi"/>
          <w:sz w:val="24"/>
          <w:szCs w:val="24"/>
        </w:rPr>
        <w:t>only</w:t>
      </w:r>
      <w:r w:rsidR="00295BEF">
        <w:rPr>
          <w:rFonts w:asciiTheme="majorBidi" w:hAnsiTheme="majorBidi" w:cstheme="majorBidi"/>
          <w:sz w:val="24"/>
          <w:szCs w:val="24"/>
        </w:rPr>
        <w:t xml:space="preserve"> to</w:t>
      </w:r>
      <w:r w:rsidR="00D24C91">
        <w:rPr>
          <w:rFonts w:asciiTheme="majorBidi" w:hAnsiTheme="majorBidi" w:cstheme="majorBidi"/>
          <w:sz w:val="24"/>
          <w:szCs w:val="24"/>
        </w:rPr>
        <w:t xml:space="preserve"> the</w:t>
      </w:r>
      <w:r w:rsidR="00295BEF">
        <w:rPr>
          <w:rFonts w:asciiTheme="majorBidi" w:hAnsiTheme="majorBidi" w:cstheme="majorBidi"/>
          <w:sz w:val="24"/>
          <w:szCs w:val="24"/>
        </w:rPr>
        <w:t xml:space="preserve"> claims </w:t>
      </w:r>
      <w:r w:rsidR="00D24C91">
        <w:rPr>
          <w:rFonts w:asciiTheme="majorBidi" w:hAnsiTheme="majorBidi" w:cstheme="majorBidi"/>
          <w:sz w:val="24"/>
          <w:szCs w:val="24"/>
        </w:rPr>
        <w:t>of</w:t>
      </w:r>
      <w:r w:rsidR="00295BEF">
        <w:rPr>
          <w:rFonts w:asciiTheme="majorBidi" w:hAnsiTheme="majorBidi" w:cstheme="majorBidi"/>
          <w:sz w:val="24"/>
          <w:szCs w:val="24"/>
        </w:rPr>
        <w:t xml:space="preserve"> tissue users and innovators?</w:t>
      </w:r>
      <w:r w:rsidR="00EC7A25">
        <w:rPr>
          <w:rFonts w:asciiTheme="majorBidi" w:hAnsiTheme="majorBidi" w:cstheme="majorBidi"/>
          <w:sz w:val="24"/>
          <w:szCs w:val="24"/>
        </w:rPr>
        <w:t xml:space="preserve"> </w:t>
      </w:r>
      <w:r w:rsidR="006F1274">
        <w:rPr>
          <w:rFonts w:asciiTheme="majorBidi" w:hAnsiTheme="majorBidi" w:cstheme="majorBidi"/>
          <w:sz w:val="24"/>
          <w:szCs w:val="24"/>
        </w:rPr>
        <w:t>I argue that considerations of justice</w:t>
      </w:r>
      <w:r w:rsidR="003435C9">
        <w:rPr>
          <w:rFonts w:asciiTheme="majorBidi" w:hAnsiTheme="majorBidi" w:cstheme="majorBidi"/>
          <w:sz w:val="24"/>
          <w:szCs w:val="24"/>
        </w:rPr>
        <w:t>, equality</w:t>
      </w:r>
      <w:r w:rsidR="006F1274">
        <w:rPr>
          <w:rFonts w:asciiTheme="majorBidi" w:hAnsiTheme="majorBidi" w:cstheme="majorBidi"/>
          <w:sz w:val="24"/>
          <w:szCs w:val="24"/>
        </w:rPr>
        <w:t xml:space="preserve"> and fairness demand that the proprietary</w:t>
      </w:r>
      <w:r w:rsidR="00EC7A25">
        <w:rPr>
          <w:rFonts w:asciiTheme="majorBidi" w:hAnsiTheme="majorBidi" w:cstheme="majorBidi"/>
          <w:sz w:val="24"/>
          <w:szCs w:val="24"/>
        </w:rPr>
        <w:t xml:space="preserve"> claims of tissue sources</w:t>
      </w:r>
      <w:r w:rsidR="006F1274">
        <w:rPr>
          <w:rFonts w:asciiTheme="majorBidi" w:hAnsiTheme="majorBidi" w:cstheme="majorBidi"/>
          <w:sz w:val="24"/>
          <w:szCs w:val="24"/>
        </w:rPr>
        <w:t xml:space="preserve"> should also be taken to reflect a duplex on the no-property rule. Like tissue innovators,</w:t>
      </w:r>
      <w:r w:rsidR="00295BEF">
        <w:rPr>
          <w:rFonts w:asciiTheme="majorBidi" w:hAnsiTheme="majorBidi" w:cstheme="majorBidi"/>
          <w:sz w:val="24"/>
          <w:szCs w:val="24"/>
        </w:rPr>
        <w:t xml:space="preserve"> tissue source</w:t>
      </w:r>
      <w:r w:rsidR="006F1274">
        <w:rPr>
          <w:rFonts w:asciiTheme="majorBidi" w:hAnsiTheme="majorBidi" w:cstheme="majorBidi"/>
          <w:sz w:val="24"/>
          <w:szCs w:val="24"/>
        </w:rPr>
        <w:t>s</w:t>
      </w:r>
      <w:r w:rsidR="00D24C91">
        <w:rPr>
          <w:rFonts w:asciiTheme="majorBidi" w:hAnsiTheme="majorBidi" w:cstheme="majorBidi"/>
          <w:sz w:val="24"/>
          <w:szCs w:val="24"/>
        </w:rPr>
        <w:t xml:space="preserve"> </w:t>
      </w:r>
      <w:r w:rsidR="00295BEF">
        <w:rPr>
          <w:rFonts w:asciiTheme="majorBidi" w:hAnsiTheme="majorBidi" w:cstheme="majorBidi"/>
          <w:sz w:val="24"/>
          <w:szCs w:val="24"/>
        </w:rPr>
        <w:t>deserve</w:t>
      </w:r>
      <w:r w:rsidR="00D24C91">
        <w:rPr>
          <w:rFonts w:asciiTheme="majorBidi" w:hAnsiTheme="majorBidi" w:cstheme="majorBidi"/>
          <w:sz w:val="24"/>
          <w:szCs w:val="24"/>
        </w:rPr>
        <w:t xml:space="preserve"> to benefit from a duplex conceptualisation of their claim, an entitlement to a paradoxical</w:t>
      </w:r>
      <w:r w:rsidR="00295BEF">
        <w:rPr>
          <w:rFonts w:asciiTheme="majorBidi" w:hAnsiTheme="majorBidi" w:cstheme="majorBidi"/>
          <w:sz w:val="24"/>
          <w:szCs w:val="24"/>
        </w:rPr>
        <w:t xml:space="preserve"> </w:t>
      </w:r>
      <w:r w:rsidR="00D24C91">
        <w:rPr>
          <w:rFonts w:asciiTheme="majorBidi" w:hAnsiTheme="majorBidi" w:cstheme="majorBidi"/>
          <w:sz w:val="24"/>
          <w:szCs w:val="24"/>
        </w:rPr>
        <w:t>deployment of the no-property</w:t>
      </w:r>
      <w:r w:rsidR="00EC7A25">
        <w:rPr>
          <w:rFonts w:asciiTheme="majorBidi" w:hAnsiTheme="majorBidi" w:cstheme="majorBidi"/>
          <w:sz w:val="24"/>
          <w:szCs w:val="24"/>
        </w:rPr>
        <w:t xml:space="preserve"> rule in </w:t>
      </w:r>
      <w:r w:rsidR="00445CA8">
        <w:rPr>
          <w:rFonts w:asciiTheme="majorBidi" w:hAnsiTheme="majorBidi" w:cstheme="majorBidi"/>
          <w:sz w:val="24"/>
          <w:szCs w:val="24"/>
        </w:rPr>
        <w:t>order to</w:t>
      </w:r>
      <w:r w:rsidR="00D24C91">
        <w:rPr>
          <w:rFonts w:asciiTheme="majorBidi" w:hAnsiTheme="majorBidi" w:cstheme="majorBidi"/>
          <w:sz w:val="24"/>
          <w:szCs w:val="24"/>
        </w:rPr>
        <w:t xml:space="preserve"> ground the</w:t>
      </w:r>
      <w:r w:rsidR="0018704E">
        <w:rPr>
          <w:rFonts w:asciiTheme="majorBidi" w:hAnsiTheme="majorBidi" w:cstheme="majorBidi"/>
          <w:sz w:val="24"/>
          <w:szCs w:val="24"/>
        </w:rPr>
        <w:t>ir</w:t>
      </w:r>
      <w:r w:rsidR="00EC7A25">
        <w:rPr>
          <w:rFonts w:asciiTheme="majorBidi" w:hAnsiTheme="majorBidi" w:cstheme="majorBidi"/>
          <w:sz w:val="24"/>
          <w:szCs w:val="24"/>
        </w:rPr>
        <w:t xml:space="preserve"> legal</w:t>
      </w:r>
      <w:r w:rsidR="00D24C91">
        <w:rPr>
          <w:rFonts w:asciiTheme="majorBidi" w:hAnsiTheme="majorBidi" w:cstheme="majorBidi"/>
          <w:sz w:val="24"/>
          <w:szCs w:val="24"/>
        </w:rPr>
        <w:t xml:space="preserve"> redress in proprietary</w:t>
      </w:r>
      <w:r w:rsidR="00EC7A25">
        <w:rPr>
          <w:rFonts w:asciiTheme="majorBidi" w:hAnsiTheme="majorBidi" w:cstheme="majorBidi"/>
          <w:sz w:val="24"/>
          <w:szCs w:val="24"/>
        </w:rPr>
        <w:t xml:space="preserve"> frameworks. </w:t>
      </w:r>
    </w:p>
    <w:p w:rsidR="00531582" w:rsidRDefault="00692B56" w:rsidP="000940D4">
      <w:pPr>
        <w:ind w:firstLine="720"/>
        <w:jc w:val="both"/>
        <w:rPr>
          <w:rFonts w:asciiTheme="majorBidi" w:hAnsiTheme="majorBidi" w:cstheme="majorBidi"/>
          <w:sz w:val="24"/>
          <w:szCs w:val="24"/>
        </w:rPr>
      </w:pPr>
      <w:r>
        <w:rPr>
          <w:rFonts w:asciiTheme="majorBidi" w:hAnsiTheme="majorBidi" w:cstheme="majorBidi"/>
          <w:sz w:val="24"/>
          <w:szCs w:val="24"/>
        </w:rPr>
        <w:t>While</w:t>
      </w:r>
      <w:r w:rsidR="00EC7A25">
        <w:rPr>
          <w:rFonts w:asciiTheme="majorBidi" w:hAnsiTheme="majorBidi" w:cstheme="majorBidi"/>
          <w:sz w:val="24"/>
          <w:szCs w:val="24"/>
        </w:rPr>
        <w:t xml:space="preserve"> the paradoxical application</w:t>
      </w:r>
      <w:r w:rsidR="0027644E">
        <w:rPr>
          <w:rFonts w:asciiTheme="majorBidi" w:hAnsiTheme="majorBidi" w:cstheme="majorBidi"/>
          <w:sz w:val="24"/>
          <w:szCs w:val="24"/>
        </w:rPr>
        <w:t xml:space="preserve"> of the no-property rule</w:t>
      </w:r>
      <w:r>
        <w:rPr>
          <w:rFonts w:asciiTheme="majorBidi" w:hAnsiTheme="majorBidi" w:cstheme="majorBidi"/>
          <w:sz w:val="24"/>
          <w:szCs w:val="24"/>
        </w:rPr>
        <w:t>,</w:t>
      </w:r>
      <w:r w:rsidR="0027644E">
        <w:rPr>
          <w:rFonts w:asciiTheme="majorBidi" w:hAnsiTheme="majorBidi" w:cstheme="majorBidi"/>
          <w:sz w:val="24"/>
          <w:szCs w:val="24"/>
        </w:rPr>
        <w:t xml:space="preserve"> as between tissue sources and tissue users</w:t>
      </w:r>
      <w:r w:rsidR="00517D5D">
        <w:rPr>
          <w:rFonts w:asciiTheme="majorBidi" w:hAnsiTheme="majorBidi" w:cstheme="majorBidi"/>
          <w:sz w:val="24"/>
          <w:szCs w:val="24"/>
        </w:rPr>
        <w:t>,</w:t>
      </w:r>
      <w:r w:rsidR="0027644E">
        <w:rPr>
          <w:rFonts w:asciiTheme="majorBidi" w:hAnsiTheme="majorBidi" w:cstheme="majorBidi"/>
          <w:sz w:val="24"/>
          <w:szCs w:val="24"/>
        </w:rPr>
        <w:t xml:space="preserve"> has not previously been</w:t>
      </w:r>
      <w:r w:rsidR="00517D5D">
        <w:rPr>
          <w:rFonts w:asciiTheme="majorBidi" w:hAnsiTheme="majorBidi" w:cstheme="majorBidi"/>
          <w:sz w:val="24"/>
          <w:szCs w:val="24"/>
        </w:rPr>
        <w:t xml:space="preserve"> analysed in terms of</w:t>
      </w:r>
      <w:r w:rsidR="0027644E">
        <w:rPr>
          <w:rFonts w:asciiTheme="majorBidi" w:hAnsiTheme="majorBidi" w:cstheme="majorBidi"/>
          <w:sz w:val="24"/>
          <w:szCs w:val="24"/>
        </w:rPr>
        <w:t xml:space="preserve"> a duplex, there is</w:t>
      </w:r>
      <w:r w:rsidR="00517D5D">
        <w:rPr>
          <w:rFonts w:asciiTheme="majorBidi" w:hAnsiTheme="majorBidi" w:cstheme="majorBidi"/>
          <w:sz w:val="24"/>
          <w:szCs w:val="24"/>
        </w:rPr>
        <w:t xml:space="preserve"> also</w:t>
      </w:r>
      <w:r w:rsidR="0027644E">
        <w:rPr>
          <w:rFonts w:asciiTheme="majorBidi" w:hAnsiTheme="majorBidi" w:cstheme="majorBidi"/>
          <w:sz w:val="24"/>
          <w:szCs w:val="24"/>
        </w:rPr>
        <w:t xml:space="preserve"> a</w:t>
      </w:r>
      <w:r w:rsidR="00F572FD">
        <w:rPr>
          <w:rFonts w:asciiTheme="majorBidi" w:hAnsiTheme="majorBidi" w:cstheme="majorBidi"/>
          <w:sz w:val="24"/>
          <w:szCs w:val="24"/>
        </w:rPr>
        <w:t>nother</w:t>
      </w:r>
      <w:r w:rsidR="0027644E">
        <w:rPr>
          <w:rFonts w:asciiTheme="majorBidi" w:hAnsiTheme="majorBidi" w:cstheme="majorBidi"/>
          <w:sz w:val="24"/>
          <w:szCs w:val="24"/>
        </w:rPr>
        <w:t xml:space="preserve"> dimension of duplex</w:t>
      </w:r>
      <w:r w:rsidR="00F572FD">
        <w:rPr>
          <w:rFonts w:asciiTheme="majorBidi" w:hAnsiTheme="majorBidi" w:cstheme="majorBidi"/>
          <w:sz w:val="24"/>
          <w:szCs w:val="24"/>
        </w:rPr>
        <w:t xml:space="preserve"> evident</w:t>
      </w:r>
      <w:r w:rsidR="00295BEF">
        <w:rPr>
          <w:rFonts w:asciiTheme="majorBidi" w:hAnsiTheme="majorBidi" w:cstheme="majorBidi"/>
          <w:sz w:val="24"/>
          <w:szCs w:val="24"/>
        </w:rPr>
        <w:t xml:space="preserve"> in</w:t>
      </w:r>
      <w:r w:rsidR="0027644E">
        <w:rPr>
          <w:rFonts w:asciiTheme="majorBidi" w:hAnsiTheme="majorBidi" w:cstheme="majorBidi"/>
          <w:sz w:val="24"/>
          <w:szCs w:val="24"/>
        </w:rPr>
        <w:t xml:space="preserve"> the way the exceptions to the no-property rule are interpreted and applied</w:t>
      </w:r>
      <w:r w:rsidR="00517D5D">
        <w:rPr>
          <w:rFonts w:asciiTheme="majorBidi" w:hAnsiTheme="majorBidi" w:cstheme="majorBidi"/>
          <w:sz w:val="24"/>
          <w:szCs w:val="24"/>
        </w:rPr>
        <w:t>.</w:t>
      </w:r>
      <w:r w:rsidR="0027644E">
        <w:rPr>
          <w:rFonts w:asciiTheme="majorBidi" w:hAnsiTheme="majorBidi" w:cstheme="majorBidi"/>
          <w:sz w:val="24"/>
          <w:szCs w:val="24"/>
        </w:rPr>
        <w:t xml:space="preserve"> </w:t>
      </w:r>
      <w:r w:rsidR="00517D5D">
        <w:rPr>
          <w:rFonts w:asciiTheme="majorBidi" w:hAnsiTheme="majorBidi" w:cstheme="majorBidi"/>
          <w:sz w:val="24"/>
          <w:szCs w:val="24"/>
        </w:rPr>
        <w:t>E</w:t>
      </w:r>
      <w:r w:rsidR="0027644E">
        <w:rPr>
          <w:rFonts w:asciiTheme="majorBidi" w:hAnsiTheme="majorBidi" w:cstheme="majorBidi"/>
          <w:sz w:val="24"/>
          <w:szCs w:val="24"/>
        </w:rPr>
        <w:t>xceptions</w:t>
      </w:r>
      <w:r w:rsidR="007D0D59">
        <w:rPr>
          <w:rFonts w:asciiTheme="majorBidi" w:hAnsiTheme="majorBidi" w:cstheme="majorBidi"/>
          <w:sz w:val="24"/>
          <w:szCs w:val="24"/>
        </w:rPr>
        <w:t xml:space="preserve"> to the no-property rule establish situations in which a property regime would be foisted on the no-property rule</w:t>
      </w:r>
      <w:r w:rsidR="00517D5D">
        <w:rPr>
          <w:rFonts w:asciiTheme="majorBidi" w:hAnsiTheme="majorBidi" w:cstheme="majorBidi"/>
          <w:sz w:val="24"/>
          <w:szCs w:val="24"/>
        </w:rPr>
        <w:t>; however,</w:t>
      </w:r>
      <w:r w:rsidR="007D0D59">
        <w:rPr>
          <w:rFonts w:asciiTheme="majorBidi" w:hAnsiTheme="majorBidi" w:cstheme="majorBidi"/>
          <w:sz w:val="24"/>
          <w:szCs w:val="24"/>
        </w:rPr>
        <w:t xml:space="preserve"> those exceptions have </w:t>
      </w:r>
      <w:r w:rsidR="00F572FD">
        <w:rPr>
          <w:rFonts w:asciiTheme="majorBidi" w:hAnsiTheme="majorBidi" w:cstheme="majorBidi"/>
          <w:sz w:val="24"/>
          <w:szCs w:val="24"/>
        </w:rPr>
        <w:t>b</w:t>
      </w:r>
      <w:r w:rsidR="007D0D59">
        <w:rPr>
          <w:rFonts w:asciiTheme="majorBidi" w:hAnsiTheme="majorBidi" w:cstheme="majorBidi"/>
          <w:sz w:val="24"/>
          <w:szCs w:val="24"/>
        </w:rPr>
        <w:t>een</w:t>
      </w:r>
      <w:r w:rsidR="00F572FD">
        <w:rPr>
          <w:rFonts w:asciiTheme="majorBidi" w:hAnsiTheme="majorBidi" w:cstheme="majorBidi"/>
          <w:sz w:val="24"/>
          <w:szCs w:val="24"/>
        </w:rPr>
        <w:t xml:space="preserve"> only</w:t>
      </w:r>
      <w:r w:rsidR="007D0D59">
        <w:rPr>
          <w:rFonts w:asciiTheme="majorBidi" w:hAnsiTheme="majorBidi" w:cstheme="majorBidi"/>
          <w:sz w:val="24"/>
          <w:szCs w:val="24"/>
        </w:rPr>
        <w:t xml:space="preserve"> successfully applied to</w:t>
      </w:r>
      <w:r w:rsidR="00517D5D">
        <w:rPr>
          <w:rFonts w:asciiTheme="majorBidi" w:hAnsiTheme="majorBidi" w:cstheme="majorBidi"/>
          <w:sz w:val="24"/>
          <w:szCs w:val="24"/>
        </w:rPr>
        <w:t xml:space="preserve"> the</w:t>
      </w:r>
      <w:r w:rsidR="007D0D59">
        <w:rPr>
          <w:rFonts w:asciiTheme="majorBidi" w:hAnsiTheme="majorBidi" w:cstheme="majorBidi"/>
          <w:sz w:val="24"/>
          <w:szCs w:val="24"/>
        </w:rPr>
        <w:t xml:space="preserve"> claims of</w:t>
      </w:r>
      <w:r w:rsidR="00295BEF">
        <w:rPr>
          <w:rFonts w:asciiTheme="majorBidi" w:hAnsiTheme="majorBidi" w:cstheme="majorBidi"/>
          <w:sz w:val="24"/>
          <w:szCs w:val="24"/>
        </w:rPr>
        <w:t xml:space="preserve"> tissue users and innovators</w:t>
      </w:r>
      <w:r w:rsidR="007D0D59">
        <w:rPr>
          <w:rFonts w:asciiTheme="majorBidi" w:hAnsiTheme="majorBidi" w:cstheme="majorBidi"/>
          <w:sz w:val="24"/>
          <w:szCs w:val="24"/>
        </w:rPr>
        <w:t>.</w:t>
      </w:r>
      <w:r w:rsidR="00295BEF">
        <w:rPr>
          <w:rFonts w:asciiTheme="majorBidi" w:hAnsiTheme="majorBidi" w:cstheme="majorBidi"/>
          <w:sz w:val="24"/>
          <w:szCs w:val="24"/>
        </w:rPr>
        <w:t xml:space="preserve"> Thus,</w:t>
      </w:r>
      <w:r w:rsidR="007D0D59">
        <w:rPr>
          <w:rFonts w:asciiTheme="majorBidi" w:hAnsiTheme="majorBidi" w:cstheme="majorBidi"/>
          <w:sz w:val="24"/>
          <w:szCs w:val="24"/>
        </w:rPr>
        <w:t xml:space="preserve"> under the work or skill exception,</w:t>
      </w:r>
      <w:r w:rsidR="00295BEF">
        <w:rPr>
          <w:rFonts w:asciiTheme="majorBidi" w:hAnsiTheme="majorBidi" w:cstheme="majorBidi"/>
          <w:sz w:val="24"/>
          <w:szCs w:val="24"/>
        </w:rPr>
        <w:t xml:space="preserve"> the no-property rule </w:t>
      </w:r>
      <w:r w:rsidR="006A418A">
        <w:rPr>
          <w:rFonts w:asciiTheme="majorBidi" w:hAnsiTheme="majorBidi" w:cstheme="majorBidi"/>
          <w:sz w:val="24"/>
          <w:szCs w:val="24"/>
        </w:rPr>
        <w:t>would be displaced by (or, rather, co-exist with) a property rule where the bodily part has</w:t>
      </w:r>
      <w:r w:rsidR="00D96FE8">
        <w:rPr>
          <w:rFonts w:asciiTheme="majorBidi" w:hAnsiTheme="majorBidi" w:cstheme="majorBidi"/>
          <w:sz w:val="24"/>
          <w:szCs w:val="24"/>
        </w:rPr>
        <w:t xml:space="preserve"> gone through some transformative work or skill</w:t>
      </w:r>
      <w:r w:rsidR="006A418A">
        <w:rPr>
          <w:rFonts w:asciiTheme="majorBidi" w:hAnsiTheme="majorBidi" w:cstheme="majorBidi"/>
          <w:sz w:val="24"/>
          <w:szCs w:val="24"/>
        </w:rPr>
        <w:t>; this exception was originally developed by the</w:t>
      </w:r>
      <w:r w:rsidR="00D96FE8">
        <w:rPr>
          <w:rFonts w:asciiTheme="majorBidi" w:hAnsiTheme="majorBidi" w:cstheme="majorBidi"/>
          <w:sz w:val="24"/>
          <w:szCs w:val="24"/>
        </w:rPr>
        <w:t xml:space="preserve"> Australian</w:t>
      </w:r>
      <w:r w:rsidR="006A418A">
        <w:rPr>
          <w:rFonts w:asciiTheme="majorBidi" w:hAnsiTheme="majorBidi" w:cstheme="majorBidi"/>
          <w:sz w:val="24"/>
          <w:szCs w:val="24"/>
        </w:rPr>
        <w:t xml:space="preserve"> High Court in</w:t>
      </w:r>
      <w:r w:rsidR="00D96FE8">
        <w:rPr>
          <w:rFonts w:asciiTheme="majorBidi" w:hAnsiTheme="majorBidi" w:cstheme="majorBidi"/>
          <w:sz w:val="24"/>
          <w:szCs w:val="24"/>
        </w:rPr>
        <w:t xml:space="preserve"> </w:t>
      </w:r>
      <w:r w:rsidR="00D96FE8" w:rsidRPr="006A418A">
        <w:rPr>
          <w:rFonts w:asciiTheme="majorBidi" w:hAnsiTheme="majorBidi" w:cstheme="majorBidi"/>
          <w:i/>
          <w:iCs/>
          <w:sz w:val="24"/>
          <w:szCs w:val="24"/>
        </w:rPr>
        <w:t>Doodeward v Spence</w:t>
      </w:r>
      <w:r w:rsidR="006A418A">
        <w:rPr>
          <w:rStyle w:val="FootnoteReference"/>
          <w:rFonts w:asciiTheme="majorBidi" w:hAnsiTheme="majorBidi" w:cstheme="majorBidi"/>
          <w:i/>
          <w:iCs/>
          <w:sz w:val="24"/>
          <w:szCs w:val="24"/>
        </w:rPr>
        <w:footnoteReference w:id="56"/>
      </w:r>
      <w:r w:rsidR="006A418A">
        <w:rPr>
          <w:rFonts w:asciiTheme="majorBidi" w:hAnsiTheme="majorBidi" w:cstheme="majorBidi"/>
          <w:sz w:val="24"/>
          <w:szCs w:val="24"/>
        </w:rPr>
        <w:t xml:space="preserve"> and has since been received into the law of England and Wales</w:t>
      </w:r>
      <w:r w:rsidR="00D96FE8">
        <w:rPr>
          <w:rFonts w:asciiTheme="majorBidi" w:hAnsiTheme="majorBidi" w:cstheme="majorBidi"/>
          <w:sz w:val="24"/>
          <w:szCs w:val="24"/>
        </w:rPr>
        <w:t>.</w:t>
      </w:r>
      <w:r w:rsidR="006A418A">
        <w:rPr>
          <w:rStyle w:val="FootnoteReference"/>
          <w:rFonts w:asciiTheme="majorBidi" w:hAnsiTheme="majorBidi" w:cstheme="majorBidi"/>
          <w:sz w:val="24"/>
          <w:szCs w:val="24"/>
        </w:rPr>
        <w:footnoteReference w:id="57"/>
      </w:r>
      <w:r w:rsidR="00D96FE8">
        <w:rPr>
          <w:rFonts w:asciiTheme="majorBidi" w:hAnsiTheme="majorBidi" w:cstheme="majorBidi"/>
          <w:sz w:val="24"/>
          <w:szCs w:val="24"/>
        </w:rPr>
        <w:t xml:space="preserve"> </w:t>
      </w:r>
      <w:r w:rsidR="006A418A">
        <w:rPr>
          <w:rFonts w:asciiTheme="majorBidi" w:hAnsiTheme="majorBidi" w:cstheme="majorBidi"/>
          <w:sz w:val="24"/>
          <w:szCs w:val="24"/>
        </w:rPr>
        <w:t>Wh</w:t>
      </w:r>
      <w:r w:rsidR="00D96FE8">
        <w:rPr>
          <w:rFonts w:asciiTheme="majorBidi" w:hAnsiTheme="majorBidi" w:cstheme="majorBidi"/>
          <w:sz w:val="24"/>
          <w:szCs w:val="24"/>
        </w:rPr>
        <w:t>e</w:t>
      </w:r>
      <w:r w:rsidR="006A418A">
        <w:rPr>
          <w:rFonts w:asciiTheme="majorBidi" w:hAnsiTheme="majorBidi" w:cstheme="majorBidi"/>
          <w:sz w:val="24"/>
          <w:szCs w:val="24"/>
        </w:rPr>
        <w:t>n</w:t>
      </w:r>
      <w:r w:rsidR="00D96FE8">
        <w:rPr>
          <w:rFonts w:asciiTheme="majorBidi" w:hAnsiTheme="majorBidi" w:cstheme="majorBidi"/>
          <w:sz w:val="24"/>
          <w:szCs w:val="24"/>
        </w:rPr>
        <w:t xml:space="preserve"> you</w:t>
      </w:r>
      <w:r w:rsidR="006A418A">
        <w:rPr>
          <w:rFonts w:asciiTheme="majorBidi" w:hAnsiTheme="majorBidi" w:cstheme="majorBidi"/>
          <w:sz w:val="24"/>
          <w:szCs w:val="24"/>
        </w:rPr>
        <w:t xml:space="preserve"> consider</w:t>
      </w:r>
      <w:r w:rsidR="00704D3E">
        <w:rPr>
          <w:rFonts w:asciiTheme="majorBidi" w:hAnsiTheme="majorBidi" w:cstheme="majorBidi"/>
          <w:sz w:val="24"/>
          <w:szCs w:val="24"/>
        </w:rPr>
        <w:t xml:space="preserve"> critically</w:t>
      </w:r>
      <w:r w:rsidR="00D96FE8">
        <w:rPr>
          <w:rFonts w:asciiTheme="majorBidi" w:hAnsiTheme="majorBidi" w:cstheme="majorBidi"/>
          <w:sz w:val="24"/>
          <w:szCs w:val="24"/>
        </w:rPr>
        <w:t xml:space="preserve"> the few cases that have applied this exception in England and Wales, whatever</w:t>
      </w:r>
      <w:r w:rsidR="006A2B8E">
        <w:rPr>
          <w:rFonts w:asciiTheme="majorBidi" w:hAnsiTheme="majorBidi" w:cstheme="majorBidi"/>
          <w:sz w:val="24"/>
          <w:szCs w:val="24"/>
        </w:rPr>
        <w:t xml:space="preserve"> are taken to represent the</w:t>
      </w:r>
      <w:r w:rsidR="00D96FE8">
        <w:rPr>
          <w:rFonts w:asciiTheme="majorBidi" w:hAnsiTheme="majorBidi" w:cstheme="majorBidi"/>
          <w:sz w:val="24"/>
          <w:szCs w:val="24"/>
        </w:rPr>
        <w:t xml:space="preserve"> scope and elements</w:t>
      </w:r>
      <w:r w:rsidR="006A2B8E">
        <w:rPr>
          <w:rFonts w:asciiTheme="majorBidi" w:hAnsiTheme="majorBidi" w:cstheme="majorBidi"/>
          <w:sz w:val="24"/>
          <w:szCs w:val="24"/>
        </w:rPr>
        <w:t xml:space="preserve"> of the exception</w:t>
      </w:r>
      <w:r w:rsidR="00D96FE8">
        <w:rPr>
          <w:rFonts w:asciiTheme="majorBidi" w:hAnsiTheme="majorBidi" w:cstheme="majorBidi"/>
          <w:sz w:val="24"/>
          <w:szCs w:val="24"/>
        </w:rPr>
        <w:t>,</w:t>
      </w:r>
      <w:r w:rsidR="00F572FD">
        <w:rPr>
          <w:rStyle w:val="FootnoteReference"/>
          <w:rFonts w:asciiTheme="majorBidi" w:hAnsiTheme="majorBidi" w:cstheme="majorBidi"/>
          <w:sz w:val="24"/>
          <w:szCs w:val="24"/>
        </w:rPr>
        <w:footnoteReference w:id="58"/>
      </w:r>
      <w:r w:rsidR="00D96FE8">
        <w:rPr>
          <w:rFonts w:asciiTheme="majorBidi" w:hAnsiTheme="majorBidi" w:cstheme="majorBidi"/>
          <w:sz w:val="24"/>
          <w:szCs w:val="24"/>
        </w:rPr>
        <w:t xml:space="preserve"> you realise that</w:t>
      </w:r>
      <w:r w:rsidR="002A04A5">
        <w:rPr>
          <w:rFonts w:asciiTheme="majorBidi" w:hAnsiTheme="majorBidi" w:cstheme="majorBidi"/>
          <w:sz w:val="24"/>
          <w:szCs w:val="24"/>
        </w:rPr>
        <w:t xml:space="preserve"> although</w:t>
      </w:r>
      <w:r w:rsidR="00D96FE8">
        <w:rPr>
          <w:rFonts w:asciiTheme="majorBidi" w:hAnsiTheme="majorBidi" w:cstheme="majorBidi"/>
          <w:sz w:val="24"/>
          <w:szCs w:val="24"/>
        </w:rPr>
        <w:t xml:space="preserve"> the exception</w:t>
      </w:r>
      <w:r w:rsidR="002A04A5">
        <w:rPr>
          <w:rFonts w:asciiTheme="majorBidi" w:hAnsiTheme="majorBidi" w:cstheme="majorBidi"/>
          <w:sz w:val="24"/>
          <w:szCs w:val="24"/>
        </w:rPr>
        <w:t xml:space="preserve"> </w:t>
      </w:r>
      <w:r w:rsidR="00217D04">
        <w:rPr>
          <w:rFonts w:asciiTheme="majorBidi" w:hAnsiTheme="majorBidi" w:cstheme="majorBidi"/>
          <w:sz w:val="24"/>
          <w:szCs w:val="24"/>
        </w:rPr>
        <w:t>reflects</w:t>
      </w:r>
      <w:r w:rsidR="002A04A5">
        <w:rPr>
          <w:rFonts w:asciiTheme="majorBidi" w:hAnsiTheme="majorBidi" w:cstheme="majorBidi"/>
          <w:sz w:val="24"/>
          <w:szCs w:val="24"/>
        </w:rPr>
        <w:t xml:space="preserve"> a duplex </w:t>
      </w:r>
      <w:r w:rsidR="00217D04">
        <w:rPr>
          <w:rFonts w:asciiTheme="majorBidi" w:hAnsiTheme="majorBidi" w:cstheme="majorBidi"/>
          <w:sz w:val="24"/>
          <w:szCs w:val="24"/>
        </w:rPr>
        <w:t>on bodily parts</w:t>
      </w:r>
      <w:r w:rsidR="002A04A5">
        <w:rPr>
          <w:rFonts w:asciiTheme="majorBidi" w:hAnsiTheme="majorBidi" w:cstheme="majorBidi"/>
          <w:sz w:val="24"/>
          <w:szCs w:val="24"/>
        </w:rPr>
        <w:t>, it is one that only favours the claims of</w:t>
      </w:r>
      <w:r w:rsidR="006A2B8E">
        <w:rPr>
          <w:rFonts w:asciiTheme="majorBidi" w:hAnsiTheme="majorBidi" w:cstheme="majorBidi"/>
          <w:sz w:val="24"/>
          <w:szCs w:val="24"/>
        </w:rPr>
        <w:t xml:space="preserve"> tissue user</w:t>
      </w:r>
      <w:r w:rsidR="005202EB">
        <w:rPr>
          <w:rFonts w:asciiTheme="majorBidi" w:hAnsiTheme="majorBidi" w:cstheme="majorBidi"/>
          <w:sz w:val="24"/>
          <w:szCs w:val="24"/>
        </w:rPr>
        <w:t>s</w:t>
      </w:r>
      <w:r w:rsidR="006A2B8E">
        <w:rPr>
          <w:rFonts w:asciiTheme="majorBidi" w:hAnsiTheme="majorBidi" w:cstheme="majorBidi"/>
          <w:sz w:val="24"/>
          <w:szCs w:val="24"/>
        </w:rPr>
        <w:t>/innovator</w:t>
      </w:r>
      <w:r w:rsidR="005202EB">
        <w:rPr>
          <w:rFonts w:asciiTheme="majorBidi" w:hAnsiTheme="majorBidi" w:cstheme="majorBidi"/>
          <w:sz w:val="24"/>
          <w:szCs w:val="24"/>
        </w:rPr>
        <w:t>s</w:t>
      </w:r>
      <w:r w:rsidR="006A2B8E">
        <w:rPr>
          <w:rFonts w:asciiTheme="majorBidi" w:hAnsiTheme="majorBidi" w:cstheme="majorBidi"/>
          <w:sz w:val="24"/>
          <w:szCs w:val="24"/>
        </w:rPr>
        <w:t xml:space="preserve">. </w:t>
      </w:r>
      <w:r w:rsidR="00D96FE8" w:rsidRPr="00D96FE8">
        <w:rPr>
          <w:rFonts w:asciiTheme="majorBidi" w:hAnsiTheme="majorBidi" w:cstheme="majorBidi"/>
          <w:i/>
          <w:iCs/>
          <w:sz w:val="24"/>
          <w:szCs w:val="24"/>
        </w:rPr>
        <w:t>Dobson,</w:t>
      </w:r>
      <w:r w:rsidR="00D96FE8">
        <w:rPr>
          <w:rFonts w:asciiTheme="majorBidi" w:hAnsiTheme="majorBidi" w:cstheme="majorBidi"/>
          <w:sz w:val="24"/>
          <w:szCs w:val="24"/>
        </w:rPr>
        <w:t xml:space="preserve"> for instance,</w:t>
      </w:r>
      <w:r w:rsidR="004A48E0">
        <w:rPr>
          <w:rFonts w:asciiTheme="majorBidi" w:hAnsiTheme="majorBidi" w:cstheme="majorBidi"/>
          <w:sz w:val="24"/>
          <w:szCs w:val="24"/>
        </w:rPr>
        <w:t xml:space="preserve"> concerned the excised brain tissues of the deceased</w:t>
      </w:r>
      <w:r w:rsidR="00217D04">
        <w:rPr>
          <w:rFonts w:asciiTheme="majorBidi" w:hAnsiTheme="majorBidi" w:cstheme="majorBidi"/>
          <w:sz w:val="24"/>
          <w:szCs w:val="24"/>
        </w:rPr>
        <w:t xml:space="preserve"> </w:t>
      </w:r>
      <w:r w:rsidR="004A48E0">
        <w:rPr>
          <w:rFonts w:asciiTheme="majorBidi" w:hAnsiTheme="majorBidi" w:cstheme="majorBidi"/>
          <w:sz w:val="24"/>
          <w:szCs w:val="24"/>
        </w:rPr>
        <w:t>preserved in paraffin; the claimant’s proprietary claim</w:t>
      </w:r>
      <w:r w:rsidR="00217D04">
        <w:rPr>
          <w:rFonts w:asciiTheme="majorBidi" w:hAnsiTheme="majorBidi" w:cstheme="majorBidi"/>
          <w:sz w:val="24"/>
          <w:szCs w:val="24"/>
        </w:rPr>
        <w:t xml:space="preserve"> (through her estate)</w:t>
      </w:r>
      <w:r w:rsidR="004A48E0">
        <w:rPr>
          <w:rFonts w:asciiTheme="majorBidi" w:hAnsiTheme="majorBidi" w:cstheme="majorBidi"/>
          <w:sz w:val="24"/>
          <w:szCs w:val="24"/>
        </w:rPr>
        <w:t xml:space="preserve"> based on the work or skill exception failed </w:t>
      </w:r>
      <w:r w:rsidR="006B273A">
        <w:rPr>
          <w:rFonts w:asciiTheme="majorBidi" w:hAnsiTheme="majorBidi" w:cstheme="majorBidi"/>
          <w:sz w:val="24"/>
          <w:szCs w:val="24"/>
        </w:rPr>
        <w:t>on the ground that the preservative work on the brain was not sufficient</w:t>
      </w:r>
      <w:r w:rsidR="00E00825">
        <w:rPr>
          <w:rFonts w:asciiTheme="majorBidi" w:hAnsiTheme="majorBidi" w:cstheme="majorBidi"/>
          <w:sz w:val="24"/>
          <w:szCs w:val="24"/>
        </w:rPr>
        <w:t xml:space="preserve"> to trigger the </w:t>
      </w:r>
      <w:r w:rsidR="006B273A">
        <w:rPr>
          <w:rFonts w:asciiTheme="majorBidi" w:hAnsiTheme="majorBidi" w:cstheme="majorBidi"/>
          <w:sz w:val="24"/>
          <w:szCs w:val="24"/>
        </w:rPr>
        <w:t>exception; yet</w:t>
      </w:r>
      <w:r w:rsidR="00E00825">
        <w:rPr>
          <w:rFonts w:asciiTheme="majorBidi" w:hAnsiTheme="majorBidi" w:cstheme="majorBidi"/>
          <w:sz w:val="24"/>
          <w:szCs w:val="24"/>
        </w:rPr>
        <w:t xml:space="preserve"> that very same type of</w:t>
      </w:r>
      <w:r w:rsidR="006B273A">
        <w:rPr>
          <w:rFonts w:asciiTheme="majorBidi" w:hAnsiTheme="majorBidi" w:cstheme="majorBidi"/>
          <w:sz w:val="24"/>
          <w:szCs w:val="24"/>
        </w:rPr>
        <w:t xml:space="preserve"> preservative work was deemed sufficient </w:t>
      </w:r>
      <w:r w:rsidR="00E00825">
        <w:rPr>
          <w:rFonts w:asciiTheme="majorBidi" w:hAnsiTheme="majorBidi" w:cstheme="majorBidi"/>
          <w:sz w:val="24"/>
          <w:szCs w:val="24"/>
        </w:rPr>
        <w:t>to engender a</w:t>
      </w:r>
      <w:r w:rsidR="006B273A">
        <w:rPr>
          <w:rFonts w:asciiTheme="majorBidi" w:hAnsiTheme="majorBidi" w:cstheme="majorBidi"/>
          <w:sz w:val="24"/>
          <w:szCs w:val="24"/>
        </w:rPr>
        <w:t xml:space="preserve"> prop</w:t>
      </w:r>
      <w:r w:rsidR="00E00825">
        <w:rPr>
          <w:rFonts w:asciiTheme="majorBidi" w:hAnsiTheme="majorBidi" w:cstheme="majorBidi"/>
          <w:sz w:val="24"/>
          <w:szCs w:val="24"/>
        </w:rPr>
        <w:t>rietary</w:t>
      </w:r>
      <w:r w:rsidR="006B273A">
        <w:rPr>
          <w:rFonts w:asciiTheme="majorBidi" w:hAnsiTheme="majorBidi" w:cstheme="majorBidi"/>
          <w:sz w:val="24"/>
          <w:szCs w:val="24"/>
        </w:rPr>
        <w:t xml:space="preserve"> rule under the exception in</w:t>
      </w:r>
      <w:r w:rsidR="00E00825">
        <w:rPr>
          <w:rFonts w:asciiTheme="majorBidi" w:hAnsiTheme="majorBidi" w:cstheme="majorBidi"/>
          <w:sz w:val="24"/>
          <w:szCs w:val="24"/>
        </w:rPr>
        <w:t xml:space="preserve"> favour of</w:t>
      </w:r>
      <w:r w:rsidR="00215FF0">
        <w:rPr>
          <w:rFonts w:asciiTheme="majorBidi" w:hAnsiTheme="majorBidi" w:cstheme="majorBidi"/>
          <w:sz w:val="24"/>
          <w:szCs w:val="24"/>
        </w:rPr>
        <w:t xml:space="preserve"> the</w:t>
      </w:r>
      <w:r w:rsidR="006B273A">
        <w:rPr>
          <w:rFonts w:asciiTheme="majorBidi" w:hAnsiTheme="majorBidi" w:cstheme="majorBidi"/>
          <w:sz w:val="24"/>
          <w:szCs w:val="24"/>
        </w:rPr>
        <w:t xml:space="preserve"> claims</w:t>
      </w:r>
      <w:r w:rsidR="00215FF0">
        <w:rPr>
          <w:rFonts w:asciiTheme="majorBidi" w:hAnsiTheme="majorBidi" w:cstheme="majorBidi"/>
          <w:sz w:val="24"/>
          <w:szCs w:val="24"/>
        </w:rPr>
        <w:t xml:space="preserve"> of a </w:t>
      </w:r>
      <w:r w:rsidR="006B273A">
        <w:rPr>
          <w:rFonts w:asciiTheme="majorBidi" w:hAnsiTheme="majorBidi" w:cstheme="majorBidi"/>
          <w:sz w:val="24"/>
          <w:szCs w:val="24"/>
        </w:rPr>
        <w:t xml:space="preserve">tissue user/innovator in </w:t>
      </w:r>
      <w:r w:rsidR="006B273A" w:rsidRPr="006B273A">
        <w:rPr>
          <w:rFonts w:asciiTheme="majorBidi" w:hAnsiTheme="majorBidi" w:cstheme="majorBidi"/>
          <w:i/>
          <w:iCs/>
          <w:sz w:val="24"/>
          <w:szCs w:val="24"/>
        </w:rPr>
        <w:t>Doodeward</w:t>
      </w:r>
      <w:r w:rsidR="00E00825">
        <w:rPr>
          <w:rFonts w:asciiTheme="majorBidi" w:hAnsiTheme="majorBidi" w:cstheme="majorBidi"/>
          <w:sz w:val="24"/>
          <w:szCs w:val="24"/>
        </w:rPr>
        <w:t xml:space="preserve">; recall that </w:t>
      </w:r>
      <w:r w:rsidR="006B273A">
        <w:rPr>
          <w:rFonts w:asciiTheme="majorBidi" w:hAnsiTheme="majorBidi" w:cstheme="majorBidi"/>
          <w:sz w:val="24"/>
          <w:szCs w:val="24"/>
        </w:rPr>
        <w:t>the claimant/exhibitor</w:t>
      </w:r>
      <w:r w:rsidR="00E00825">
        <w:rPr>
          <w:rFonts w:asciiTheme="majorBidi" w:hAnsiTheme="majorBidi" w:cstheme="majorBidi"/>
          <w:sz w:val="24"/>
          <w:szCs w:val="24"/>
        </w:rPr>
        <w:t xml:space="preserve"> in </w:t>
      </w:r>
      <w:r w:rsidR="00E00825" w:rsidRPr="00E00825">
        <w:rPr>
          <w:rFonts w:asciiTheme="majorBidi" w:hAnsiTheme="majorBidi" w:cstheme="majorBidi"/>
          <w:i/>
          <w:iCs/>
          <w:sz w:val="24"/>
          <w:szCs w:val="24"/>
        </w:rPr>
        <w:t>Doodeward</w:t>
      </w:r>
      <w:r w:rsidR="006B273A">
        <w:rPr>
          <w:rFonts w:asciiTheme="majorBidi" w:hAnsiTheme="majorBidi" w:cstheme="majorBidi"/>
          <w:sz w:val="24"/>
          <w:szCs w:val="24"/>
        </w:rPr>
        <w:t xml:space="preserve"> bought th</w:t>
      </w:r>
      <w:r w:rsidR="00215FF0">
        <w:rPr>
          <w:rFonts w:asciiTheme="majorBidi" w:hAnsiTheme="majorBidi" w:cstheme="majorBidi"/>
          <w:sz w:val="24"/>
          <w:szCs w:val="24"/>
        </w:rPr>
        <w:t xml:space="preserve">e preserved double-headed still </w:t>
      </w:r>
      <w:r w:rsidR="006B273A">
        <w:rPr>
          <w:rFonts w:asciiTheme="majorBidi" w:hAnsiTheme="majorBidi" w:cstheme="majorBidi"/>
          <w:sz w:val="24"/>
          <w:szCs w:val="24"/>
        </w:rPr>
        <w:t>born foetus from a medical doctor</w:t>
      </w:r>
      <w:r w:rsidR="00215FF0">
        <w:rPr>
          <w:rFonts w:asciiTheme="majorBidi" w:hAnsiTheme="majorBidi" w:cstheme="majorBidi"/>
          <w:sz w:val="24"/>
          <w:szCs w:val="24"/>
        </w:rPr>
        <w:t xml:space="preserve"> who allegedly applied work or skill on the foetus</w:t>
      </w:r>
      <w:r w:rsidR="005202EB">
        <w:rPr>
          <w:rFonts w:asciiTheme="majorBidi" w:hAnsiTheme="majorBidi" w:cstheme="majorBidi"/>
          <w:sz w:val="24"/>
          <w:szCs w:val="24"/>
        </w:rPr>
        <w:t xml:space="preserve"> (preservation in spirits)</w:t>
      </w:r>
      <w:r w:rsidR="00215FF0">
        <w:rPr>
          <w:rFonts w:asciiTheme="majorBidi" w:hAnsiTheme="majorBidi" w:cstheme="majorBidi"/>
          <w:sz w:val="24"/>
          <w:szCs w:val="24"/>
        </w:rPr>
        <w:t>;</w:t>
      </w:r>
      <w:r w:rsidR="00E00825">
        <w:rPr>
          <w:rFonts w:asciiTheme="majorBidi" w:hAnsiTheme="majorBidi" w:cstheme="majorBidi"/>
          <w:sz w:val="24"/>
          <w:szCs w:val="24"/>
        </w:rPr>
        <w:t xml:space="preserve"> </w:t>
      </w:r>
      <w:r w:rsidR="00215FF0">
        <w:rPr>
          <w:rFonts w:asciiTheme="majorBidi" w:hAnsiTheme="majorBidi" w:cstheme="majorBidi"/>
          <w:sz w:val="24"/>
          <w:szCs w:val="24"/>
        </w:rPr>
        <w:t>s</w:t>
      </w:r>
      <w:r w:rsidR="00E00825">
        <w:rPr>
          <w:rFonts w:asciiTheme="majorBidi" w:hAnsiTheme="majorBidi" w:cstheme="majorBidi"/>
          <w:sz w:val="24"/>
          <w:szCs w:val="24"/>
        </w:rPr>
        <w:t>o</w:t>
      </w:r>
      <w:r w:rsidR="00215FF0" w:rsidRPr="00215FF0">
        <w:rPr>
          <w:rFonts w:asciiTheme="majorBidi" w:hAnsiTheme="majorBidi" w:cstheme="majorBidi"/>
          <w:i/>
          <w:iCs/>
          <w:sz w:val="24"/>
          <w:szCs w:val="24"/>
        </w:rPr>
        <w:t xml:space="preserve"> </w:t>
      </w:r>
      <w:r w:rsidR="00215FF0" w:rsidRPr="006B273A">
        <w:rPr>
          <w:rFonts w:asciiTheme="majorBidi" w:hAnsiTheme="majorBidi" w:cstheme="majorBidi"/>
          <w:i/>
          <w:iCs/>
          <w:sz w:val="24"/>
          <w:szCs w:val="24"/>
        </w:rPr>
        <w:t>Doodeward</w:t>
      </w:r>
      <w:r w:rsidR="00E00825">
        <w:rPr>
          <w:rFonts w:asciiTheme="majorBidi" w:hAnsiTheme="majorBidi" w:cstheme="majorBidi"/>
          <w:sz w:val="24"/>
          <w:szCs w:val="24"/>
        </w:rPr>
        <w:t xml:space="preserve"> was essentially a claim by a tissue innovator. Similarly, a bit more preservative work on bodily parts in</w:t>
      </w:r>
      <w:r w:rsidR="006B273A">
        <w:rPr>
          <w:rFonts w:asciiTheme="majorBidi" w:hAnsiTheme="majorBidi" w:cstheme="majorBidi"/>
          <w:sz w:val="24"/>
          <w:szCs w:val="24"/>
        </w:rPr>
        <w:t xml:space="preserve"> </w:t>
      </w:r>
      <w:r w:rsidR="006B273A" w:rsidRPr="006B273A">
        <w:rPr>
          <w:rFonts w:asciiTheme="majorBidi" w:hAnsiTheme="majorBidi" w:cstheme="majorBidi"/>
          <w:i/>
          <w:iCs/>
          <w:sz w:val="24"/>
          <w:szCs w:val="24"/>
        </w:rPr>
        <w:t>Kelly</w:t>
      </w:r>
      <w:r w:rsidR="00215FF0">
        <w:rPr>
          <w:rFonts w:asciiTheme="majorBidi" w:hAnsiTheme="majorBidi" w:cstheme="majorBidi"/>
          <w:sz w:val="24"/>
          <w:szCs w:val="24"/>
        </w:rPr>
        <w:t xml:space="preserve"> (preserved and dissected bodily parts in the mortuary of the Royal College of Surgeons)</w:t>
      </w:r>
      <w:r w:rsidR="006B273A" w:rsidRPr="006B273A">
        <w:rPr>
          <w:rFonts w:asciiTheme="majorBidi" w:hAnsiTheme="majorBidi" w:cstheme="majorBidi"/>
          <w:i/>
          <w:iCs/>
          <w:sz w:val="24"/>
          <w:szCs w:val="24"/>
        </w:rPr>
        <w:t xml:space="preserve"> </w:t>
      </w:r>
      <w:r w:rsidR="006B273A">
        <w:rPr>
          <w:rFonts w:asciiTheme="majorBidi" w:hAnsiTheme="majorBidi" w:cstheme="majorBidi"/>
          <w:sz w:val="24"/>
          <w:szCs w:val="24"/>
        </w:rPr>
        <w:t xml:space="preserve">and </w:t>
      </w:r>
      <w:r w:rsidR="006B273A" w:rsidRPr="006B273A">
        <w:rPr>
          <w:rFonts w:asciiTheme="majorBidi" w:hAnsiTheme="majorBidi" w:cstheme="majorBidi"/>
          <w:i/>
          <w:iCs/>
          <w:sz w:val="24"/>
          <w:szCs w:val="24"/>
        </w:rPr>
        <w:t>AB v Leeds</w:t>
      </w:r>
      <w:r w:rsidR="00215FF0">
        <w:rPr>
          <w:rFonts w:asciiTheme="majorBidi" w:hAnsiTheme="majorBidi" w:cstheme="majorBidi"/>
          <w:sz w:val="24"/>
          <w:szCs w:val="24"/>
        </w:rPr>
        <w:t xml:space="preserve"> (dissected bodily parts of</w:t>
      </w:r>
      <w:r w:rsidR="005202EB">
        <w:rPr>
          <w:rFonts w:asciiTheme="majorBidi" w:hAnsiTheme="majorBidi" w:cstheme="majorBidi"/>
          <w:sz w:val="24"/>
          <w:szCs w:val="24"/>
        </w:rPr>
        <w:t xml:space="preserve"> the</w:t>
      </w:r>
      <w:r w:rsidR="00215FF0">
        <w:rPr>
          <w:rFonts w:asciiTheme="majorBidi" w:hAnsiTheme="majorBidi" w:cstheme="majorBidi"/>
          <w:sz w:val="24"/>
          <w:szCs w:val="24"/>
        </w:rPr>
        <w:t xml:space="preserve"> deceased children involved in the Alder Hey scandal)</w:t>
      </w:r>
      <w:r w:rsidR="00E00825">
        <w:rPr>
          <w:rFonts w:asciiTheme="majorBidi" w:hAnsiTheme="majorBidi" w:cstheme="majorBidi"/>
          <w:sz w:val="24"/>
          <w:szCs w:val="24"/>
        </w:rPr>
        <w:t xml:space="preserve"> was held sufficient for the proprietary interests of the physician</w:t>
      </w:r>
      <w:r w:rsidR="00215FF0">
        <w:rPr>
          <w:rFonts w:asciiTheme="majorBidi" w:hAnsiTheme="majorBidi" w:cstheme="majorBidi"/>
          <w:sz w:val="24"/>
          <w:szCs w:val="24"/>
        </w:rPr>
        <w:t>/innovators in both cases under the exception.</w:t>
      </w:r>
      <w:r w:rsidR="00E00825">
        <w:rPr>
          <w:rFonts w:asciiTheme="majorBidi" w:hAnsiTheme="majorBidi" w:cstheme="majorBidi"/>
          <w:sz w:val="24"/>
          <w:szCs w:val="24"/>
        </w:rPr>
        <w:t xml:space="preserve"> </w:t>
      </w:r>
      <w:r w:rsidR="006B273A">
        <w:rPr>
          <w:rFonts w:asciiTheme="majorBidi" w:hAnsiTheme="majorBidi" w:cstheme="majorBidi"/>
          <w:sz w:val="24"/>
          <w:szCs w:val="24"/>
        </w:rPr>
        <w:t>Even</w:t>
      </w:r>
      <w:r w:rsidR="0059494F">
        <w:rPr>
          <w:rFonts w:asciiTheme="majorBidi" w:hAnsiTheme="majorBidi" w:cstheme="majorBidi"/>
          <w:sz w:val="24"/>
          <w:szCs w:val="24"/>
        </w:rPr>
        <w:t xml:space="preserve"> when the courts</w:t>
      </w:r>
      <w:r w:rsidR="00206BD0">
        <w:rPr>
          <w:rFonts w:asciiTheme="majorBidi" w:hAnsiTheme="majorBidi" w:cstheme="majorBidi"/>
          <w:sz w:val="24"/>
          <w:szCs w:val="24"/>
        </w:rPr>
        <w:t xml:space="preserve"> use some other interpretive mechanisms to</w:t>
      </w:r>
      <w:r w:rsidR="0059494F">
        <w:rPr>
          <w:rFonts w:asciiTheme="majorBidi" w:hAnsiTheme="majorBidi" w:cstheme="majorBidi"/>
          <w:sz w:val="24"/>
          <w:szCs w:val="24"/>
        </w:rPr>
        <w:t xml:space="preserve"> recognise a prop</w:t>
      </w:r>
      <w:r w:rsidR="00206BD0">
        <w:rPr>
          <w:rFonts w:asciiTheme="majorBidi" w:hAnsiTheme="majorBidi" w:cstheme="majorBidi"/>
          <w:sz w:val="24"/>
          <w:szCs w:val="24"/>
        </w:rPr>
        <w:t>rietary interest</w:t>
      </w:r>
      <w:r w:rsidR="0059494F">
        <w:rPr>
          <w:rFonts w:asciiTheme="majorBidi" w:hAnsiTheme="majorBidi" w:cstheme="majorBidi"/>
          <w:sz w:val="24"/>
          <w:szCs w:val="24"/>
        </w:rPr>
        <w:t xml:space="preserve"> in bodily parts</w:t>
      </w:r>
      <w:r w:rsidR="006B273A">
        <w:rPr>
          <w:rFonts w:asciiTheme="majorBidi" w:hAnsiTheme="majorBidi" w:cstheme="majorBidi"/>
          <w:sz w:val="24"/>
          <w:szCs w:val="24"/>
        </w:rPr>
        <w:t xml:space="preserve"> outside the work or skill exception,</w:t>
      </w:r>
      <w:r w:rsidR="00FD41CD">
        <w:rPr>
          <w:rFonts w:asciiTheme="majorBidi" w:hAnsiTheme="majorBidi" w:cstheme="majorBidi"/>
          <w:sz w:val="24"/>
          <w:szCs w:val="24"/>
        </w:rPr>
        <w:t xml:space="preserve"> such interpretations</w:t>
      </w:r>
      <w:r w:rsidR="00663D63">
        <w:rPr>
          <w:rFonts w:asciiTheme="majorBidi" w:hAnsiTheme="majorBidi" w:cstheme="majorBidi"/>
          <w:sz w:val="24"/>
          <w:szCs w:val="24"/>
        </w:rPr>
        <w:t xml:space="preserve"> have</w:t>
      </w:r>
      <w:r w:rsidR="00206BD0">
        <w:rPr>
          <w:rFonts w:asciiTheme="majorBidi" w:hAnsiTheme="majorBidi" w:cstheme="majorBidi"/>
          <w:sz w:val="24"/>
          <w:szCs w:val="24"/>
        </w:rPr>
        <w:t xml:space="preserve"> also usually</w:t>
      </w:r>
      <w:r w:rsidR="0059494F">
        <w:rPr>
          <w:rFonts w:asciiTheme="majorBidi" w:hAnsiTheme="majorBidi" w:cstheme="majorBidi"/>
          <w:sz w:val="24"/>
          <w:szCs w:val="24"/>
        </w:rPr>
        <w:t xml:space="preserve"> inure</w:t>
      </w:r>
      <w:r w:rsidR="00663D63">
        <w:rPr>
          <w:rFonts w:asciiTheme="majorBidi" w:hAnsiTheme="majorBidi" w:cstheme="majorBidi"/>
          <w:sz w:val="24"/>
          <w:szCs w:val="24"/>
        </w:rPr>
        <w:t>d</w:t>
      </w:r>
      <w:r w:rsidR="0059494F">
        <w:rPr>
          <w:rFonts w:asciiTheme="majorBidi" w:hAnsiTheme="majorBidi" w:cstheme="majorBidi"/>
          <w:sz w:val="24"/>
          <w:szCs w:val="24"/>
        </w:rPr>
        <w:t xml:space="preserve"> to</w:t>
      </w:r>
      <w:r w:rsidR="00206BD0">
        <w:rPr>
          <w:rFonts w:asciiTheme="majorBidi" w:hAnsiTheme="majorBidi" w:cstheme="majorBidi"/>
          <w:sz w:val="24"/>
          <w:szCs w:val="24"/>
        </w:rPr>
        <w:t xml:space="preserve"> the benefit </w:t>
      </w:r>
      <w:r w:rsidR="0059494F">
        <w:rPr>
          <w:rFonts w:asciiTheme="majorBidi" w:hAnsiTheme="majorBidi" w:cstheme="majorBidi"/>
          <w:sz w:val="24"/>
          <w:szCs w:val="24"/>
        </w:rPr>
        <w:t>of tissue</w:t>
      </w:r>
      <w:r w:rsidR="00206BD0">
        <w:rPr>
          <w:rFonts w:asciiTheme="majorBidi" w:hAnsiTheme="majorBidi" w:cstheme="majorBidi"/>
          <w:sz w:val="24"/>
          <w:szCs w:val="24"/>
        </w:rPr>
        <w:t xml:space="preserve"> users and</w:t>
      </w:r>
      <w:r w:rsidR="0059494F">
        <w:rPr>
          <w:rFonts w:asciiTheme="majorBidi" w:hAnsiTheme="majorBidi" w:cstheme="majorBidi"/>
          <w:sz w:val="24"/>
          <w:szCs w:val="24"/>
        </w:rPr>
        <w:t xml:space="preserve"> innovators</w:t>
      </w:r>
      <w:r w:rsidR="00FD41CD">
        <w:rPr>
          <w:rFonts w:asciiTheme="majorBidi" w:hAnsiTheme="majorBidi" w:cstheme="majorBidi"/>
          <w:sz w:val="24"/>
          <w:szCs w:val="24"/>
        </w:rPr>
        <w:t xml:space="preserve"> only</w:t>
      </w:r>
      <w:r w:rsidR="00206BD0">
        <w:rPr>
          <w:rFonts w:asciiTheme="majorBidi" w:hAnsiTheme="majorBidi" w:cstheme="majorBidi"/>
          <w:sz w:val="24"/>
          <w:szCs w:val="24"/>
        </w:rPr>
        <w:t>.</w:t>
      </w:r>
      <w:r w:rsidR="0059494F">
        <w:rPr>
          <w:rFonts w:asciiTheme="majorBidi" w:hAnsiTheme="majorBidi" w:cstheme="majorBidi"/>
          <w:sz w:val="24"/>
          <w:szCs w:val="24"/>
        </w:rPr>
        <w:t xml:space="preserve"> </w:t>
      </w:r>
      <w:r w:rsidR="00206BD0">
        <w:rPr>
          <w:rFonts w:asciiTheme="majorBidi" w:hAnsiTheme="majorBidi" w:cstheme="majorBidi"/>
          <w:sz w:val="24"/>
          <w:szCs w:val="24"/>
        </w:rPr>
        <w:t>S</w:t>
      </w:r>
      <w:r w:rsidR="0059494F">
        <w:rPr>
          <w:rFonts w:asciiTheme="majorBidi" w:hAnsiTheme="majorBidi" w:cstheme="majorBidi"/>
          <w:sz w:val="24"/>
          <w:szCs w:val="24"/>
        </w:rPr>
        <w:t>ome American cases are paradigmatic</w:t>
      </w:r>
      <w:r w:rsidR="00FA51C1">
        <w:rPr>
          <w:rFonts w:asciiTheme="majorBidi" w:hAnsiTheme="majorBidi" w:cstheme="majorBidi"/>
          <w:sz w:val="24"/>
          <w:szCs w:val="24"/>
        </w:rPr>
        <w:t xml:space="preserve"> examples</w:t>
      </w:r>
      <w:r w:rsidR="0059494F">
        <w:rPr>
          <w:rFonts w:asciiTheme="majorBidi" w:hAnsiTheme="majorBidi" w:cstheme="majorBidi"/>
          <w:sz w:val="24"/>
          <w:szCs w:val="24"/>
        </w:rPr>
        <w:t>.</w:t>
      </w:r>
      <w:r w:rsidR="006B273A">
        <w:rPr>
          <w:rFonts w:asciiTheme="majorBidi" w:hAnsiTheme="majorBidi" w:cstheme="majorBidi"/>
          <w:sz w:val="24"/>
          <w:szCs w:val="24"/>
        </w:rPr>
        <w:t xml:space="preserve"> </w:t>
      </w:r>
      <w:r w:rsidR="0059494F">
        <w:rPr>
          <w:rFonts w:asciiTheme="majorBidi" w:hAnsiTheme="majorBidi" w:cstheme="majorBidi"/>
          <w:sz w:val="24"/>
          <w:szCs w:val="24"/>
        </w:rPr>
        <w:t>In</w:t>
      </w:r>
      <w:r w:rsidR="006B273A">
        <w:rPr>
          <w:rFonts w:asciiTheme="majorBidi" w:hAnsiTheme="majorBidi" w:cstheme="majorBidi"/>
          <w:sz w:val="24"/>
          <w:szCs w:val="24"/>
        </w:rPr>
        <w:t xml:space="preserve"> </w:t>
      </w:r>
      <w:r w:rsidR="006B273A" w:rsidRPr="0059494F">
        <w:rPr>
          <w:rFonts w:asciiTheme="majorBidi" w:hAnsiTheme="majorBidi" w:cstheme="majorBidi"/>
          <w:i/>
          <w:iCs/>
          <w:sz w:val="24"/>
          <w:szCs w:val="24"/>
        </w:rPr>
        <w:t>Washington</w:t>
      </w:r>
      <w:r w:rsidR="0059494F" w:rsidRPr="0059494F">
        <w:rPr>
          <w:rFonts w:asciiTheme="majorBidi" w:hAnsiTheme="majorBidi" w:cstheme="majorBidi"/>
          <w:i/>
          <w:iCs/>
          <w:sz w:val="24"/>
          <w:szCs w:val="24"/>
        </w:rPr>
        <w:t xml:space="preserve"> University</w:t>
      </w:r>
      <w:r w:rsidR="006B273A" w:rsidRPr="0059494F">
        <w:rPr>
          <w:rFonts w:asciiTheme="majorBidi" w:hAnsiTheme="majorBidi" w:cstheme="majorBidi"/>
          <w:i/>
          <w:iCs/>
          <w:sz w:val="24"/>
          <w:szCs w:val="24"/>
        </w:rPr>
        <w:t xml:space="preserve"> v Cat</w:t>
      </w:r>
      <w:r w:rsidR="0059494F" w:rsidRPr="0059494F">
        <w:rPr>
          <w:rFonts w:asciiTheme="majorBidi" w:hAnsiTheme="majorBidi" w:cstheme="majorBidi"/>
          <w:i/>
          <w:iCs/>
          <w:sz w:val="24"/>
          <w:szCs w:val="24"/>
        </w:rPr>
        <w:t>a</w:t>
      </w:r>
      <w:r w:rsidR="006B273A" w:rsidRPr="0059494F">
        <w:rPr>
          <w:rFonts w:asciiTheme="majorBidi" w:hAnsiTheme="majorBidi" w:cstheme="majorBidi"/>
          <w:i/>
          <w:iCs/>
          <w:sz w:val="24"/>
          <w:szCs w:val="24"/>
        </w:rPr>
        <w:t>lona</w:t>
      </w:r>
      <w:r w:rsidR="0059494F">
        <w:rPr>
          <w:rStyle w:val="FootnoteReference"/>
          <w:rFonts w:asciiTheme="majorBidi" w:hAnsiTheme="majorBidi" w:cstheme="majorBidi"/>
          <w:sz w:val="24"/>
          <w:szCs w:val="24"/>
        </w:rPr>
        <w:footnoteReference w:id="59"/>
      </w:r>
      <w:r w:rsidR="0059494F">
        <w:rPr>
          <w:rFonts w:asciiTheme="majorBidi" w:hAnsiTheme="majorBidi" w:cstheme="majorBidi"/>
          <w:sz w:val="24"/>
          <w:szCs w:val="24"/>
        </w:rPr>
        <w:t xml:space="preserve"> and </w:t>
      </w:r>
      <w:r w:rsidR="0059494F" w:rsidRPr="0059494F">
        <w:rPr>
          <w:rFonts w:asciiTheme="majorBidi" w:hAnsiTheme="majorBidi" w:cstheme="majorBidi"/>
          <w:i/>
          <w:iCs/>
          <w:sz w:val="24"/>
          <w:szCs w:val="24"/>
        </w:rPr>
        <w:t>Greenberg v Miami Children’s Hospital Res. Inst.</w:t>
      </w:r>
      <w:r w:rsidR="0059494F">
        <w:rPr>
          <w:rFonts w:asciiTheme="majorBidi" w:hAnsiTheme="majorBidi" w:cstheme="majorBidi"/>
          <w:sz w:val="24"/>
          <w:szCs w:val="24"/>
        </w:rPr>
        <w:t>,</w:t>
      </w:r>
      <w:r w:rsidR="0059494F">
        <w:rPr>
          <w:rStyle w:val="FootnoteReference"/>
          <w:rFonts w:asciiTheme="majorBidi" w:hAnsiTheme="majorBidi" w:cstheme="majorBidi"/>
          <w:sz w:val="24"/>
          <w:szCs w:val="24"/>
        </w:rPr>
        <w:footnoteReference w:id="60"/>
      </w:r>
      <w:r w:rsidR="0059494F">
        <w:rPr>
          <w:rFonts w:asciiTheme="majorBidi" w:hAnsiTheme="majorBidi" w:cstheme="majorBidi"/>
          <w:sz w:val="24"/>
          <w:szCs w:val="24"/>
        </w:rPr>
        <w:t xml:space="preserve"> for instance,</w:t>
      </w:r>
      <w:r w:rsidR="00080444">
        <w:rPr>
          <w:rFonts w:asciiTheme="majorBidi" w:hAnsiTheme="majorBidi" w:cstheme="majorBidi"/>
          <w:sz w:val="24"/>
          <w:szCs w:val="24"/>
        </w:rPr>
        <w:t xml:space="preserve"> the court</w:t>
      </w:r>
      <w:r w:rsidR="00FA51C1">
        <w:rPr>
          <w:rFonts w:asciiTheme="majorBidi" w:hAnsiTheme="majorBidi" w:cstheme="majorBidi"/>
          <w:sz w:val="24"/>
          <w:szCs w:val="24"/>
        </w:rPr>
        <w:t>s</w:t>
      </w:r>
      <w:r w:rsidR="006C1D7B">
        <w:rPr>
          <w:rFonts w:asciiTheme="majorBidi" w:hAnsiTheme="majorBidi" w:cstheme="majorBidi"/>
          <w:sz w:val="24"/>
          <w:szCs w:val="24"/>
        </w:rPr>
        <w:t xml:space="preserve"> failed to recognise</w:t>
      </w:r>
      <w:r w:rsidR="00080444">
        <w:rPr>
          <w:rFonts w:asciiTheme="majorBidi" w:hAnsiTheme="majorBidi" w:cstheme="majorBidi"/>
          <w:sz w:val="24"/>
          <w:szCs w:val="24"/>
        </w:rPr>
        <w:t xml:space="preserve"> the proprietary claims of the tissue sources</w:t>
      </w:r>
      <w:r w:rsidR="00FA51C1">
        <w:rPr>
          <w:rFonts w:asciiTheme="majorBidi" w:hAnsiTheme="majorBidi" w:cstheme="majorBidi"/>
          <w:sz w:val="24"/>
          <w:szCs w:val="24"/>
        </w:rPr>
        <w:t>. In both cases</w:t>
      </w:r>
      <w:r w:rsidR="00B5728C">
        <w:rPr>
          <w:rFonts w:asciiTheme="majorBidi" w:hAnsiTheme="majorBidi" w:cstheme="majorBidi"/>
          <w:sz w:val="24"/>
          <w:szCs w:val="24"/>
        </w:rPr>
        <w:t>,</w:t>
      </w:r>
      <w:r w:rsidR="00FA51C1">
        <w:rPr>
          <w:rFonts w:asciiTheme="majorBidi" w:hAnsiTheme="majorBidi" w:cstheme="majorBidi"/>
          <w:sz w:val="24"/>
          <w:szCs w:val="24"/>
        </w:rPr>
        <w:t xml:space="preserve"> the sources donated their tissues for</w:t>
      </w:r>
      <w:r w:rsidR="00B5728C">
        <w:rPr>
          <w:rFonts w:asciiTheme="majorBidi" w:hAnsiTheme="majorBidi" w:cstheme="majorBidi"/>
          <w:sz w:val="24"/>
          <w:szCs w:val="24"/>
        </w:rPr>
        <w:t xml:space="preserve"> genetic</w:t>
      </w:r>
      <w:r w:rsidR="00FA51C1">
        <w:rPr>
          <w:rFonts w:asciiTheme="majorBidi" w:hAnsiTheme="majorBidi" w:cstheme="majorBidi"/>
          <w:sz w:val="24"/>
          <w:szCs w:val="24"/>
        </w:rPr>
        <w:t xml:space="preserve"> research; the </w:t>
      </w:r>
      <w:r w:rsidR="00FA51C1" w:rsidRPr="00057227">
        <w:rPr>
          <w:rFonts w:asciiTheme="majorBidi" w:hAnsiTheme="majorBidi" w:cstheme="majorBidi"/>
          <w:i/>
          <w:iCs/>
          <w:sz w:val="24"/>
          <w:szCs w:val="24"/>
        </w:rPr>
        <w:t>Greenberg</w:t>
      </w:r>
      <w:r w:rsidR="00FA51C1">
        <w:rPr>
          <w:rFonts w:asciiTheme="majorBidi" w:hAnsiTheme="majorBidi" w:cstheme="majorBidi"/>
          <w:sz w:val="24"/>
          <w:szCs w:val="24"/>
        </w:rPr>
        <w:t xml:space="preserve"> claimants wanted to control the</w:t>
      </w:r>
      <w:r w:rsidR="00B5728C">
        <w:rPr>
          <w:rFonts w:asciiTheme="majorBidi" w:hAnsiTheme="majorBidi" w:cstheme="majorBidi"/>
          <w:sz w:val="24"/>
          <w:szCs w:val="24"/>
        </w:rPr>
        <w:t xml:space="preserve"> commercialisation of the patent that</w:t>
      </w:r>
      <w:r w:rsidR="00FA51C1">
        <w:rPr>
          <w:rFonts w:asciiTheme="majorBidi" w:hAnsiTheme="majorBidi" w:cstheme="majorBidi"/>
          <w:sz w:val="24"/>
          <w:szCs w:val="24"/>
        </w:rPr>
        <w:t xml:space="preserve"> result</w:t>
      </w:r>
      <w:r w:rsidR="00B5728C">
        <w:rPr>
          <w:rFonts w:asciiTheme="majorBidi" w:hAnsiTheme="majorBidi" w:cstheme="majorBidi"/>
          <w:sz w:val="24"/>
          <w:szCs w:val="24"/>
        </w:rPr>
        <w:t>ed from</w:t>
      </w:r>
      <w:r w:rsidR="00FA51C1">
        <w:rPr>
          <w:rFonts w:asciiTheme="majorBidi" w:hAnsiTheme="majorBidi" w:cstheme="majorBidi"/>
          <w:sz w:val="24"/>
          <w:szCs w:val="24"/>
        </w:rPr>
        <w:t xml:space="preserve"> the research,</w:t>
      </w:r>
      <w:r w:rsidR="00B5728C">
        <w:rPr>
          <w:rFonts w:asciiTheme="majorBidi" w:hAnsiTheme="majorBidi" w:cstheme="majorBidi"/>
          <w:sz w:val="24"/>
          <w:szCs w:val="24"/>
        </w:rPr>
        <w:t xml:space="preserve"> albeit obtained by the researchers without the knowledge of the claimants/tissue sources</w:t>
      </w:r>
      <w:r w:rsidR="00FA51C1">
        <w:rPr>
          <w:rFonts w:asciiTheme="majorBidi" w:hAnsiTheme="majorBidi" w:cstheme="majorBidi"/>
          <w:sz w:val="24"/>
          <w:szCs w:val="24"/>
        </w:rPr>
        <w:t>;</w:t>
      </w:r>
      <w:r w:rsidR="00B5728C">
        <w:rPr>
          <w:rFonts w:asciiTheme="majorBidi" w:hAnsiTheme="majorBidi" w:cstheme="majorBidi"/>
          <w:sz w:val="24"/>
          <w:szCs w:val="24"/>
        </w:rPr>
        <w:t xml:space="preserve"> similarly,</w:t>
      </w:r>
      <w:r w:rsidR="00057227">
        <w:rPr>
          <w:rFonts w:asciiTheme="majorBidi" w:hAnsiTheme="majorBidi" w:cstheme="majorBidi"/>
          <w:sz w:val="24"/>
          <w:szCs w:val="24"/>
        </w:rPr>
        <w:t xml:space="preserve"> the </w:t>
      </w:r>
      <w:r w:rsidR="00057227" w:rsidRPr="00057227">
        <w:rPr>
          <w:rFonts w:asciiTheme="majorBidi" w:hAnsiTheme="majorBidi" w:cstheme="majorBidi"/>
          <w:i/>
          <w:iCs/>
          <w:sz w:val="24"/>
          <w:szCs w:val="24"/>
        </w:rPr>
        <w:t>Catalona</w:t>
      </w:r>
      <w:r w:rsidR="00057227">
        <w:rPr>
          <w:rFonts w:asciiTheme="majorBidi" w:hAnsiTheme="majorBidi" w:cstheme="majorBidi"/>
          <w:sz w:val="24"/>
          <w:szCs w:val="24"/>
        </w:rPr>
        <w:t xml:space="preserve"> claimants</w:t>
      </w:r>
      <w:r w:rsidR="00B5728C">
        <w:rPr>
          <w:rFonts w:asciiTheme="majorBidi" w:hAnsiTheme="majorBidi" w:cstheme="majorBidi"/>
          <w:sz w:val="24"/>
          <w:szCs w:val="24"/>
        </w:rPr>
        <w:t>/tissue sources</w:t>
      </w:r>
      <w:r w:rsidR="00057227">
        <w:rPr>
          <w:rFonts w:asciiTheme="majorBidi" w:hAnsiTheme="majorBidi" w:cstheme="majorBidi"/>
          <w:sz w:val="24"/>
          <w:szCs w:val="24"/>
        </w:rPr>
        <w:t xml:space="preserve"> wanted to control the</w:t>
      </w:r>
      <w:r w:rsidR="00B5728C">
        <w:rPr>
          <w:rFonts w:asciiTheme="majorBidi" w:hAnsiTheme="majorBidi" w:cstheme="majorBidi"/>
          <w:sz w:val="24"/>
          <w:szCs w:val="24"/>
        </w:rPr>
        <w:t xml:space="preserve"> location</w:t>
      </w:r>
      <w:r w:rsidR="00057227">
        <w:rPr>
          <w:rFonts w:asciiTheme="majorBidi" w:hAnsiTheme="majorBidi" w:cstheme="majorBidi"/>
          <w:sz w:val="24"/>
          <w:szCs w:val="24"/>
        </w:rPr>
        <w:t xml:space="preserve"> and transfer of their tissues. As the tissues in both cases were un-transformed and</w:t>
      </w:r>
      <w:r w:rsidR="00663D63">
        <w:rPr>
          <w:rFonts w:asciiTheme="majorBidi" w:hAnsiTheme="majorBidi" w:cstheme="majorBidi"/>
          <w:sz w:val="24"/>
          <w:szCs w:val="24"/>
        </w:rPr>
        <w:t xml:space="preserve"> dehors the</w:t>
      </w:r>
      <w:r w:rsidR="00057227">
        <w:rPr>
          <w:rFonts w:asciiTheme="majorBidi" w:hAnsiTheme="majorBidi" w:cstheme="majorBidi"/>
          <w:sz w:val="24"/>
          <w:szCs w:val="24"/>
        </w:rPr>
        <w:t xml:space="preserve"> work or skill exception, the courts resorted to the gift</w:t>
      </w:r>
      <w:r w:rsidR="00696A59">
        <w:rPr>
          <w:rFonts w:asciiTheme="majorBidi" w:hAnsiTheme="majorBidi" w:cstheme="majorBidi"/>
          <w:sz w:val="24"/>
          <w:szCs w:val="24"/>
        </w:rPr>
        <w:t xml:space="preserve"> doctrine as</w:t>
      </w:r>
      <w:r w:rsidR="005202EB">
        <w:rPr>
          <w:rFonts w:asciiTheme="majorBidi" w:hAnsiTheme="majorBidi" w:cstheme="majorBidi"/>
          <w:sz w:val="24"/>
          <w:szCs w:val="24"/>
        </w:rPr>
        <w:t xml:space="preserve"> </w:t>
      </w:r>
      <w:r w:rsidR="00696A59">
        <w:rPr>
          <w:rFonts w:asciiTheme="majorBidi" w:hAnsiTheme="majorBidi" w:cstheme="majorBidi"/>
          <w:sz w:val="24"/>
          <w:szCs w:val="24"/>
        </w:rPr>
        <w:t xml:space="preserve">the rule of decision; </w:t>
      </w:r>
      <w:r w:rsidR="003C2BFE">
        <w:rPr>
          <w:rFonts w:asciiTheme="majorBidi" w:hAnsiTheme="majorBidi" w:cstheme="majorBidi"/>
          <w:sz w:val="24"/>
          <w:szCs w:val="24"/>
        </w:rPr>
        <w:t>interestingly</w:t>
      </w:r>
      <w:r w:rsidR="00696A59">
        <w:rPr>
          <w:rFonts w:asciiTheme="majorBidi" w:hAnsiTheme="majorBidi" w:cstheme="majorBidi"/>
          <w:sz w:val="24"/>
          <w:szCs w:val="24"/>
        </w:rPr>
        <w:t>, the application of the gift doctrine</w:t>
      </w:r>
      <w:r w:rsidR="0073722F">
        <w:rPr>
          <w:rFonts w:asciiTheme="majorBidi" w:hAnsiTheme="majorBidi" w:cstheme="majorBidi"/>
          <w:sz w:val="24"/>
          <w:szCs w:val="24"/>
        </w:rPr>
        <w:t xml:space="preserve"> in both cases</w:t>
      </w:r>
      <w:r w:rsidR="00696A59">
        <w:rPr>
          <w:rFonts w:asciiTheme="majorBidi" w:hAnsiTheme="majorBidi" w:cstheme="majorBidi"/>
          <w:sz w:val="24"/>
          <w:szCs w:val="24"/>
        </w:rPr>
        <w:t xml:space="preserve"> reveals</w:t>
      </w:r>
      <w:r w:rsidR="0073722F">
        <w:rPr>
          <w:rFonts w:asciiTheme="majorBidi" w:hAnsiTheme="majorBidi" w:cstheme="majorBidi"/>
          <w:sz w:val="24"/>
          <w:szCs w:val="24"/>
        </w:rPr>
        <w:t xml:space="preserve"> some</w:t>
      </w:r>
      <w:r w:rsidR="00696A59">
        <w:rPr>
          <w:rFonts w:asciiTheme="majorBidi" w:hAnsiTheme="majorBidi" w:cstheme="majorBidi"/>
          <w:sz w:val="24"/>
          <w:szCs w:val="24"/>
        </w:rPr>
        <w:t xml:space="preserve"> ambiguity and useful paradox</w:t>
      </w:r>
      <w:r w:rsidR="0073722F">
        <w:rPr>
          <w:rFonts w:asciiTheme="majorBidi" w:hAnsiTheme="majorBidi" w:cstheme="majorBidi"/>
          <w:sz w:val="24"/>
          <w:szCs w:val="24"/>
        </w:rPr>
        <w:t>. While the courts (in both cases)</w:t>
      </w:r>
      <w:r w:rsidR="00057227">
        <w:rPr>
          <w:rFonts w:asciiTheme="majorBidi" w:hAnsiTheme="majorBidi" w:cstheme="majorBidi"/>
          <w:sz w:val="24"/>
          <w:szCs w:val="24"/>
        </w:rPr>
        <w:t xml:space="preserve"> held that the sources had no property rights in their tissues</w:t>
      </w:r>
      <w:r w:rsidR="0073722F">
        <w:rPr>
          <w:rFonts w:asciiTheme="majorBidi" w:hAnsiTheme="majorBidi" w:cstheme="majorBidi"/>
          <w:sz w:val="24"/>
          <w:szCs w:val="24"/>
        </w:rPr>
        <w:t xml:space="preserve">, they turned round to hold, paradoxically, that the sources had made a valid </w:t>
      </w:r>
      <w:r w:rsidR="00057227">
        <w:rPr>
          <w:rFonts w:asciiTheme="majorBidi" w:hAnsiTheme="majorBidi" w:cstheme="majorBidi"/>
          <w:sz w:val="24"/>
          <w:szCs w:val="24"/>
        </w:rPr>
        <w:t>gift</w:t>
      </w:r>
      <w:r w:rsidR="0073722F">
        <w:rPr>
          <w:rFonts w:asciiTheme="majorBidi" w:hAnsiTheme="majorBidi" w:cstheme="majorBidi"/>
          <w:sz w:val="24"/>
          <w:szCs w:val="24"/>
        </w:rPr>
        <w:t xml:space="preserve"> of their tissues</w:t>
      </w:r>
      <w:r w:rsidR="00057227">
        <w:rPr>
          <w:rFonts w:asciiTheme="majorBidi" w:hAnsiTheme="majorBidi" w:cstheme="majorBidi"/>
          <w:sz w:val="24"/>
          <w:szCs w:val="24"/>
        </w:rPr>
        <w:t xml:space="preserve"> to the</w:t>
      </w:r>
      <w:r w:rsidR="0073722F">
        <w:rPr>
          <w:rFonts w:asciiTheme="majorBidi" w:hAnsiTheme="majorBidi" w:cstheme="majorBidi"/>
          <w:sz w:val="24"/>
          <w:szCs w:val="24"/>
        </w:rPr>
        <w:t xml:space="preserve"> defendants who were</w:t>
      </w:r>
      <w:r w:rsidR="00057227">
        <w:rPr>
          <w:rFonts w:asciiTheme="majorBidi" w:hAnsiTheme="majorBidi" w:cstheme="majorBidi"/>
          <w:sz w:val="24"/>
          <w:szCs w:val="24"/>
        </w:rPr>
        <w:t xml:space="preserve"> researchers</w:t>
      </w:r>
      <w:r w:rsidR="0073722F">
        <w:rPr>
          <w:rFonts w:asciiTheme="majorBidi" w:hAnsiTheme="majorBidi" w:cstheme="majorBidi"/>
          <w:sz w:val="24"/>
          <w:szCs w:val="24"/>
        </w:rPr>
        <w:t xml:space="preserve"> and tissue </w:t>
      </w:r>
      <w:r w:rsidR="00057227">
        <w:rPr>
          <w:rFonts w:asciiTheme="majorBidi" w:hAnsiTheme="majorBidi" w:cstheme="majorBidi"/>
          <w:sz w:val="24"/>
          <w:szCs w:val="24"/>
        </w:rPr>
        <w:t>innovator</w:t>
      </w:r>
      <w:r w:rsidR="0073722F">
        <w:rPr>
          <w:rFonts w:asciiTheme="majorBidi" w:hAnsiTheme="majorBidi" w:cstheme="majorBidi"/>
          <w:sz w:val="24"/>
          <w:szCs w:val="24"/>
        </w:rPr>
        <w:t>s</w:t>
      </w:r>
      <w:r w:rsidR="00F678E7">
        <w:rPr>
          <w:rFonts w:asciiTheme="majorBidi" w:hAnsiTheme="majorBidi" w:cstheme="majorBidi"/>
          <w:sz w:val="24"/>
          <w:szCs w:val="24"/>
        </w:rPr>
        <w:t>; as there can be no gift without</w:t>
      </w:r>
      <w:r w:rsidR="004D77C3">
        <w:rPr>
          <w:rFonts w:asciiTheme="majorBidi" w:hAnsiTheme="majorBidi" w:cstheme="majorBidi"/>
          <w:sz w:val="24"/>
          <w:szCs w:val="24"/>
        </w:rPr>
        <w:t xml:space="preserve"> a</w:t>
      </w:r>
      <w:r w:rsidR="00F678E7">
        <w:rPr>
          <w:rFonts w:asciiTheme="majorBidi" w:hAnsiTheme="majorBidi" w:cstheme="majorBidi"/>
          <w:sz w:val="24"/>
          <w:szCs w:val="24"/>
        </w:rPr>
        <w:t xml:space="preserve"> property</w:t>
      </w:r>
      <w:r w:rsidR="004D77C3">
        <w:rPr>
          <w:rFonts w:asciiTheme="majorBidi" w:hAnsiTheme="majorBidi" w:cstheme="majorBidi"/>
          <w:sz w:val="24"/>
          <w:szCs w:val="24"/>
        </w:rPr>
        <w:t xml:space="preserve"> right</w:t>
      </w:r>
      <w:r w:rsidR="00F678E7">
        <w:rPr>
          <w:rFonts w:asciiTheme="majorBidi" w:hAnsiTheme="majorBidi" w:cstheme="majorBidi"/>
          <w:sz w:val="24"/>
          <w:szCs w:val="24"/>
        </w:rPr>
        <w:t xml:space="preserve">, it was incorrect </w:t>
      </w:r>
      <w:r w:rsidR="003C2BFE">
        <w:rPr>
          <w:rFonts w:asciiTheme="majorBidi" w:hAnsiTheme="majorBidi" w:cstheme="majorBidi"/>
          <w:sz w:val="24"/>
          <w:szCs w:val="24"/>
        </w:rPr>
        <w:t>(</w:t>
      </w:r>
      <w:r w:rsidR="00F678E7">
        <w:rPr>
          <w:rFonts w:asciiTheme="majorBidi" w:hAnsiTheme="majorBidi" w:cstheme="majorBidi"/>
          <w:sz w:val="24"/>
          <w:szCs w:val="24"/>
        </w:rPr>
        <w:t>if not paradoxical</w:t>
      </w:r>
      <w:r w:rsidR="003C2BFE">
        <w:rPr>
          <w:rFonts w:asciiTheme="majorBidi" w:hAnsiTheme="majorBidi" w:cstheme="majorBidi"/>
          <w:sz w:val="24"/>
          <w:szCs w:val="24"/>
        </w:rPr>
        <w:t>)</w:t>
      </w:r>
      <w:r w:rsidR="00F678E7">
        <w:rPr>
          <w:rFonts w:asciiTheme="majorBidi" w:hAnsiTheme="majorBidi" w:cstheme="majorBidi"/>
          <w:sz w:val="24"/>
          <w:szCs w:val="24"/>
        </w:rPr>
        <w:t xml:space="preserve"> to hold that the tissue sources in both cases had no property right in their tissues.</w:t>
      </w:r>
      <w:r w:rsidR="00EE3505">
        <w:rPr>
          <w:rStyle w:val="FootnoteReference"/>
          <w:rFonts w:asciiTheme="majorBidi" w:hAnsiTheme="majorBidi" w:cstheme="majorBidi"/>
          <w:sz w:val="24"/>
          <w:szCs w:val="24"/>
        </w:rPr>
        <w:footnoteReference w:id="61"/>
      </w:r>
      <w:r w:rsidR="00F678E7">
        <w:rPr>
          <w:rFonts w:asciiTheme="majorBidi" w:hAnsiTheme="majorBidi" w:cstheme="majorBidi"/>
          <w:sz w:val="24"/>
          <w:szCs w:val="24"/>
        </w:rPr>
        <w:t xml:space="preserve"> Duplex reasoning, however, can make sense of the decision</w:t>
      </w:r>
      <w:r w:rsidR="00754A1E">
        <w:rPr>
          <w:rFonts w:asciiTheme="majorBidi" w:hAnsiTheme="majorBidi" w:cstheme="majorBidi"/>
          <w:sz w:val="24"/>
          <w:szCs w:val="24"/>
        </w:rPr>
        <w:t>s</w:t>
      </w:r>
      <w:r w:rsidR="00F678E7">
        <w:rPr>
          <w:rFonts w:asciiTheme="majorBidi" w:hAnsiTheme="majorBidi" w:cstheme="majorBidi"/>
          <w:sz w:val="24"/>
          <w:szCs w:val="24"/>
        </w:rPr>
        <w:t xml:space="preserve"> in</w:t>
      </w:r>
      <w:r w:rsidR="00754A1E" w:rsidRPr="00754A1E">
        <w:rPr>
          <w:rFonts w:asciiTheme="majorBidi" w:hAnsiTheme="majorBidi" w:cstheme="majorBidi"/>
          <w:i/>
          <w:iCs/>
          <w:sz w:val="24"/>
          <w:szCs w:val="24"/>
        </w:rPr>
        <w:t xml:space="preserve"> </w:t>
      </w:r>
      <w:r w:rsidR="00754A1E" w:rsidRPr="00080444">
        <w:rPr>
          <w:rFonts w:asciiTheme="majorBidi" w:hAnsiTheme="majorBidi" w:cstheme="majorBidi"/>
          <w:i/>
          <w:iCs/>
          <w:sz w:val="24"/>
          <w:szCs w:val="24"/>
        </w:rPr>
        <w:t>Catalona</w:t>
      </w:r>
      <w:r w:rsidR="00754A1E">
        <w:rPr>
          <w:rFonts w:asciiTheme="majorBidi" w:hAnsiTheme="majorBidi" w:cstheme="majorBidi"/>
          <w:sz w:val="24"/>
          <w:szCs w:val="24"/>
        </w:rPr>
        <w:t xml:space="preserve"> and </w:t>
      </w:r>
      <w:r w:rsidR="00754A1E" w:rsidRPr="00080444">
        <w:rPr>
          <w:rFonts w:asciiTheme="majorBidi" w:hAnsiTheme="majorBidi" w:cstheme="majorBidi"/>
          <w:i/>
          <w:iCs/>
          <w:sz w:val="24"/>
          <w:szCs w:val="24"/>
        </w:rPr>
        <w:t>Greenberg</w:t>
      </w:r>
      <w:r w:rsidR="00754A1E">
        <w:rPr>
          <w:rFonts w:asciiTheme="majorBidi" w:hAnsiTheme="majorBidi" w:cstheme="majorBidi"/>
          <w:sz w:val="24"/>
          <w:szCs w:val="24"/>
        </w:rPr>
        <w:t xml:space="preserve"> which are redolent of paradox. Essentially, the courts in both cases</w:t>
      </w:r>
      <w:r w:rsidR="00080444">
        <w:rPr>
          <w:rFonts w:asciiTheme="majorBidi" w:hAnsiTheme="majorBidi" w:cstheme="majorBidi"/>
          <w:sz w:val="24"/>
          <w:szCs w:val="24"/>
        </w:rPr>
        <w:t xml:space="preserve"> signpost</w:t>
      </w:r>
      <w:r w:rsidR="00057227">
        <w:rPr>
          <w:rFonts w:asciiTheme="majorBidi" w:hAnsiTheme="majorBidi" w:cstheme="majorBidi"/>
          <w:sz w:val="24"/>
          <w:szCs w:val="24"/>
        </w:rPr>
        <w:t>ed</w:t>
      </w:r>
      <w:r w:rsidR="00080444">
        <w:rPr>
          <w:rFonts w:asciiTheme="majorBidi" w:hAnsiTheme="majorBidi" w:cstheme="majorBidi"/>
          <w:sz w:val="24"/>
          <w:szCs w:val="24"/>
        </w:rPr>
        <w:t xml:space="preserve"> a duplex</w:t>
      </w:r>
      <w:r w:rsidR="00754A1E">
        <w:rPr>
          <w:rFonts w:asciiTheme="majorBidi" w:hAnsiTheme="majorBidi" w:cstheme="majorBidi"/>
          <w:sz w:val="24"/>
          <w:szCs w:val="24"/>
        </w:rPr>
        <w:t xml:space="preserve"> on the tissues, holding that the</w:t>
      </w:r>
      <w:r w:rsidR="007C1E4F">
        <w:rPr>
          <w:rFonts w:asciiTheme="majorBidi" w:hAnsiTheme="majorBidi" w:cstheme="majorBidi"/>
          <w:sz w:val="24"/>
          <w:szCs w:val="24"/>
        </w:rPr>
        <w:t xml:space="preserve"> tissues</w:t>
      </w:r>
      <w:r w:rsidR="00754A1E">
        <w:rPr>
          <w:rFonts w:asciiTheme="majorBidi" w:hAnsiTheme="majorBidi" w:cstheme="majorBidi"/>
          <w:sz w:val="24"/>
          <w:szCs w:val="24"/>
        </w:rPr>
        <w:t xml:space="preserve"> qualified (through gift) as property of the</w:t>
      </w:r>
      <w:r w:rsidR="00531582">
        <w:rPr>
          <w:rFonts w:asciiTheme="majorBidi" w:hAnsiTheme="majorBidi" w:cstheme="majorBidi"/>
          <w:sz w:val="24"/>
          <w:szCs w:val="24"/>
        </w:rPr>
        <w:t xml:space="preserve"> tissue innovators</w:t>
      </w:r>
      <w:r w:rsidR="00754A1E">
        <w:rPr>
          <w:rFonts w:asciiTheme="majorBidi" w:hAnsiTheme="majorBidi" w:cstheme="majorBidi"/>
          <w:sz w:val="24"/>
          <w:szCs w:val="24"/>
        </w:rPr>
        <w:t>, but remained non-proprietary as far as</w:t>
      </w:r>
      <w:r w:rsidR="00531582">
        <w:rPr>
          <w:rFonts w:asciiTheme="majorBidi" w:hAnsiTheme="majorBidi" w:cstheme="majorBidi"/>
          <w:sz w:val="24"/>
          <w:szCs w:val="24"/>
        </w:rPr>
        <w:t xml:space="preserve"> the</w:t>
      </w:r>
      <w:r w:rsidR="00754A1E">
        <w:rPr>
          <w:rFonts w:asciiTheme="majorBidi" w:hAnsiTheme="majorBidi" w:cstheme="majorBidi"/>
          <w:sz w:val="24"/>
          <w:szCs w:val="24"/>
        </w:rPr>
        <w:t xml:space="preserve"> tissue sources were concerned, even though</w:t>
      </w:r>
      <w:r w:rsidR="004D77C3">
        <w:rPr>
          <w:rFonts w:asciiTheme="majorBidi" w:hAnsiTheme="majorBidi" w:cstheme="majorBidi"/>
          <w:sz w:val="24"/>
          <w:szCs w:val="24"/>
        </w:rPr>
        <w:t xml:space="preserve"> those same tissue sources could</w:t>
      </w:r>
      <w:r w:rsidR="003E482A">
        <w:rPr>
          <w:rFonts w:asciiTheme="majorBidi" w:hAnsiTheme="majorBidi" w:cstheme="majorBidi"/>
          <w:sz w:val="24"/>
          <w:szCs w:val="24"/>
        </w:rPr>
        <w:t xml:space="preserve"> make</w:t>
      </w:r>
      <w:r w:rsidR="004D77C3">
        <w:rPr>
          <w:rFonts w:asciiTheme="majorBidi" w:hAnsiTheme="majorBidi" w:cstheme="majorBidi"/>
          <w:sz w:val="24"/>
          <w:szCs w:val="24"/>
        </w:rPr>
        <w:t xml:space="preserve"> a</w:t>
      </w:r>
      <w:r w:rsidR="00754A1E">
        <w:rPr>
          <w:rFonts w:asciiTheme="majorBidi" w:hAnsiTheme="majorBidi" w:cstheme="majorBidi"/>
          <w:sz w:val="24"/>
          <w:szCs w:val="24"/>
        </w:rPr>
        <w:t xml:space="preserve"> gift</w:t>
      </w:r>
      <w:r w:rsidR="004D77C3">
        <w:rPr>
          <w:rFonts w:asciiTheme="majorBidi" w:hAnsiTheme="majorBidi" w:cstheme="majorBidi"/>
          <w:sz w:val="24"/>
          <w:szCs w:val="24"/>
        </w:rPr>
        <w:t xml:space="preserve"> of the tissues</w:t>
      </w:r>
      <w:r w:rsidR="00754A1E">
        <w:rPr>
          <w:rFonts w:asciiTheme="majorBidi" w:hAnsiTheme="majorBidi" w:cstheme="majorBidi"/>
          <w:sz w:val="24"/>
          <w:szCs w:val="24"/>
        </w:rPr>
        <w:t>.</w:t>
      </w:r>
      <w:r w:rsidR="00531582">
        <w:rPr>
          <w:rFonts w:asciiTheme="majorBidi" w:hAnsiTheme="majorBidi" w:cstheme="majorBidi"/>
          <w:sz w:val="24"/>
          <w:szCs w:val="24"/>
        </w:rPr>
        <w:t xml:space="preserve"> </w:t>
      </w:r>
      <w:r w:rsidR="00754A1E">
        <w:rPr>
          <w:rFonts w:asciiTheme="majorBidi" w:hAnsiTheme="majorBidi" w:cstheme="majorBidi"/>
          <w:sz w:val="24"/>
          <w:szCs w:val="24"/>
        </w:rPr>
        <w:t>Overall, t</w:t>
      </w:r>
      <w:r w:rsidR="00531582">
        <w:rPr>
          <w:rFonts w:asciiTheme="majorBidi" w:hAnsiTheme="majorBidi" w:cstheme="majorBidi"/>
          <w:sz w:val="24"/>
          <w:szCs w:val="24"/>
        </w:rPr>
        <w:t>h</w:t>
      </w:r>
      <w:r w:rsidR="00754A1E">
        <w:rPr>
          <w:rFonts w:asciiTheme="majorBidi" w:hAnsiTheme="majorBidi" w:cstheme="majorBidi"/>
          <w:sz w:val="24"/>
          <w:szCs w:val="24"/>
        </w:rPr>
        <w:t>erefore,</w:t>
      </w:r>
      <w:r w:rsidR="00531582">
        <w:rPr>
          <w:rFonts w:asciiTheme="majorBidi" w:hAnsiTheme="majorBidi" w:cstheme="majorBidi"/>
          <w:sz w:val="24"/>
          <w:szCs w:val="24"/>
        </w:rPr>
        <w:t xml:space="preserve"> the</w:t>
      </w:r>
      <w:r w:rsidR="00DF4792">
        <w:rPr>
          <w:rFonts w:asciiTheme="majorBidi" w:hAnsiTheme="majorBidi" w:cstheme="majorBidi"/>
          <w:sz w:val="24"/>
          <w:szCs w:val="24"/>
        </w:rPr>
        <w:t xml:space="preserve"> cases and analysis above delineate t</w:t>
      </w:r>
      <w:r w:rsidR="00531582">
        <w:rPr>
          <w:rFonts w:asciiTheme="majorBidi" w:hAnsiTheme="majorBidi" w:cstheme="majorBidi"/>
          <w:sz w:val="24"/>
          <w:szCs w:val="24"/>
        </w:rPr>
        <w:t>wo levels of duplex at play here, all of which favours tissue users/innovators.</w:t>
      </w:r>
      <w:r w:rsidR="00B5686E">
        <w:rPr>
          <w:rFonts w:asciiTheme="majorBidi" w:hAnsiTheme="majorBidi" w:cstheme="majorBidi"/>
          <w:sz w:val="24"/>
          <w:szCs w:val="24"/>
        </w:rPr>
        <w:t xml:space="preserve"> First, separated bodily parts are no</w:t>
      </w:r>
      <w:r w:rsidR="007C1E4F">
        <w:rPr>
          <w:rFonts w:asciiTheme="majorBidi" w:hAnsiTheme="majorBidi" w:cstheme="majorBidi"/>
          <w:sz w:val="24"/>
          <w:szCs w:val="24"/>
        </w:rPr>
        <w:t xml:space="preserve">t </w:t>
      </w:r>
      <w:r w:rsidR="00B5686E">
        <w:rPr>
          <w:rFonts w:asciiTheme="majorBidi" w:hAnsiTheme="majorBidi" w:cstheme="majorBidi"/>
          <w:sz w:val="24"/>
          <w:szCs w:val="24"/>
        </w:rPr>
        <w:t>property, but</w:t>
      </w:r>
      <w:r w:rsidR="00531582">
        <w:rPr>
          <w:rFonts w:asciiTheme="majorBidi" w:hAnsiTheme="majorBidi" w:cstheme="majorBidi"/>
          <w:sz w:val="24"/>
          <w:szCs w:val="24"/>
        </w:rPr>
        <w:t xml:space="preserve"> they are property in th</w:t>
      </w:r>
      <w:r w:rsidR="000940D4">
        <w:rPr>
          <w:rFonts w:asciiTheme="majorBidi" w:hAnsiTheme="majorBidi" w:cstheme="majorBidi"/>
          <w:sz w:val="24"/>
          <w:szCs w:val="24"/>
        </w:rPr>
        <w:t xml:space="preserve">e hands of users and innovators; </w:t>
      </w:r>
      <w:r w:rsidR="00531582">
        <w:rPr>
          <w:rFonts w:asciiTheme="majorBidi" w:hAnsiTheme="majorBidi" w:cstheme="majorBidi"/>
          <w:sz w:val="24"/>
          <w:szCs w:val="24"/>
        </w:rPr>
        <w:t>therefore,</w:t>
      </w:r>
      <w:r w:rsidR="00B5686E">
        <w:rPr>
          <w:rFonts w:asciiTheme="majorBidi" w:hAnsiTheme="majorBidi" w:cstheme="majorBidi"/>
          <w:sz w:val="24"/>
          <w:szCs w:val="24"/>
        </w:rPr>
        <w:t xml:space="preserve"> bodily parts are property and no</w:t>
      </w:r>
      <w:r w:rsidR="007D6EA5">
        <w:rPr>
          <w:rFonts w:asciiTheme="majorBidi" w:hAnsiTheme="majorBidi" w:cstheme="majorBidi"/>
          <w:sz w:val="24"/>
          <w:szCs w:val="24"/>
        </w:rPr>
        <w:t>n-</w:t>
      </w:r>
      <w:r w:rsidR="00B5686E">
        <w:rPr>
          <w:rFonts w:asciiTheme="majorBidi" w:hAnsiTheme="majorBidi" w:cstheme="majorBidi"/>
          <w:sz w:val="24"/>
          <w:szCs w:val="24"/>
        </w:rPr>
        <w:t>property</w:t>
      </w:r>
      <w:r w:rsidR="000940D4">
        <w:rPr>
          <w:rFonts w:asciiTheme="majorBidi" w:hAnsiTheme="majorBidi" w:cstheme="majorBidi"/>
          <w:sz w:val="24"/>
          <w:szCs w:val="24"/>
        </w:rPr>
        <w:t xml:space="preserve"> at the same time</w:t>
      </w:r>
      <w:r w:rsidR="00B5686E">
        <w:rPr>
          <w:rFonts w:asciiTheme="majorBidi" w:hAnsiTheme="majorBidi" w:cstheme="majorBidi"/>
          <w:sz w:val="24"/>
          <w:szCs w:val="24"/>
        </w:rPr>
        <w:t xml:space="preserve">. Second, </w:t>
      </w:r>
      <w:r w:rsidR="00531582">
        <w:rPr>
          <w:rFonts w:asciiTheme="majorBidi" w:hAnsiTheme="majorBidi" w:cstheme="majorBidi"/>
          <w:sz w:val="24"/>
          <w:szCs w:val="24"/>
        </w:rPr>
        <w:t>proprietary exceptions exist under the no-property rule in relation to the claims of tissue users/innovators, but no such exceptions</w:t>
      </w:r>
      <w:r w:rsidR="007C1E4F">
        <w:rPr>
          <w:rFonts w:asciiTheme="majorBidi" w:hAnsiTheme="majorBidi" w:cstheme="majorBidi"/>
          <w:sz w:val="24"/>
          <w:szCs w:val="24"/>
        </w:rPr>
        <w:t xml:space="preserve"> practically</w:t>
      </w:r>
      <w:r w:rsidR="00531582">
        <w:rPr>
          <w:rFonts w:asciiTheme="majorBidi" w:hAnsiTheme="majorBidi" w:cstheme="majorBidi"/>
          <w:sz w:val="24"/>
          <w:szCs w:val="24"/>
        </w:rPr>
        <w:t xml:space="preserve"> exist </w:t>
      </w:r>
      <w:r w:rsidR="007D6EA5">
        <w:rPr>
          <w:rFonts w:asciiTheme="majorBidi" w:hAnsiTheme="majorBidi" w:cstheme="majorBidi"/>
          <w:sz w:val="24"/>
          <w:szCs w:val="24"/>
        </w:rPr>
        <w:t>in relation to</w:t>
      </w:r>
      <w:r w:rsidR="00531582">
        <w:rPr>
          <w:rFonts w:asciiTheme="majorBidi" w:hAnsiTheme="majorBidi" w:cstheme="majorBidi"/>
          <w:sz w:val="24"/>
          <w:szCs w:val="24"/>
        </w:rPr>
        <w:t xml:space="preserve"> the claims</w:t>
      </w:r>
      <w:r w:rsidR="007C1E4F">
        <w:rPr>
          <w:rFonts w:asciiTheme="majorBidi" w:hAnsiTheme="majorBidi" w:cstheme="majorBidi"/>
          <w:sz w:val="24"/>
          <w:szCs w:val="24"/>
        </w:rPr>
        <w:t xml:space="preserve"> of</w:t>
      </w:r>
      <w:r w:rsidR="00531582">
        <w:rPr>
          <w:rFonts w:asciiTheme="majorBidi" w:hAnsiTheme="majorBidi" w:cstheme="majorBidi"/>
          <w:sz w:val="24"/>
          <w:szCs w:val="24"/>
        </w:rPr>
        <w:t xml:space="preserve"> tissue sources.</w:t>
      </w:r>
      <w:r w:rsidR="00990CE9">
        <w:rPr>
          <w:rFonts w:asciiTheme="majorBidi" w:hAnsiTheme="majorBidi" w:cstheme="majorBidi"/>
          <w:sz w:val="24"/>
          <w:szCs w:val="24"/>
        </w:rPr>
        <w:t xml:space="preserve"> Again, at once</w:t>
      </w:r>
      <w:r w:rsidR="000940D4">
        <w:rPr>
          <w:rFonts w:asciiTheme="majorBidi" w:hAnsiTheme="majorBidi" w:cstheme="majorBidi"/>
          <w:sz w:val="24"/>
          <w:szCs w:val="24"/>
        </w:rPr>
        <w:t>,</w:t>
      </w:r>
      <w:r w:rsidR="00990CE9">
        <w:rPr>
          <w:rFonts w:asciiTheme="majorBidi" w:hAnsiTheme="majorBidi" w:cstheme="majorBidi"/>
          <w:sz w:val="24"/>
          <w:szCs w:val="24"/>
        </w:rPr>
        <w:t xml:space="preserve"> there are exceptions and no exceptions to the no-property rule.</w:t>
      </w:r>
      <w:r w:rsidR="00531582">
        <w:rPr>
          <w:rFonts w:asciiTheme="majorBidi" w:hAnsiTheme="majorBidi" w:cstheme="majorBidi"/>
          <w:sz w:val="24"/>
          <w:szCs w:val="24"/>
        </w:rPr>
        <w:t xml:space="preserve"> </w:t>
      </w:r>
    </w:p>
    <w:p w:rsidR="004B1BAD" w:rsidRDefault="007C1E4F" w:rsidP="00ED63BA">
      <w:pPr>
        <w:ind w:firstLine="720"/>
        <w:jc w:val="both"/>
        <w:rPr>
          <w:rFonts w:asciiTheme="majorBidi" w:hAnsiTheme="majorBidi" w:cstheme="majorBidi"/>
          <w:sz w:val="24"/>
          <w:szCs w:val="24"/>
        </w:rPr>
      </w:pPr>
      <w:r>
        <w:rPr>
          <w:rFonts w:asciiTheme="majorBidi" w:hAnsiTheme="majorBidi" w:cstheme="majorBidi"/>
          <w:sz w:val="24"/>
          <w:szCs w:val="24"/>
        </w:rPr>
        <w:t>Let me clarify. I do not quarrel with the duplex above on bodily parts</w:t>
      </w:r>
      <w:r w:rsidR="007E525D">
        <w:rPr>
          <w:rFonts w:asciiTheme="majorBidi" w:hAnsiTheme="majorBidi" w:cstheme="majorBidi"/>
          <w:sz w:val="24"/>
          <w:szCs w:val="24"/>
        </w:rPr>
        <w:t>,</w:t>
      </w:r>
      <w:r w:rsidR="00ED63BA">
        <w:rPr>
          <w:rFonts w:asciiTheme="majorBidi" w:hAnsiTheme="majorBidi" w:cstheme="majorBidi"/>
          <w:sz w:val="24"/>
          <w:szCs w:val="24"/>
        </w:rPr>
        <w:t xml:space="preserve"> which</w:t>
      </w:r>
      <w:r>
        <w:rPr>
          <w:rFonts w:asciiTheme="majorBidi" w:hAnsiTheme="majorBidi" w:cstheme="majorBidi"/>
          <w:sz w:val="24"/>
          <w:szCs w:val="24"/>
        </w:rPr>
        <w:t xml:space="preserve"> operates</w:t>
      </w:r>
      <w:r w:rsidR="00ED63BA">
        <w:rPr>
          <w:rFonts w:asciiTheme="majorBidi" w:hAnsiTheme="majorBidi" w:cstheme="majorBidi"/>
          <w:sz w:val="24"/>
          <w:szCs w:val="24"/>
        </w:rPr>
        <w:t xml:space="preserve"> in favour</w:t>
      </w:r>
      <w:r>
        <w:rPr>
          <w:rFonts w:asciiTheme="majorBidi" w:hAnsiTheme="majorBidi" w:cstheme="majorBidi"/>
          <w:sz w:val="24"/>
          <w:szCs w:val="24"/>
        </w:rPr>
        <w:t xml:space="preserve"> of tissue users and innovators. However, I argue for the equalisation and broad </w:t>
      </w:r>
      <w:r w:rsidRPr="00D65217">
        <w:rPr>
          <w:rFonts w:asciiTheme="majorBidi" w:hAnsiTheme="majorBidi" w:cstheme="majorBidi"/>
          <w:i/>
          <w:sz w:val="24"/>
          <w:szCs w:val="24"/>
        </w:rPr>
        <w:t>normativisation</w:t>
      </w:r>
      <w:r>
        <w:rPr>
          <w:rFonts w:asciiTheme="majorBidi" w:hAnsiTheme="majorBidi" w:cstheme="majorBidi"/>
          <w:sz w:val="24"/>
          <w:szCs w:val="24"/>
        </w:rPr>
        <w:t xml:space="preserve"> of</w:t>
      </w:r>
      <w:r w:rsidR="003F409B">
        <w:rPr>
          <w:rFonts w:asciiTheme="majorBidi" w:hAnsiTheme="majorBidi" w:cstheme="majorBidi"/>
          <w:sz w:val="24"/>
          <w:szCs w:val="24"/>
        </w:rPr>
        <w:t xml:space="preserve"> that duplex in a way that protects the interests of tissue users</w:t>
      </w:r>
      <w:r w:rsidR="004E6880">
        <w:rPr>
          <w:rFonts w:asciiTheme="majorBidi" w:hAnsiTheme="majorBidi" w:cstheme="majorBidi"/>
          <w:sz w:val="24"/>
          <w:szCs w:val="24"/>
        </w:rPr>
        <w:t xml:space="preserve"> as well</w:t>
      </w:r>
      <w:r w:rsidR="003F409B">
        <w:rPr>
          <w:rFonts w:asciiTheme="majorBidi" w:hAnsiTheme="majorBidi" w:cstheme="majorBidi"/>
          <w:sz w:val="24"/>
          <w:szCs w:val="24"/>
        </w:rPr>
        <w:t>. Parity of proprietary protection for both sources and users ideally requires the abrogation of the no-property rule. As</w:t>
      </w:r>
      <w:r w:rsidR="00426A7A">
        <w:rPr>
          <w:rFonts w:asciiTheme="majorBidi" w:hAnsiTheme="majorBidi" w:cstheme="majorBidi"/>
          <w:sz w:val="24"/>
          <w:szCs w:val="24"/>
        </w:rPr>
        <w:t xml:space="preserve"> </w:t>
      </w:r>
      <w:r w:rsidR="00426A7A" w:rsidRPr="00426A7A">
        <w:rPr>
          <w:rFonts w:asciiTheme="majorBidi" w:hAnsiTheme="majorBidi" w:cstheme="majorBidi"/>
          <w:i/>
          <w:iCs/>
          <w:sz w:val="24"/>
          <w:szCs w:val="24"/>
        </w:rPr>
        <w:t>Kelly</w:t>
      </w:r>
      <w:r w:rsidR="00426A7A">
        <w:rPr>
          <w:rFonts w:asciiTheme="majorBidi" w:hAnsiTheme="majorBidi" w:cstheme="majorBidi"/>
          <w:sz w:val="24"/>
          <w:szCs w:val="24"/>
        </w:rPr>
        <w:t xml:space="preserve"> shows,</w:t>
      </w:r>
      <w:r w:rsidR="008D0AD2">
        <w:rPr>
          <w:rFonts w:asciiTheme="majorBidi" w:hAnsiTheme="majorBidi" w:cstheme="majorBidi"/>
          <w:sz w:val="24"/>
          <w:szCs w:val="24"/>
        </w:rPr>
        <w:t xml:space="preserve"> however,</w:t>
      </w:r>
      <w:r w:rsidR="003F409B">
        <w:rPr>
          <w:rFonts w:asciiTheme="majorBidi" w:hAnsiTheme="majorBidi" w:cstheme="majorBidi"/>
          <w:sz w:val="24"/>
          <w:szCs w:val="24"/>
        </w:rPr>
        <w:t xml:space="preserve"> any hope for</w:t>
      </w:r>
      <w:r w:rsidR="008D0AD2">
        <w:rPr>
          <w:rFonts w:asciiTheme="majorBidi" w:hAnsiTheme="majorBidi" w:cstheme="majorBidi"/>
          <w:sz w:val="24"/>
          <w:szCs w:val="24"/>
        </w:rPr>
        <w:t xml:space="preserve"> the</w:t>
      </w:r>
      <w:r w:rsidR="003F409B">
        <w:rPr>
          <w:rFonts w:asciiTheme="majorBidi" w:hAnsiTheme="majorBidi" w:cstheme="majorBidi"/>
          <w:sz w:val="24"/>
          <w:szCs w:val="24"/>
        </w:rPr>
        <w:t xml:space="preserve"> judicial abrogation of the</w:t>
      </w:r>
      <w:r w:rsidR="008D0AD2">
        <w:rPr>
          <w:rFonts w:asciiTheme="majorBidi" w:hAnsiTheme="majorBidi" w:cstheme="majorBidi"/>
          <w:sz w:val="24"/>
          <w:szCs w:val="24"/>
        </w:rPr>
        <w:t xml:space="preserve"> no-property</w:t>
      </w:r>
      <w:r w:rsidR="003F409B">
        <w:rPr>
          <w:rFonts w:asciiTheme="majorBidi" w:hAnsiTheme="majorBidi" w:cstheme="majorBidi"/>
          <w:sz w:val="24"/>
          <w:szCs w:val="24"/>
        </w:rPr>
        <w:t xml:space="preserve"> rule is bound to be forlorn.</w:t>
      </w:r>
      <w:r w:rsidR="003F409B">
        <w:rPr>
          <w:rStyle w:val="FootnoteReference"/>
          <w:rFonts w:asciiTheme="majorBidi" w:hAnsiTheme="majorBidi" w:cstheme="majorBidi"/>
          <w:sz w:val="24"/>
          <w:szCs w:val="24"/>
        </w:rPr>
        <w:footnoteReference w:id="62"/>
      </w:r>
      <w:r w:rsidR="008D0AD2">
        <w:rPr>
          <w:rFonts w:asciiTheme="majorBidi" w:hAnsiTheme="majorBidi" w:cstheme="majorBidi"/>
          <w:sz w:val="24"/>
          <w:szCs w:val="24"/>
        </w:rPr>
        <w:t xml:space="preserve"> While parliament can intervene to abolish the</w:t>
      </w:r>
      <w:r w:rsidR="00E7619C">
        <w:rPr>
          <w:rFonts w:asciiTheme="majorBidi" w:hAnsiTheme="majorBidi" w:cstheme="majorBidi"/>
          <w:sz w:val="24"/>
          <w:szCs w:val="24"/>
        </w:rPr>
        <w:t xml:space="preserve"> no-property</w:t>
      </w:r>
      <w:r w:rsidR="008D0AD2">
        <w:rPr>
          <w:rFonts w:asciiTheme="majorBidi" w:hAnsiTheme="majorBidi" w:cstheme="majorBidi"/>
          <w:sz w:val="24"/>
          <w:szCs w:val="24"/>
        </w:rPr>
        <w:t xml:space="preserve"> rule in the future, we should in the interim provide effective</w:t>
      </w:r>
      <w:r w:rsidR="004677C5">
        <w:rPr>
          <w:rFonts w:asciiTheme="majorBidi" w:hAnsiTheme="majorBidi" w:cstheme="majorBidi"/>
          <w:sz w:val="24"/>
          <w:szCs w:val="24"/>
        </w:rPr>
        <w:t xml:space="preserve"> legal</w:t>
      </w:r>
      <w:r w:rsidR="008D0AD2">
        <w:rPr>
          <w:rFonts w:asciiTheme="majorBidi" w:hAnsiTheme="majorBidi" w:cstheme="majorBidi"/>
          <w:sz w:val="24"/>
          <w:szCs w:val="24"/>
        </w:rPr>
        <w:t xml:space="preserve"> redress for tissue sources by recognising that their proprietary claims over unauthorised interferences with their bodily parts entail a useful duplex on the no-property rule. We would be doin</w:t>
      </w:r>
      <w:r w:rsidR="00447785">
        <w:rPr>
          <w:rFonts w:asciiTheme="majorBidi" w:hAnsiTheme="majorBidi" w:cstheme="majorBidi"/>
          <w:sz w:val="24"/>
          <w:szCs w:val="24"/>
        </w:rPr>
        <w:t>g no more than</w:t>
      </w:r>
      <w:r w:rsidR="008D0AD2">
        <w:rPr>
          <w:rFonts w:asciiTheme="majorBidi" w:hAnsiTheme="majorBidi" w:cstheme="majorBidi"/>
          <w:sz w:val="24"/>
          <w:szCs w:val="24"/>
        </w:rPr>
        <w:t xml:space="preserve"> extending to tissue sources the sort of</w:t>
      </w:r>
      <w:r w:rsidR="00426A7A">
        <w:rPr>
          <w:rFonts w:asciiTheme="majorBidi" w:hAnsiTheme="majorBidi" w:cstheme="majorBidi"/>
          <w:sz w:val="24"/>
          <w:szCs w:val="24"/>
        </w:rPr>
        <w:t xml:space="preserve"> duplex thinking that</w:t>
      </w:r>
      <w:r w:rsidR="008D0AD2">
        <w:rPr>
          <w:rFonts w:asciiTheme="majorBidi" w:hAnsiTheme="majorBidi" w:cstheme="majorBidi"/>
          <w:sz w:val="24"/>
          <w:szCs w:val="24"/>
        </w:rPr>
        <w:t xml:space="preserve"> already prevails in relation to</w:t>
      </w:r>
      <w:r w:rsidR="00426A7A">
        <w:rPr>
          <w:rFonts w:asciiTheme="majorBidi" w:hAnsiTheme="majorBidi" w:cstheme="majorBidi"/>
          <w:sz w:val="24"/>
          <w:szCs w:val="24"/>
        </w:rPr>
        <w:t xml:space="preserve"> the proprietary claims</w:t>
      </w:r>
      <w:r w:rsidR="008D0AD2">
        <w:rPr>
          <w:rFonts w:asciiTheme="majorBidi" w:hAnsiTheme="majorBidi" w:cstheme="majorBidi"/>
          <w:sz w:val="24"/>
          <w:szCs w:val="24"/>
        </w:rPr>
        <w:t xml:space="preserve"> of</w:t>
      </w:r>
      <w:r w:rsidR="00426A7A">
        <w:rPr>
          <w:rFonts w:asciiTheme="majorBidi" w:hAnsiTheme="majorBidi" w:cstheme="majorBidi"/>
          <w:sz w:val="24"/>
          <w:szCs w:val="24"/>
        </w:rPr>
        <w:t xml:space="preserve"> tissue users/innovators</w:t>
      </w:r>
      <w:r w:rsidR="008D0AD2">
        <w:rPr>
          <w:rFonts w:asciiTheme="majorBidi" w:hAnsiTheme="majorBidi" w:cstheme="majorBidi"/>
          <w:sz w:val="24"/>
          <w:szCs w:val="24"/>
        </w:rPr>
        <w:t>.</w:t>
      </w:r>
      <w:r w:rsidR="00E7619C">
        <w:rPr>
          <w:rFonts w:asciiTheme="majorBidi" w:hAnsiTheme="majorBidi" w:cstheme="majorBidi"/>
          <w:sz w:val="24"/>
          <w:szCs w:val="24"/>
        </w:rPr>
        <w:t xml:space="preserve"> </w:t>
      </w:r>
      <w:r w:rsidR="00640F2E">
        <w:rPr>
          <w:rFonts w:asciiTheme="majorBidi" w:hAnsiTheme="majorBidi" w:cstheme="majorBidi"/>
          <w:sz w:val="24"/>
          <w:szCs w:val="24"/>
        </w:rPr>
        <w:t>W</w:t>
      </w:r>
      <w:r w:rsidR="00C85E74">
        <w:rPr>
          <w:rFonts w:asciiTheme="majorBidi" w:hAnsiTheme="majorBidi" w:cstheme="majorBidi"/>
          <w:sz w:val="24"/>
          <w:szCs w:val="24"/>
        </w:rPr>
        <w:t xml:space="preserve">ithout such an approach, claims by tissue sources can only be analysed </w:t>
      </w:r>
      <w:r w:rsidR="00640F2E">
        <w:rPr>
          <w:rFonts w:asciiTheme="majorBidi" w:hAnsiTheme="majorBidi" w:cstheme="majorBidi"/>
          <w:sz w:val="24"/>
          <w:szCs w:val="24"/>
        </w:rPr>
        <w:t>under the</w:t>
      </w:r>
      <w:r w:rsidR="00C85E74">
        <w:rPr>
          <w:rFonts w:asciiTheme="majorBidi" w:hAnsiTheme="majorBidi" w:cstheme="majorBidi"/>
          <w:sz w:val="24"/>
          <w:szCs w:val="24"/>
        </w:rPr>
        <w:t xml:space="preserve"> non-proprietary</w:t>
      </w:r>
      <w:r w:rsidR="00E7619C">
        <w:rPr>
          <w:rFonts w:asciiTheme="majorBidi" w:hAnsiTheme="majorBidi" w:cstheme="majorBidi"/>
          <w:sz w:val="24"/>
          <w:szCs w:val="24"/>
        </w:rPr>
        <w:t xml:space="preserve"> frameworks</w:t>
      </w:r>
      <w:r w:rsidR="00C85E74">
        <w:rPr>
          <w:rFonts w:asciiTheme="majorBidi" w:hAnsiTheme="majorBidi" w:cstheme="majorBidi"/>
          <w:sz w:val="24"/>
          <w:szCs w:val="24"/>
        </w:rPr>
        <w:t xml:space="preserve"> of private law</w:t>
      </w:r>
      <w:r w:rsidR="00E7619C">
        <w:rPr>
          <w:rFonts w:asciiTheme="majorBidi" w:hAnsiTheme="majorBidi" w:cstheme="majorBidi"/>
          <w:sz w:val="24"/>
          <w:szCs w:val="24"/>
        </w:rPr>
        <w:t>;</w:t>
      </w:r>
      <w:r w:rsidR="00C85E74">
        <w:rPr>
          <w:rFonts w:asciiTheme="majorBidi" w:hAnsiTheme="majorBidi" w:cstheme="majorBidi"/>
          <w:sz w:val="24"/>
          <w:szCs w:val="24"/>
        </w:rPr>
        <w:t xml:space="preserve"> as highlighted below,</w:t>
      </w:r>
      <w:r w:rsidR="00E7619C">
        <w:rPr>
          <w:rFonts w:asciiTheme="majorBidi" w:hAnsiTheme="majorBidi" w:cstheme="majorBidi"/>
          <w:sz w:val="24"/>
          <w:szCs w:val="24"/>
        </w:rPr>
        <w:t xml:space="preserve"> such frameworks</w:t>
      </w:r>
      <w:r w:rsidR="00C85E74">
        <w:rPr>
          <w:rFonts w:asciiTheme="majorBidi" w:hAnsiTheme="majorBidi" w:cstheme="majorBidi"/>
          <w:sz w:val="24"/>
          <w:szCs w:val="24"/>
        </w:rPr>
        <w:t xml:space="preserve"> forebode grave injustices </w:t>
      </w:r>
      <w:r w:rsidR="00640F2E">
        <w:rPr>
          <w:rFonts w:asciiTheme="majorBidi" w:hAnsiTheme="majorBidi" w:cstheme="majorBidi"/>
          <w:sz w:val="24"/>
          <w:szCs w:val="24"/>
        </w:rPr>
        <w:t>to</w:t>
      </w:r>
      <w:r w:rsidR="00C85E74">
        <w:rPr>
          <w:rFonts w:asciiTheme="majorBidi" w:hAnsiTheme="majorBidi" w:cstheme="majorBidi"/>
          <w:sz w:val="24"/>
          <w:szCs w:val="24"/>
        </w:rPr>
        <w:t xml:space="preserve"> tissue source</w:t>
      </w:r>
      <w:r w:rsidR="00E7619C">
        <w:rPr>
          <w:rFonts w:asciiTheme="majorBidi" w:hAnsiTheme="majorBidi" w:cstheme="majorBidi"/>
          <w:sz w:val="24"/>
          <w:szCs w:val="24"/>
        </w:rPr>
        <w:t>s</w:t>
      </w:r>
      <w:r w:rsidR="00C85E74">
        <w:rPr>
          <w:rFonts w:asciiTheme="majorBidi" w:hAnsiTheme="majorBidi" w:cstheme="majorBidi"/>
          <w:sz w:val="24"/>
          <w:szCs w:val="24"/>
        </w:rPr>
        <w:t xml:space="preserve">. </w:t>
      </w:r>
    </w:p>
    <w:p w:rsidR="00FB31F2" w:rsidRPr="002D76FF" w:rsidRDefault="007C3FE6" w:rsidP="003E2934">
      <w:pPr>
        <w:ind w:firstLine="720"/>
        <w:jc w:val="both"/>
        <w:rPr>
          <w:rFonts w:asciiTheme="majorBidi" w:hAnsiTheme="majorBidi" w:cstheme="majorBidi"/>
          <w:sz w:val="24"/>
          <w:szCs w:val="24"/>
        </w:rPr>
      </w:pPr>
      <w:r>
        <w:rPr>
          <w:rFonts w:asciiTheme="majorBidi" w:hAnsiTheme="majorBidi" w:cstheme="majorBidi"/>
          <w:sz w:val="24"/>
          <w:szCs w:val="24"/>
        </w:rPr>
        <w:t xml:space="preserve">A negligence action for unauthorised interferences with bodily parts would fail for the simple </w:t>
      </w:r>
      <w:r w:rsidR="00182052">
        <w:rPr>
          <w:rFonts w:asciiTheme="majorBidi" w:hAnsiTheme="majorBidi" w:cstheme="majorBidi"/>
          <w:sz w:val="24"/>
          <w:szCs w:val="24"/>
        </w:rPr>
        <w:t>reason</w:t>
      </w:r>
      <w:r>
        <w:rPr>
          <w:rFonts w:asciiTheme="majorBidi" w:hAnsiTheme="majorBidi" w:cstheme="majorBidi"/>
          <w:sz w:val="24"/>
          <w:szCs w:val="24"/>
        </w:rPr>
        <w:t xml:space="preserve"> that such interferences are usually intentional rather than being negligent.</w:t>
      </w:r>
      <w:r w:rsidR="00E334FB">
        <w:rPr>
          <w:rStyle w:val="FootnoteReference"/>
          <w:rFonts w:asciiTheme="majorBidi" w:hAnsiTheme="majorBidi" w:cstheme="majorBidi"/>
          <w:sz w:val="24"/>
          <w:szCs w:val="24"/>
        </w:rPr>
        <w:footnoteReference w:id="63"/>
      </w:r>
      <w:r>
        <w:rPr>
          <w:rFonts w:asciiTheme="majorBidi" w:hAnsiTheme="majorBidi" w:cstheme="majorBidi"/>
          <w:sz w:val="24"/>
          <w:szCs w:val="24"/>
        </w:rPr>
        <w:t xml:space="preserve"> Even if</w:t>
      </w:r>
      <w:r w:rsidR="00182052">
        <w:rPr>
          <w:rFonts w:asciiTheme="majorBidi" w:hAnsiTheme="majorBidi" w:cstheme="majorBidi"/>
          <w:sz w:val="24"/>
          <w:szCs w:val="24"/>
        </w:rPr>
        <w:t xml:space="preserve"> such</w:t>
      </w:r>
      <w:r>
        <w:rPr>
          <w:rFonts w:asciiTheme="majorBidi" w:hAnsiTheme="majorBidi" w:cstheme="majorBidi"/>
          <w:sz w:val="24"/>
          <w:szCs w:val="24"/>
        </w:rPr>
        <w:t xml:space="preserve"> a claim were to arise, the elements of causation (as in </w:t>
      </w:r>
      <w:r w:rsidRPr="007C3FE6">
        <w:rPr>
          <w:rFonts w:asciiTheme="majorBidi" w:hAnsiTheme="majorBidi" w:cstheme="majorBidi"/>
          <w:i/>
          <w:iCs/>
          <w:sz w:val="24"/>
          <w:szCs w:val="24"/>
        </w:rPr>
        <w:t>Moore</w:t>
      </w:r>
      <w:r>
        <w:rPr>
          <w:rFonts w:asciiTheme="majorBidi" w:hAnsiTheme="majorBidi" w:cstheme="majorBidi"/>
          <w:sz w:val="24"/>
          <w:szCs w:val="24"/>
        </w:rPr>
        <w:t xml:space="preserve">) and damage (as in </w:t>
      </w:r>
      <w:r w:rsidRPr="007C3FE6">
        <w:rPr>
          <w:rFonts w:asciiTheme="majorBidi" w:hAnsiTheme="majorBidi" w:cstheme="majorBidi"/>
          <w:i/>
          <w:iCs/>
          <w:sz w:val="24"/>
          <w:szCs w:val="24"/>
        </w:rPr>
        <w:t>Yearworth</w:t>
      </w:r>
      <w:r>
        <w:rPr>
          <w:rFonts w:asciiTheme="majorBidi" w:hAnsiTheme="majorBidi" w:cstheme="majorBidi"/>
          <w:sz w:val="24"/>
          <w:szCs w:val="24"/>
        </w:rPr>
        <w:t>) are bound to be problematical. A claim for the negligent infliction of psychiatric injury is more likely to be relevant; even here,</w:t>
      </w:r>
      <w:r w:rsidR="00182052">
        <w:rPr>
          <w:rFonts w:asciiTheme="majorBidi" w:hAnsiTheme="majorBidi" w:cstheme="majorBidi"/>
          <w:sz w:val="24"/>
          <w:szCs w:val="24"/>
        </w:rPr>
        <w:t xml:space="preserve"> remedial success is undermined by the requirement that</w:t>
      </w:r>
      <w:r>
        <w:rPr>
          <w:rFonts w:asciiTheme="majorBidi" w:hAnsiTheme="majorBidi" w:cstheme="majorBidi"/>
          <w:sz w:val="24"/>
          <w:szCs w:val="24"/>
        </w:rPr>
        <w:t xml:space="preserve"> the</w:t>
      </w:r>
      <w:r w:rsidR="00182052">
        <w:rPr>
          <w:rFonts w:asciiTheme="majorBidi" w:hAnsiTheme="majorBidi" w:cstheme="majorBidi"/>
          <w:sz w:val="24"/>
          <w:szCs w:val="24"/>
        </w:rPr>
        <w:t xml:space="preserve"> psychiatric injury must be of a recognisable psychiatric illness.</w:t>
      </w:r>
      <w:r w:rsidR="00182052">
        <w:rPr>
          <w:rStyle w:val="FootnoteReference"/>
          <w:rFonts w:asciiTheme="majorBidi" w:hAnsiTheme="majorBidi" w:cstheme="majorBidi"/>
          <w:sz w:val="24"/>
          <w:szCs w:val="24"/>
        </w:rPr>
        <w:footnoteReference w:id="64"/>
      </w:r>
      <w:r w:rsidR="00182052">
        <w:rPr>
          <w:rFonts w:asciiTheme="majorBidi" w:hAnsiTheme="majorBidi" w:cstheme="majorBidi"/>
          <w:sz w:val="24"/>
          <w:szCs w:val="24"/>
        </w:rPr>
        <w:t xml:space="preserve"> Moreover, in England and Wales, a claim for the negligent infliction of psychiatric injury is hedged</w:t>
      </w:r>
      <w:r w:rsidR="00A7541C">
        <w:rPr>
          <w:rFonts w:asciiTheme="majorBidi" w:hAnsiTheme="majorBidi" w:cstheme="majorBidi"/>
          <w:sz w:val="24"/>
          <w:szCs w:val="24"/>
        </w:rPr>
        <w:t xml:space="preserve"> with control mechanisms that require prove of diverse personal</w:t>
      </w:r>
      <w:r w:rsidR="00A12C00">
        <w:rPr>
          <w:rFonts w:asciiTheme="majorBidi" w:hAnsiTheme="majorBidi" w:cstheme="majorBidi"/>
          <w:sz w:val="24"/>
          <w:szCs w:val="24"/>
        </w:rPr>
        <w:t xml:space="preserve"> connexions</w:t>
      </w:r>
      <w:r w:rsidR="00A7541C">
        <w:rPr>
          <w:rFonts w:asciiTheme="majorBidi" w:hAnsiTheme="majorBidi" w:cstheme="majorBidi"/>
          <w:sz w:val="24"/>
          <w:szCs w:val="24"/>
        </w:rPr>
        <w:t xml:space="preserve"> and proximity factors.</w:t>
      </w:r>
      <w:r w:rsidR="00A7541C">
        <w:rPr>
          <w:rStyle w:val="FootnoteReference"/>
          <w:rFonts w:asciiTheme="majorBidi" w:hAnsiTheme="majorBidi" w:cstheme="majorBidi"/>
          <w:sz w:val="24"/>
          <w:szCs w:val="24"/>
        </w:rPr>
        <w:footnoteReference w:id="65"/>
      </w:r>
      <w:r w:rsidR="00A7541C">
        <w:rPr>
          <w:rFonts w:asciiTheme="majorBidi" w:hAnsiTheme="majorBidi" w:cstheme="majorBidi"/>
          <w:sz w:val="24"/>
          <w:szCs w:val="24"/>
        </w:rPr>
        <w:t xml:space="preserve"> Unless the claimant is a primary victim, the control mechanisms would almost certainly guarantee the failure</w:t>
      </w:r>
      <w:r w:rsidR="00A12C00">
        <w:rPr>
          <w:rFonts w:asciiTheme="majorBidi" w:hAnsiTheme="majorBidi" w:cstheme="majorBidi"/>
          <w:sz w:val="24"/>
          <w:szCs w:val="24"/>
        </w:rPr>
        <w:t xml:space="preserve"> of</w:t>
      </w:r>
      <w:r w:rsidR="005E5802">
        <w:rPr>
          <w:rFonts w:asciiTheme="majorBidi" w:hAnsiTheme="majorBidi" w:cstheme="majorBidi"/>
          <w:sz w:val="24"/>
          <w:szCs w:val="24"/>
        </w:rPr>
        <w:t xml:space="preserve"> a negligent claim for the infliction of mental distress</w:t>
      </w:r>
      <w:r w:rsidR="00A7541C">
        <w:rPr>
          <w:rFonts w:asciiTheme="majorBidi" w:hAnsiTheme="majorBidi" w:cstheme="majorBidi"/>
          <w:sz w:val="24"/>
          <w:szCs w:val="24"/>
        </w:rPr>
        <w:t>.</w:t>
      </w:r>
      <w:r w:rsidR="00997300">
        <w:rPr>
          <w:rStyle w:val="FootnoteReference"/>
          <w:rFonts w:asciiTheme="majorBidi" w:hAnsiTheme="majorBidi" w:cstheme="majorBidi"/>
          <w:sz w:val="24"/>
          <w:szCs w:val="24"/>
        </w:rPr>
        <w:footnoteReference w:id="66"/>
      </w:r>
      <w:r w:rsidR="00F37B4E">
        <w:rPr>
          <w:rFonts w:asciiTheme="majorBidi" w:hAnsiTheme="majorBidi" w:cstheme="majorBidi"/>
          <w:sz w:val="24"/>
          <w:szCs w:val="24"/>
        </w:rPr>
        <w:t xml:space="preserve"> While an intentional tort action appears to offer the best liability theory for adjudicating non-consensual dealings with separated bodily parts, remedial problems still abound.</w:t>
      </w:r>
      <w:r w:rsidR="00EF3A70">
        <w:rPr>
          <w:rStyle w:val="FootnoteReference"/>
          <w:rFonts w:asciiTheme="majorBidi" w:hAnsiTheme="majorBidi" w:cstheme="majorBidi"/>
          <w:sz w:val="24"/>
          <w:szCs w:val="24"/>
        </w:rPr>
        <w:footnoteReference w:id="67"/>
      </w:r>
      <w:r w:rsidR="00F37B4E">
        <w:rPr>
          <w:rFonts w:asciiTheme="majorBidi" w:hAnsiTheme="majorBidi" w:cstheme="majorBidi"/>
          <w:sz w:val="24"/>
          <w:szCs w:val="24"/>
        </w:rPr>
        <w:t xml:space="preserve"> </w:t>
      </w:r>
      <w:r w:rsidR="00AA529C">
        <w:rPr>
          <w:rFonts w:asciiTheme="majorBidi" w:hAnsiTheme="majorBidi" w:cstheme="majorBidi"/>
          <w:sz w:val="24"/>
          <w:szCs w:val="24"/>
        </w:rPr>
        <w:t>To begin with, the tort requires that the</w:t>
      </w:r>
      <w:r w:rsidR="00AA529C" w:rsidRPr="00AA529C">
        <w:rPr>
          <w:rFonts w:asciiTheme="majorBidi" w:hAnsiTheme="majorBidi" w:cstheme="majorBidi"/>
          <w:sz w:val="24"/>
          <w:szCs w:val="24"/>
        </w:rPr>
        <w:t xml:space="preserve"> </w:t>
      </w:r>
      <w:r w:rsidR="00AA529C">
        <w:rPr>
          <w:rFonts w:asciiTheme="majorBidi" w:hAnsiTheme="majorBidi" w:cstheme="majorBidi"/>
          <w:sz w:val="24"/>
          <w:szCs w:val="24"/>
        </w:rPr>
        <w:t>claimant must be a direct percipient witness to an injury, or that the defendant must have directly intended to inflict psychiatric harm on the claimant.</w:t>
      </w:r>
      <w:r w:rsidR="00AA529C">
        <w:rPr>
          <w:rStyle w:val="FootnoteReference"/>
          <w:rFonts w:asciiTheme="majorBidi" w:hAnsiTheme="majorBidi" w:cstheme="majorBidi"/>
          <w:sz w:val="24"/>
          <w:szCs w:val="24"/>
        </w:rPr>
        <w:footnoteReference w:id="68"/>
      </w:r>
      <w:r w:rsidR="00AA529C">
        <w:rPr>
          <w:rFonts w:asciiTheme="majorBidi" w:hAnsiTheme="majorBidi" w:cstheme="majorBidi"/>
          <w:sz w:val="24"/>
          <w:szCs w:val="24"/>
        </w:rPr>
        <w:t xml:space="preserve"> </w:t>
      </w:r>
      <w:r w:rsidR="00EF3A70">
        <w:rPr>
          <w:rFonts w:asciiTheme="majorBidi" w:hAnsiTheme="majorBidi" w:cstheme="majorBidi"/>
          <w:sz w:val="24"/>
          <w:szCs w:val="24"/>
        </w:rPr>
        <w:t>However, t</w:t>
      </w:r>
      <w:r w:rsidR="00AA529C">
        <w:rPr>
          <w:rFonts w:asciiTheme="majorBidi" w:hAnsiTheme="majorBidi" w:cstheme="majorBidi"/>
          <w:sz w:val="24"/>
          <w:szCs w:val="24"/>
        </w:rPr>
        <w:t xml:space="preserve">he surreptitious nature of most unauthorised dealings with separated bodily parts and the profit or research motive that dominates the agenda of </w:t>
      </w:r>
      <w:r w:rsidR="00EF3A70">
        <w:rPr>
          <w:rFonts w:asciiTheme="majorBidi" w:hAnsiTheme="majorBidi" w:cstheme="majorBidi"/>
          <w:sz w:val="24"/>
          <w:szCs w:val="24"/>
        </w:rPr>
        <w:t>most</w:t>
      </w:r>
      <w:r w:rsidR="00AA529C">
        <w:rPr>
          <w:rFonts w:asciiTheme="majorBidi" w:hAnsiTheme="majorBidi" w:cstheme="majorBidi"/>
          <w:sz w:val="24"/>
          <w:szCs w:val="24"/>
        </w:rPr>
        <w:t xml:space="preserve"> defendants</w:t>
      </w:r>
      <w:r w:rsidR="00EF3A70">
        <w:rPr>
          <w:rFonts w:asciiTheme="majorBidi" w:hAnsiTheme="majorBidi" w:cstheme="majorBidi"/>
          <w:sz w:val="24"/>
          <w:szCs w:val="24"/>
        </w:rPr>
        <w:t xml:space="preserve"> in such cases</w:t>
      </w:r>
      <w:r w:rsidR="00AA529C">
        <w:rPr>
          <w:rFonts w:asciiTheme="majorBidi" w:hAnsiTheme="majorBidi" w:cstheme="majorBidi"/>
          <w:sz w:val="24"/>
          <w:szCs w:val="24"/>
        </w:rPr>
        <w:t xml:space="preserve"> make it extremely</w:t>
      </w:r>
      <w:r w:rsidR="00EF3A70">
        <w:rPr>
          <w:rFonts w:asciiTheme="majorBidi" w:hAnsiTheme="majorBidi" w:cstheme="majorBidi"/>
          <w:sz w:val="24"/>
          <w:szCs w:val="24"/>
        </w:rPr>
        <w:t xml:space="preserve"> unlikely that a claimant would be able to prove</w:t>
      </w:r>
      <w:r w:rsidR="00AA529C">
        <w:rPr>
          <w:rFonts w:asciiTheme="majorBidi" w:hAnsiTheme="majorBidi" w:cstheme="majorBidi"/>
          <w:sz w:val="24"/>
          <w:szCs w:val="24"/>
        </w:rPr>
        <w:t xml:space="preserve"> th</w:t>
      </w:r>
      <w:r w:rsidR="003E2934">
        <w:rPr>
          <w:rFonts w:asciiTheme="majorBidi" w:hAnsiTheme="majorBidi" w:cstheme="majorBidi"/>
          <w:sz w:val="24"/>
          <w:szCs w:val="24"/>
        </w:rPr>
        <w:t>is</w:t>
      </w:r>
      <w:r w:rsidR="00AA529C">
        <w:rPr>
          <w:rFonts w:asciiTheme="majorBidi" w:hAnsiTheme="majorBidi" w:cstheme="majorBidi"/>
          <w:sz w:val="24"/>
          <w:szCs w:val="24"/>
        </w:rPr>
        <w:t xml:space="preserve"> element of the tort</w:t>
      </w:r>
      <w:r w:rsidR="00EF3A70">
        <w:rPr>
          <w:rFonts w:asciiTheme="majorBidi" w:hAnsiTheme="majorBidi" w:cstheme="majorBidi"/>
          <w:sz w:val="24"/>
          <w:szCs w:val="24"/>
        </w:rPr>
        <w:t>.</w:t>
      </w:r>
      <w:r w:rsidR="00AA529C">
        <w:rPr>
          <w:rFonts w:asciiTheme="majorBidi" w:hAnsiTheme="majorBidi" w:cstheme="majorBidi"/>
          <w:sz w:val="24"/>
          <w:szCs w:val="24"/>
        </w:rPr>
        <w:t xml:space="preserve"> </w:t>
      </w:r>
      <w:r w:rsidR="00EF3A70">
        <w:rPr>
          <w:rFonts w:asciiTheme="majorBidi" w:hAnsiTheme="majorBidi" w:cstheme="majorBidi"/>
          <w:sz w:val="24"/>
          <w:szCs w:val="24"/>
        </w:rPr>
        <w:t>Moreover, even though the intentional tort category in England and Wales has shaken off the shadow cast on its legitimacy by Lord Hoffmann in</w:t>
      </w:r>
      <w:r w:rsidR="00EF3A70" w:rsidRPr="00EF3A70">
        <w:rPr>
          <w:rFonts w:asciiTheme="majorBidi" w:hAnsiTheme="majorBidi" w:cstheme="majorBidi"/>
          <w:i/>
          <w:iCs/>
          <w:sz w:val="24"/>
          <w:szCs w:val="24"/>
        </w:rPr>
        <w:t xml:space="preserve"> </w:t>
      </w:r>
      <w:r w:rsidR="00EF3A70" w:rsidRPr="00DC1B98">
        <w:rPr>
          <w:rFonts w:asciiTheme="majorBidi" w:hAnsiTheme="majorBidi" w:cstheme="majorBidi"/>
          <w:i/>
          <w:iCs/>
          <w:sz w:val="24"/>
          <w:szCs w:val="24"/>
        </w:rPr>
        <w:t>Wainwright v Home Office</w:t>
      </w:r>
      <w:r w:rsidR="00EF3A70">
        <w:rPr>
          <w:rFonts w:asciiTheme="majorBidi" w:hAnsiTheme="majorBidi" w:cstheme="majorBidi"/>
          <w:sz w:val="24"/>
          <w:szCs w:val="24"/>
        </w:rPr>
        <w:t>,</w:t>
      </w:r>
      <w:r w:rsidR="00EF3A70">
        <w:rPr>
          <w:rStyle w:val="FootnoteReference"/>
          <w:rFonts w:asciiTheme="majorBidi" w:hAnsiTheme="majorBidi" w:cstheme="majorBidi"/>
          <w:sz w:val="24"/>
          <w:szCs w:val="24"/>
        </w:rPr>
        <w:footnoteReference w:id="69"/>
      </w:r>
      <w:r w:rsidR="00C9090E">
        <w:rPr>
          <w:rFonts w:asciiTheme="majorBidi" w:hAnsiTheme="majorBidi" w:cstheme="majorBidi"/>
          <w:sz w:val="24"/>
          <w:szCs w:val="24"/>
        </w:rPr>
        <w:t xml:space="preserve"> problems still arise</w:t>
      </w:r>
      <w:r w:rsidR="002D76FF">
        <w:rPr>
          <w:rFonts w:asciiTheme="majorBidi" w:hAnsiTheme="majorBidi" w:cstheme="majorBidi"/>
          <w:sz w:val="24"/>
          <w:szCs w:val="24"/>
        </w:rPr>
        <w:t xml:space="preserve"> from the recent</w:t>
      </w:r>
      <w:r w:rsidR="00786C67">
        <w:rPr>
          <w:rFonts w:asciiTheme="majorBidi" w:hAnsiTheme="majorBidi" w:cstheme="majorBidi"/>
          <w:sz w:val="24"/>
          <w:szCs w:val="24"/>
        </w:rPr>
        <w:t xml:space="preserve"> Supreme Court</w:t>
      </w:r>
      <w:r w:rsidR="002D76FF">
        <w:rPr>
          <w:rFonts w:asciiTheme="majorBidi" w:hAnsiTheme="majorBidi" w:cstheme="majorBidi"/>
          <w:sz w:val="24"/>
          <w:szCs w:val="24"/>
        </w:rPr>
        <w:t xml:space="preserve"> decision</w:t>
      </w:r>
      <w:r w:rsidR="00786C67">
        <w:rPr>
          <w:rFonts w:asciiTheme="majorBidi" w:hAnsiTheme="majorBidi" w:cstheme="majorBidi"/>
          <w:sz w:val="24"/>
          <w:szCs w:val="24"/>
        </w:rPr>
        <w:t xml:space="preserve"> in </w:t>
      </w:r>
      <w:r w:rsidR="00786C67" w:rsidRPr="00DC1B98">
        <w:rPr>
          <w:rFonts w:asciiTheme="majorBidi" w:hAnsiTheme="majorBidi" w:cstheme="majorBidi"/>
          <w:i/>
          <w:iCs/>
          <w:sz w:val="24"/>
          <w:szCs w:val="24"/>
        </w:rPr>
        <w:t>Rhodes v OPO</w:t>
      </w:r>
      <w:r w:rsidR="002D76FF">
        <w:rPr>
          <w:rFonts w:asciiTheme="majorBidi" w:hAnsiTheme="majorBidi" w:cstheme="majorBidi"/>
          <w:sz w:val="24"/>
          <w:szCs w:val="24"/>
        </w:rPr>
        <w:t>;</w:t>
      </w:r>
      <w:r w:rsidR="00AD5D64">
        <w:rPr>
          <w:rStyle w:val="FootnoteReference"/>
          <w:rFonts w:asciiTheme="majorBidi" w:hAnsiTheme="majorBidi" w:cstheme="majorBidi"/>
          <w:sz w:val="24"/>
          <w:szCs w:val="24"/>
        </w:rPr>
        <w:footnoteReference w:id="70"/>
      </w:r>
      <w:r w:rsidR="00AD5D64">
        <w:rPr>
          <w:rFonts w:asciiTheme="majorBidi" w:hAnsiTheme="majorBidi" w:cstheme="majorBidi"/>
          <w:sz w:val="24"/>
          <w:szCs w:val="24"/>
        </w:rPr>
        <w:t xml:space="preserve"> </w:t>
      </w:r>
      <w:r w:rsidR="002D76FF">
        <w:rPr>
          <w:rFonts w:asciiTheme="majorBidi" w:hAnsiTheme="majorBidi" w:cstheme="majorBidi"/>
          <w:sz w:val="24"/>
          <w:szCs w:val="24"/>
        </w:rPr>
        <w:t>there,</w:t>
      </w:r>
      <w:r w:rsidR="00AD5D64">
        <w:rPr>
          <w:rFonts w:asciiTheme="majorBidi" w:hAnsiTheme="majorBidi" w:cstheme="majorBidi"/>
          <w:sz w:val="24"/>
          <w:szCs w:val="24"/>
        </w:rPr>
        <w:t xml:space="preserve"> </w:t>
      </w:r>
      <w:r w:rsidR="006A448F">
        <w:rPr>
          <w:rFonts w:asciiTheme="majorBidi" w:hAnsiTheme="majorBidi" w:cstheme="majorBidi"/>
          <w:sz w:val="24"/>
          <w:szCs w:val="24"/>
        </w:rPr>
        <w:t>an infant claimant unsuc</w:t>
      </w:r>
      <w:r w:rsidR="00AD5D64">
        <w:rPr>
          <w:rFonts w:asciiTheme="majorBidi" w:hAnsiTheme="majorBidi" w:cstheme="majorBidi"/>
          <w:sz w:val="24"/>
          <w:szCs w:val="24"/>
        </w:rPr>
        <w:t>cessfully sought to restrain the publication of his father’s autobiographical work</w:t>
      </w:r>
      <w:r w:rsidR="006A448F">
        <w:rPr>
          <w:rFonts w:asciiTheme="majorBidi" w:hAnsiTheme="majorBidi" w:cstheme="majorBidi"/>
          <w:sz w:val="24"/>
          <w:szCs w:val="24"/>
        </w:rPr>
        <w:t>,</w:t>
      </w:r>
      <w:r w:rsidR="00AD5D64">
        <w:rPr>
          <w:rFonts w:asciiTheme="majorBidi" w:hAnsiTheme="majorBidi" w:cstheme="majorBidi"/>
          <w:sz w:val="24"/>
          <w:szCs w:val="24"/>
        </w:rPr>
        <w:t xml:space="preserve"> on the ground that publication of certain information contained</w:t>
      </w:r>
      <w:r w:rsidR="006A448F">
        <w:rPr>
          <w:rFonts w:asciiTheme="majorBidi" w:hAnsiTheme="majorBidi" w:cstheme="majorBidi"/>
          <w:sz w:val="24"/>
          <w:szCs w:val="24"/>
        </w:rPr>
        <w:t xml:space="preserve"> in the book</w:t>
      </w:r>
      <w:r w:rsidR="00AD5D64">
        <w:rPr>
          <w:rFonts w:asciiTheme="majorBidi" w:hAnsiTheme="majorBidi" w:cstheme="majorBidi"/>
          <w:sz w:val="24"/>
          <w:szCs w:val="24"/>
        </w:rPr>
        <w:t xml:space="preserve"> would inflict psychiatric </w:t>
      </w:r>
      <w:r w:rsidR="006A448F">
        <w:rPr>
          <w:rFonts w:asciiTheme="majorBidi" w:hAnsiTheme="majorBidi" w:cstheme="majorBidi"/>
          <w:sz w:val="24"/>
          <w:szCs w:val="24"/>
        </w:rPr>
        <w:t>injury on him</w:t>
      </w:r>
      <w:r w:rsidR="00AD5D64">
        <w:rPr>
          <w:rFonts w:asciiTheme="majorBidi" w:hAnsiTheme="majorBidi" w:cstheme="majorBidi"/>
          <w:sz w:val="24"/>
          <w:szCs w:val="24"/>
        </w:rPr>
        <w:t>.</w:t>
      </w:r>
      <w:r w:rsidR="00786C67">
        <w:rPr>
          <w:rFonts w:asciiTheme="majorBidi" w:hAnsiTheme="majorBidi" w:cstheme="majorBidi"/>
          <w:sz w:val="24"/>
          <w:szCs w:val="24"/>
        </w:rPr>
        <w:t xml:space="preserve"> </w:t>
      </w:r>
      <w:r w:rsidR="00AD5D64">
        <w:rPr>
          <w:rFonts w:asciiTheme="majorBidi" w:hAnsiTheme="majorBidi" w:cstheme="majorBidi"/>
          <w:sz w:val="24"/>
          <w:szCs w:val="24"/>
        </w:rPr>
        <w:t>The Supreme Court took the opportunity to</w:t>
      </w:r>
      <w:r w:rsidR="00786C67">
        <w:rPr>
          <w:rFonts w:asciiTheme="majorBidi" w:hAnsiTheme="majorBidi" w:cstheme="majorBidi"/>
          <w:sz w:val="24"/>
          <w:szCs w:val="24"/>
        </w:rPr>
        <w:t xml:space="preserve"> recognis</w:t>
      </w:r>
      <w:r w:rsidR="00AD5D64">
        <w:rPr>
          <w:rFonts w:asciiTheme="majorBidi" w:hAnsiTheme="majorBidi" w:cstheme="majorBidi"/>
          <w:sz w:val="24"/>
          <w:szCs w:val="24"/>
        </w:rPr>
        <w:t>e</w:t>
      </w:r>
      <w:r w:rsidR="00D22D1D">
        <w:rPr>
          <w:rFonts w:asciiTheme="majorBidi" w:hAnsiTheme="majorBidi" w:cstheme="majorBidi"/>
          <w:sz w:val="24"/>
          <w:szCs w:val="24"/>
        </w:rPr>
        <w:t xml:space="preserve"> and affirm</w:t>
      </w:r>
      <w:r w:rsidR="00AD5D64">
        <w:rPr>
          <w:rFonts w:asciiTheme="majorBidi" w:hAnsiTheme="majorBidi" w:cstheme="majorBidi"/>
          <w:sz w:val="24"/>
          <w:szCs w:val="24"/>
        </w:rPr>
        <w:t xml:space="preserve"> the tort</w:t>
      </w:r>
      <w:r w:rsidR="00D22D1D">
        <w:rPr>
          <w:rFonts w:asciiTheme="majorBidi" w:hAnsiTheme="majorBidi" w:cstheme="majorBidi"/>
          <w:sz w:val="24"/>
          <w:szCs w:val="24"/>
        </w:rPr>
        <w:t>, as well as</w:t>
      </w:r>
      <w:r w:rsidR="00AD5D64">
        <w:rPr>
          <w:rFonts w:asciiTheme="majorBidi" w:hAnsiTheme="majorBidi" w:cstheme="majorBidi"/>
          <w:sz w:val="24"/>
          <w:szCs w:val="24"/>
        </w:rPr>
        <w:t xml:space="preserve"> restat</w:t>
      </w:r>
      <w:r w:rsidR="00D22D1D">
        <w:rPr>
          <w:rFonts w:asciiTheme="majorBidi" w:hAnsiTheme="majorBidi" w:cstheme="majorBidi"/>
          <w:sz w:val="24"/>
          <w:szCs w:val="24"/>
        </w:rPr>
        <w:t>ing</w:t>
      </w:r>
      <w:r w:rsidR="00AD5D64">
        <w:rPr>
          <w:rFonts w:asciiTheme="majorBidi" w:hAnsiTheme="majorBidi" w:cstheme="majorBidi"/>
          <w:sz w:val="24"/>
          <w:szCs w:val="24"/>
        </w:rPr>
        <w:t xml:space="preserve"> its elements and scope</w:t>
      </w:r>
      <w:r w:rsidR="00786C67">
        <w:rPr>
          <w:rFonts w:asciiTheme="majorBidi" w:hAnsiTheme="majorBidi" w:cstheme="majorBidi"/>
          <w:sz w:val="24"/>
          <w:szCs w:val="24"/>
        </w:rPr>
        <w:t>.</w:t>
      </w:r>
      <w:r w:rsidR="00BC5718">
        <w:rPr>
          <w:rStyle w:val="FootnoteReference"/>
          <w:rFonts w:asciiTheme="majorBidi" w:hAnsiTheme="majorBidi" w:cstheme="majorBidi"/>
          <w:sz w:val="24"/>
          <w:szCs w:val="24"/>
        </w:rPr>
        <w:footnoteReference w:id="71"/>
      </w:r>
      <w:r w:rsidR="00A70ABB">
        <w:rPr>
          <w:rFonts w:asciiTheme="majorBidi" w:hAnsiTheme="majorBidi" w:cstheme="majorBidi"/>
          <w:sz w:val="24"/>
          <w:szCs w:val="24"/>
        </w:rPr>
        <w:t xml:space="preserve"> Pertinently, Lady Hale and Lord Toulson opined that the tort ‘requires words or conduct directed towards the claimant for which there is no justification or reasonable excuse’.</w:t>
      </w:r>
      <w:r w:rsidR="00A70ABB">
        <w:rPr>
          <w:rStyle w:val="FootnoteReference"/>
          <w:rFonts w:asciiTheme="majorBidi" w:hAnsiTheme="majorBidi" w:cstheme="majorBidi"/>
          <w:sz w:val="24"/>
          <w:szCs w:val="24"/>
        </w:rPr>
        <w:footnoteReference w:id="72"/>
      </w:r>
      <w:r w:rsidR="00D22D1D">
        <w:rPr>
          <w:rFonts w:asciiTheme="majorBidi" w:hAnsiTheme="majorBidi" w:cstheme="majorBidi"/>
          <w:sz w:val="24"/>
          <w:szCs w:val="24"/>
        </w:rPr>
        <w:t xml:space="preserve"> </w:t>
      </w:r>
      <w:r w:rsidR="00A70ABB">
        <w:rPr>
          <w:rFonts w:asciiTheme="majorBidi" w:hAnsiTheme="majorBidi" w:cstheme="majorBidi"/>
          <w:sz w:val="24"/>
          <w:szCs w:val="24"/>
        </w:rPr>
        <w:t>Since the abuse of dead bodies</w:t>
      </w:r>
      <w:r w:rsidR="002D76FF">
        <w:rPr>
          <w:rFonts w:asciiTheme="majorBidi" w:hAnsiTheme="majorBidi" w:cstheme="majorBidi"/>
          <w:sz w:val="24"/>
          <w:szCs w:val="24"/>
        </w:rPr>
        <w:t xml:space="preserve"> or non-consensual dealing with separated bodily parts</w:t>
      </w:r>
      <w:r w:rsidR="00A70ABB">
        <w:rPr>
          <w:rFonts w:asciiTheme="majorBidi" w:hAnsiTheme="majorBidi" w:cstheme="majorBidi"/>
          <w:sz w:val="24"/>
          <w:szCs w:val="24"/>
        </w:rPr>
        <w:t xml:space="preserve"> is </w:t>
      </w:r>
      <w:r w:rsidR="002D76FF">
        <w:rPr>
          <w:rFonts w:asciiTheme="majorBidi" w:hAnsiTheme="majorBidi" w:cstheme="majorBidi"/>
          <w:sz w:val="24"/>
          <w:szCs w:val="24"/>
        </w:rPr>
        <w:t>hardly</w:t>
      </w:r>
      <w:r w:rsidR="00A70ABB">
        <w:rPr>
          <w:rFonts w:asciiTheme="majorBidi" w:hAnsiTheme="majorBidi" w:cstheme="majorBidi"/>
          <w:sz w:val="24"/>
          <w:szCs w:val="24"/>
        </w:rPr>
        <w:t xml:space="preserve"> directed towards claimants</w:t>
      </w:r>
      <w:r w:rsidR="002D76FF">
        <w:rPr>
          <w:rFonts w:asciiTheme="majorBidi" w:hAnsiTheme="majorBidi" w:cstheme="majorBidi"/>
          <w:sz w:val="24"/>
          <w:szCs w:val="24"/>
        </w:rPr>
        <w:t>,</w:t>
      </w:r>
      <w:r w:rsidR="00A70ABB">
        <w:rPr>
          <w:rFonts w:asciiTheme="majorBidi" w:hAnsiTheme="majorBidi" w:cstheme="majorBidi"/>
          <w:sz w:val="24"/>
          <w:szCs w:val="24"/>
        </w:rPr>
        <w:t xml:space="preserve"> a relevant claim in this country might be impaired by th</w:t>
      </w:r>
      <w:r w:rsidR="00D22D1D">
        <w:rPr>
          <w:rFonts w:asciiTheme="majorBidi" w:hAnsiTheme="majorBidi" w:cstheme="majorBidi"/>
          <w:sz w:val="24"/>
          <w:szCs w:val="24"/>
        </w:rPr>
        <w:t>e</w:t>
      </w:r>
      <w:r w:rsidR="00A70ABB">
        <w:rPr>
          <w:rFonts w:asciiTheme="majorBidi" w:hAnsiTheme="majorBidi" w:cstheme="majorBidi"/>
          <w:sz w:val="24"/>
          <w:szCs w:val="24"/>
        </w:rPr>
        <w:t xml:space="preserve"> requirement in </w:t>
      </w:r>
      <w:r w:rsidR="00A70ABB" w:rsidRPr="00A70ABB">
        <w:rPr>
          <w:rFonts w:asciiTheme="majorBidi" w:hAnsiTheme="majorBidi" w:cstheme="majorBidi"/>
          <w:i/>
          <w:iCs/>
          <w:sz w:val="24"/>
          <w:szCs w:val="24"/>
        </w:rPr>
        <w:t>Rhodes</w:t>
      </w:r>
      <w:r w:rsidR="00D22D1D">
        <w:rPr>
          <w:rFonts w:asciiTheme="majorBidi" w:hAnsiTheme="majorBidi" w:cstheme="majorBidi"/>
          <w:i/>
          <w:iCs/>
          <w:sz w:val="24"/>
          <w:szCs w:val="24"/>
        </w:rPr>
        <w:t xml:space="preserve"> </w:t>
      </w:r>
      <w:r w:rsidR="00D22D1D">
        <w:rPr>
          <w:rFonts w:asciiTheme="majorBidi" w:hAnsiTheme="majorBidi" w:cstheme="majorBidi"/>
          <w:sz w:val="24"/>
          <w:szCs w:val="24"/>
        </w:rPr>
        <w:t>above</w:t>
      </w:r>
      <w:r w:rsidR="00A70ABB">
        <w:rPr>
          <w:rFonts w:asciiTheme="majorBidi" w:hAnsiTheme="majorBidi" w:cstheme="majorBidi"/>
          <w:sz w:val="24"/>
          <w:szCs w:val="24"/>
        </w:rPr>
        <w:t>. Worse still</w:t>
      </w:r>
      <w:r w:rsidR="00584431">
        <w:rPr>
          <w:rFonts w:asciiTheme="majorBidi" w:hAnsiTheme="majorBidi" w:cstheme="majorBidi"/>
          <w:sz w:val="24"/>
          <w:szCs w:val="24"/>
        </w:rPr>
        <w:t>,</w:t>
      </w:r>
      <w:r w:rsidR="00A70ABB">
        <w:rPr>
          <w:rFonts w:asciiTheme="majorBidi" w:hAnsiTheme="majorBidi" w:cstheme="majorBidi"/>
          <w:sz w:val="24"/>
          <w:szCs w:val="24"/>
        </w:rPr>
        <w:t xml:space="preserve"> </w:t>
      </w:r>
      <w:r w:rsidR="00786C67">
        <w:rPr>
          <w:rFonts w:asciiTheme="majorBidi" w:hAnsiTheme="majorBidi" w:cstheme="majorBidi"/>
          <w:sz w:val="24"/>
          <w:szCs w:val="24"/>
        </w:rPr>
        <w:t>Lord Neuberger’s</w:t>
      </w:r>
      <w:r w:rsidR="00A70ABB">
        <w:rPr>
          <w:rFonts w:asciiTheme="majorBidi" w:hAnsiTheme="majorBidi" w:cstheme="majorBidi"/>
          <w:sz w:val="24"/>
          <w:szCs w:val="24"/>
        </w:rPr>
        <w:t xml:space="preserve"> suggestion for</w:t>
      </w:r>
      <w:r w:rsidR="00584431">
        <w:rPr>
          <w:rFonts w:asciiTheme="majorBidi" w:hAnsiTheme="majorBidi" w:cstheme="majorBidi"/>
          <w:sz w:val="24"/>
          <w:szCs w:val="24"/>
        </w:rPr>
        <w:t xml:space="preserve"> </w:t>
      </w:r>
      <w:r w:rsidR="00A70ABB">
        <w:rPr>
          <w:rFonts w:asciiTheme="majorBidi" w:hAnsiTheme="majorBidi" w:cstheme="majorBidi"/>
          <w:sz w:val="24"/>
          <w:szCs w:val="24"/>
        </w:rPr>
        <w:t>restrictin</w:t>
      </w:r>
      <w:r w:rsidR="00584431">
        <w:rPr>
          <w:rFonts w:asciiTheme="majorBidi" w:hAnsiTheme="majorBidi" w:cstheme="majorBidi"/>
          <w:sz w:val="24"/>
          <w:szCs w:val="24"/>
        </w:rPr>
        <w:t>g the tort to distressing statements could exacerbate the remedial difficulties of a claimant. Lord Neuberger suggested that the tort ‘could perhaps be characterised as the tort of making distressing statements’,</w:t>
      </w:r>
      <w:r w:rsidR="00584431">
        <w:rPr>
          <w:rStyle w:val="FootnoteReference"/>
          <w:rFonts w:asciiTheme="majorBidi" w:hAnsiTheme="majorBidi" w:cstheme="majorBidi"/>
          <w:sz w:val="24"/>
          <w:szCs w:val="24"/>
        </w:rPr>
        <w:footnoteReference w:id="73"/>
      </w:r>
      <w:r w:rsidR="00584431">
        <w:rPr>
          <w:rFonts w:asciiTheme="majorBidi" w:hAnsiTheme="majorBidi" w:cstheme="majorBidi"/>
          <w:sz w:val="24"/>
          <w:szCs w:val="24"/>
        </w:rPr>
        <w:t xml:space="preserve"> and that he ‘would be reluctant to decide definitely that liability for distressing actions and distressing words should be subject to the same rules’.</w:t>
      </w:r>
      <w:r w:rsidR="00584431">
        <w:rPr>
          <w:rStyle w:val="FootnoteReference"/>
          <w:rFonts w:asciiTheme="majorBidi" w:hAnsiTheme="majorBidi" w:cstheme="majorBidi"/>
          <w:sz w:val="24"/>
          <w:szCs w:val="24"/>
        </w:rPr>
        <w:footnoteReference w:id="74"/>
      </w:r>
      <w:r w:rsidR="00584431">
        <w:rPr>
          <w:rFonts w:asciiTheme="majorBidi" w:hAnsiTheme="majorBidi" w:cstheme="majorBidi"/>
          <w:sz w:val="24"/>
          <w:szCs w:val="24"/>
        </w:rPr>
        <w:t xml:space="preserve"> If this restriction were to hold, most intentional tort claims over the abuse of dead bodies</w:t>
      </w:r>
      <w:r w:rsidR="002D76FF">
        <w:rPr>
          <w:rFonts w:asciiTheme="majorBidi" w:hAnsiTheme="majorBidi" w:cstheme="majorBidi"/>
          <w:sz w:val="24"/>
          <w:szCs w:val="24"/>
        </w:rPr>
        <w:t xml:space="preserve"> or bodily parts</w:t>
      </w:r>
      <w:r w:rsidR="00584431">
        <w:rPr>
          <w:rFonts w:asciiTheme="majorBidi" w:hAnsiTheme="majorBidi" w:cstheme="majorBidi"/>
          <w:sz w:val="24"/>
          <w:szCs w:val="24"/>
        </w:rPr>
        <w:t xml:space="preserve"> would fail since such claims </w:t>
      </w:r>
      <w:r w:rsidR="006436C4">
        <w:rPr>
          <w:rFonts w:asciiTheme="majorBidi" w:hAnsiTheme="majorBidi" w:cstheme="majorBidi"/>
          <w:sz w:val="24"/>
          <w:szCs w:val="24"/>
        </w:rPr>
        <w:t>usually involve acts rather than statements.</w:t>
      </w:r>
    </w:p>
    <w:p w:rsidR="007F7B36" w:rsidRDefault="00465A6C" w:rsidP="00092634">
      <w:pPr>
        <w:ind w:firstLine="720"/>
        <w:jc w:val="both"/>
        <w:rPr>
          <w:rFonts w:asciiTheme="majorBidi" w:hAnsiTheme="majorBidi" w:cstheme="majorBidi"/>
          <w:sz w:val="24"/>
          <w:szCs w:val="24"/>
        </w:rPr>
      </w:pPr>
      <w:r>
        <w:rPr>
          <w:rFonts w:asciiTheme="majorBidi" w:hAnsiTheme="majorBidi" w:cstheme="majorBidi"/>
          <w:sz w:val="24"/>
          <w:szCs w:val="24"/>
        </w:rPr>
        <w:t>Other private law claims might equally falter, remedially speaking.</w:t>
      </w:r>
      <w:r w:rsidR="00F049A5" w:rsidRPr="00F049A5">
        <w:rPr>
          <w:rFonts w:asciiTheme="majorBidi" w:hAnsiTheme="majorBidi" w:cstheme="majorBidi"/>
          <w:sz w:val="24"/>
          <w:szCs w:val="24"/>
        </w:rPr>
        <w:t xml:space="preserve"> </w:t>
      </w:r>
      <w:r w:rsidR="00F049A5">
        <w:rPr>
          <w:rFonts w:asciiTheme="majorBidi" w:hAnsiTheme="majorBidi" w:cstheme="majorBidi"/>
          <w:sz w:val="24"/>
          <w:szCs w:val="24"/>
        </w:rPr>
        <w:t>For instance, an action in battery over separated bod</w:t>
      </w:r>
      <w:r w:rsidR="00B029D8">
        <w:rPr>
          <w:rFonts w:asciiTheme="majorBidi" w:hAnsiTheme="majorBidi" w:cstheme="majorBidi"/>
          <w:sz w:val="24"/>
          <w:szCs w:val="24"/>
        </w:rPr>
        <w:t>il</w:t>
      </w:r>
      <w:r w:rsidR="00F049A5">
        <w:rPr>
          <w:rFonts w:asciiTheme="majorBidi" w:hAnsiTheme="majorBidi" w:cstheme="majorBidi"/>
          <w:sz w:val="24"/>
          <w:szCs w:val="24"/>
        </w:rPr>
        <w:t xml:space="preserve">y parts might not succeed, as suggested by </w:t>
      </w:r>
      <w:r w:rsidR="00F049A5" w:rsidRPr="00A33A46">
        <w:rPr>
          <w:rFonts w:asciiTheme="majorBidi" w:hAnsiTheme="majorBidi" w:cstheme="majorBidi"/>
          <w:i/>
          <w:iCs/>
          <w:sz w:val="24"/>
          <w:szCs w:val="24"/>
        </w:rPr>
        <w:t>Yearworth</w:t>
      </w:r>
      <w:r w:rsidR="00F049A5">
        <w:rPr>
          <w:rFonts w:asciiTheme="majorBidi" w:hAnsiTheme="majorBidi" w:cstheme="majorBidi"/>
          <w:sz w:val="24"/>
          <w:szCs w:val="24"/>
        </w:rPr>
        <w:t>. Battery protects our interests in bodily autonomy and physical well-being;</w:t>
      </w:r>
      <w:r w:rsidR="00F049A5" w:rsidRPr="0083035F">
        <w:rPr>
          <w:rStyle w:val="FootnoteReference"/>
          <w:rFonts w:asciiTheme="majorBidi" w:hAnsiTheme="majorBidi" w:cstheme="majorBidi"/>
          <w:sz w:val="24"/>
          <w:szCs w:val="24"/>
        </w:rPr>
        <w:t xml:space="preserve"> </w:t>
      </w:r>
      <w:r w:rsidR="00F049A5">
        <w:rPr>
          <w:rStyle w:val="FootnoteReference"/>
          <w:rFonts w:asciiTheme="majorBidi" w:hAnsiTheme="majorBidi" w:cstheme="majorBidi"/>
          <w:sz w:val="24"/>
          <w:szCs w:val="24"/>
        </w:rPr>
        <w:footnoteReference w:id="75"/>
      </w:r>
      <w:r w:rsidR="00F049A5">
        <w:rPr>
          <w:rFonts w:asciiTheme="majorBidi" w:hAnsiTheme="majorBidi" w:cstheme="majorBidi"/>
          <w:sz w:val="24"/>
          <w:szCs w:val="24"/>
        </w:rPr>
        <w:t xml:space="preserve">  hence it does not apply to separated parts of the body which are no longer functional parts of the whole body.</w:t>
      </w:r>
      <w:r w:rsidR="00F049A5">
        <w:rPr>
          <w:rStyle w:val="FootnoteReference"/>
          <w:rFonts w:asciiTheme="majorBidi" w:hAnsiTheme="majorBidi" w:cstheme="majorBidi"/>
          <w:sz w:val="24"/>
          <w:szCs w:val="24"/>
        </w:rPr>
        <w:footnoteReference w:id="76"/>
      </w:r>
      <w:r w:rsidR="00F049A5">
        <w:rPr>
          <w:rFonts w:asciiTheme="majorBidi" w:hAnsiTheme="majorBidi" w:cstheme="majorBidi"/>
          <w:sz w:val="24"/>
          <w:szCs w:val="24"/>
        </w:rPr>
        <w:t xml:space="preserve"> </w:t>
      </w:r>
      <w:r w:rsidR="00F1747F">
        <w:rPr>
          <w:rFonts w:asciiTheme="majorBidi" w:hAnsiTheme="majorBidi" w:cstheme="majorBidi"/>
          <w:sz w:val="24"/>
          <w:szCs w:val="24"/>
        </w:rPr>
        <w:t>A</w:t>
      </w:r>
      <w:r w:rsidR="00F049A5">
        <w:rPr>
          <w:rFonts w:asciiTheme="majorBidi" w:hAnsiTheme="majorBidi" w:cstheme="majorBidi"/>
          <w:sz w:val="24"/>
          <w:szCs w:val="24"/>
        </w:rPr>
        <w:t xml:space="preserve"> claim in contract </w:t>
      </w:r>
      <w:r w:rsidR="00F1747F">
        <w:rPr>
          <w:rFonts w:asciiTheme="majorBidi" w:hAnsiTheme="majorBidi" w:cstheme="majorBidi"/>
          <w:sz w:val="24"/>
          <w:szCs w:val="24"/>
        </w:rPr>
        <w:t>might</w:t>
      </w:r>
      <w:r w:rsidR="00F049A5">
        <w:rPr>
          <w:rFonts w:asciiTheme="majorBidi" w:hAnsiTheme="majorBidi" w:cstheme="majorBidi"/>
          <w:sz w:val="24"/>
          <w:szCs w:val="24"/>
        </w:rPr>
        <w:t xml:space="preserve"> not arise</w:t>
      </w:r>
      <w:r w:rsidR="00F1747F">
        <w:rPr>
          <w:rFonts w:asciiTheme="majorBidi" w:hAnsiTheme="majorBidi" w:cstheme="majorBidi"/>
          <w:sz w:val="24"/>
          <w:szCs w:val="24"/>
        </w:rPr>
        <w:t xml:space="preserve"> in those bodily parts’ cases involving</w:t>
      </w:r>
      <w:r w:rsidR="00F049A5">
        <w:rPr>
          <w:rFonts w:asciiTheme="majorBidi" w:hAnsiTheme="majorBidi" w:cstheme="majorBidi"/>
          <w:sz w:val="24"/>
          <w:szCs w:val="24"/>
        </w:rPr>
        <w:t xml:space="preserve"> medical treatment under the NHS</w:t>
      </w:r>
      <w:r w:rsidR="00F1747F">
        <w:rPr>
          <w:rFonts w:asciiTheme="majorBidi" w:hAnsiTheme="majorBidi" w:cstheme="majorBidi"/>
          <w:sz w:val="24"/>
          <w:szCs w:val="24"/>
        </w:rPr>
        <w:t xml:space="preserve">, because such treatment </w:t>
      </w:r>
      <w:r w:rsidR="00F049A5">
        <w:rPr>
          <w:rFonts w:asciiTheme="majorBidi" w:hAnsiTheme="majorBidi" w:cstheme="majorBidi"/>
          <w:sz w:val="24"/>
          <w:szCs w:val="24"/>
        </w:rPr>
        <w:t>is free and non-contractual.</w:t>
      </w:r>
      <w:r w:rsidR="00F049A5">
        <w:rPr>
          <w:rStyle w:val="FootnoteReference"/>
          <w:rFonts w:asciiTheme="majorBidi" w:hAnsiTheme="majorBidi" w:cstheme="majorBidi"/>
          <w:sz w:val="24"/>
          <w:szCs w:val="24"/>
        </w:rPr>
        <w:footnoteReference w:id="77"/>
      </w:r>
      <w:r w:rsidR="007F7B36">
        <w:rPr>
          <w:rFonts w:asciiTheme="majorBidi" w:hAnsiTheme="majorBidi" w:cstheme="majorBidi"/>
          <w:sz w:val="24"/>
          <w:szCs w:val="24"/>
        </w:rPr>
        <w:t xml:space="preserve"> Outside such a context, the legal position is far from being clear.</w:t>
      </w:r>
      <w:r w:rsidR="00455728">
        <w:rPr>
          <w:rStyle w:val="FootnoteReference"/>
          <w:rFonts w:asciiTheme="majorBidi" w:hAnsiTheme="majorBidi" w:cstheme="majorBidi"/>
          <w:sz w:val="24"/>
          <w:szCs w:val="24"/>
        </w:rPr>
        <w:footnoteReference w:id="78"/>
      </w:r>
      <w:r w:rsidR="007F7B36">
        <w:rPr>
          <w:rFonts w:asciiTheme="majorBidi" w:hAnsiTheme="majorBidi" w:cstheme="majorBidi"/>
          <w:sz w:val="24"/>
          <w:szCs w:val="24"/>
        </w:rPr>
        <w:t xml:space="preserve"> </w:t>
      </w:r>
      <w:r w:rsidR="00A40749">
        <w:rPr>
          <w:rFonts w:asciiTheme="majorBidi" w:hAnsiTheme="majorBidi" w:cstheme="majorBidi"/>
          <w:sz w:val="24"/>
          <w:szCs w:val="24"/>
        </w:rPr>
        <w:t>Certainly a</w:t>
      </w:r>
      <w:r w:rsidR="00981E35">
        <w:rPr>
          <w:rFonts w:asciiTheme="majorBidi" w:hAnsiTheme="majorBidi" w:cstheme="majorBidi"/>
          <w:sz w:val="24"/>
          <w:szCs w:val="24"/>
        </w:rPr>
        <w:t xml:space="preserve"> claim in</w:t>
      </w:r>
      <w:r w:rsidR="00A40749">
        <w:rPr>
          <w:rFonts w:asciiTheme="majorBidi" w:hAnsiTheme="majorBidi" w:cstheme="majorBidi"/>
          <w:sz w:val="24"/>
          <w:szCs w:val="24"/>
        </w:rPr>
        <w:t xml:space="preserve"> unjust enrichment</w:t>
      </w:r>
      <w:r w:rsidR="00981E35">
        <w:rPr>
          <w:rFonts w:asciiTheme="majorBidi" w:hAnsiTheme="majorBidi" w:cstheme="majorBidi"/>
          <w:sz w:val="24"/>
          <w:szCs w:val="24"/>
        </w:rPr>
        <w:t xml:space="preserve"> would succeed in</w:t>
      </w:r>
      <w:r w:rsidR="00092634">
        <w:rPr>
          <w:rFonts w:asciiTheme="majorBidi" w:hAnsiTheme="majorBidi" w:cstheme="majorBidi"/>
          <w:sz w:val="24"/>
          <w:szCs w:val="24"/>
        </w:rPr>
        <w:t xml:space="preserve"> limited</w:t>
      </w:r>
      <w:r w:rsidR="00981E35">
        <w:rPr>
          <w:rFonts w:asciiTheme="majorBidi" w:hAnsiTheme="majorBidi" w:cstheme="majorBidi"/>
          <w:sz w:val="24"/>
          <w:szCs w:val="24"/>
        </w:rPr>
        <w:t xml:space="preserve"> circumstances typified</w:t>
      </w:r>
      <w:r w:rsidR="007068BB">
        <w:rPr>
          <w:rFonts w:asciiTheme="majorBidi" w:hAnsiTheme="majorBidi" w:cstheme="majorBidi"/>
          <w:sz w:val="24"/>
          <w:szCs w:val="24"/>
        </w:rPr>
        <w:t xml:space="preserve"> by</w:t>
      </w:r>
      <w:r w:rsidR="00A40749">
        <w:rPr>
          <w:rFonts w:asciiTheme="majorBidi" w:hAnsiTheme="majorBidi" w:cstheme="majorBidi"/>
          <w:sz w:val="24"/>
          <w:szCs w:val="24"/>
        </w:rPr>
        <w:t xml:space="preserve"> </w:t>
      </w:r>
      <w:r w:rsidR="00A40749" w:rsidRPr="00C57829">
        <w:rPr>
          <w:rFonts w:asciiTheme="majorBidi" w:hAnsiTheme="majorBidi" w:cstheme="majorBidi"/>
          <w:i/>
          <w:iCs/>
          <w:sz w:val="24"/>
          <w:szCs w:val="24"/>
        </w:rPr>
        <w:t>Greenberg</w:t>
      </w:r>
      <w:r w:rsidR="00981E35">
        <w:rPr>
          <w:rFonts w:asciiTheme="majorBidi" w:hAnsiTheme="majorBidi" w:cstheme="majorBidi"/>
          <w:i/>
          <w:iCs/>
          <w:sz w:val="24"/>
          <w:szCs w:val="24"/>
        </w:rPr>
        <w:t xml:space="preserve"> v Miami Children’s Hospital</w:t>
      </w:r>
      <w:r w:rsidR="00092634">
        <w:rPr>
          <w:rFonts w:asciiTheme="majorBidi" w:hAnsiTheme="majorBidi" w:cstheme="majorBidi"/>
          <w:sz w:val="24"/>
          <w:szCs w:val="24"/>
        </w:rPr>
        <w:t>, but would fail in the vast majority of other cases.</w:t>
      </w:r>
      <w:r w:rsidR="00117F08">
        <w:rPr>
          <w:rStyle w:val="FootnoteReference"/>
          <w:rFonts w:asciiTheme="majorBidi" w:hAnsiTheme="majorBidi" w:cstheme="majorBidi"/>
          <w:sz w:val="24"/>
          <w:szCs w:val="24"/>
        </w:rPr>
        <w:footnoteReference w:id="79"/>
      </w:r>
      <w:r w:rsidR="00AC53BF">
        <w:rPr>
          <w:rFonts w:asciiTheme="majorBidi" w:hAnsiTheme="majorBidi" w:cstheme="majorBidi"/>
          <w:sz w:val="24"/>
          <w:szCs w:val="24"/>
        </w:rPr>
        <w:t xml:space="preserve"> </w:t>
      </w:r>
      <w:r w:rsidR="007F4080">
        <w:rPr>
          <w:rFonts w:asciiTheme="majorBidi" w:hAnsiTheme="majorBidi" w:cstheme="majorBidi"/>
          <w:sz w:val="24"/>
          <w:szCs w:val="24"/>
        </w:rPr>
        <w:t>An action in p</w:t>
      </w:r>
      <w:r w:rsidR="00A40749">
        <w:rPr>
          <w:rFonts w:asciiTheme="majorBidi" w:hAnsiTheme="majorBidi" w:cstheme="majorBidi"/>
          <w:sz w:val="24"/>
          <w:szCs w:val="24"/>
        </w:rPr>
        <w:t>rivacy might</w:t>
      </w:r>
      <w:r w:rsidR="00B07641">
        <w:rPr>
          <w:rFonts w:asciiTheme="majorBidi" w:hAnsiTheme="majorBidi" w:cstheme="majorBidi"/>
          <w:sz w:val="24"/>
          <w:szCs w:val="24"/>
        </w:rPr>
        <w:t xml:space="preserve"> be </w:t>
      </w:r>
      <w:r w:rsidR="007F4080">
        <w:rPr>
          <w:rFonts w:asciiTheme="majorBidi" w:hAnsiTheme="majorBidi" w:cstheme="majorBidi"/>
          <w:sz w:val="24"/>
          <w:szCs w:val="24"/>
        </w:rPr>
        <w:t xml:space="preserve">equally </w:t>
      </w:r>
      <w:r w:rsidR="00B07641">
        <w:rPr>
          <w:rFonts w:asciiTheme="majorBidi" w:hAnsiTheme="majorBidi" w:cstheme="majorBidi"/>
          <w:sz w:val="24"/>
          <w:szCs w:val="24"/>
        </w:rPr>
        <w:t>un</w:t>
      </w:r>
      <w:r w:rsidR="00561FDA">
        <w:rPr>
          <w:rFonts w:asciiTheme="majorBidi" w:hAnsiTheme="majorBidi" w:cstheme="majorBidi"/>
          <w:sz w:val="24"/>
          <w:szCs w:val="24"/>
        </w:rPr>
        <w:t>helpful</w:t>
      </w:r>
      <w:r w:rsidR="00517270">
        <w:rPr>
          <w:rFonts w:asciiTheme="majorBidi" w:hAnsiTheme="majorBidi" w:cstheme="majorBidi"/>
          <w:sz w:val="24"/>
          <w:szCs w:val="24"/>
        </w:rPr>
        <w:t>,</w:t>
      </w:r>
      <w:r w:rsidR="00A40749">
        <w:rPr>
          <w:rStyle w:val="FootnoteReference"/>
          <w:rFonts w:asciiTheme="majorBidi" w:hAnsiTheme="majorBidi" w:cstheme="majorBidi"/>
          <w:sz w:val="24"/>
          <w:szCs w:val="24"/>
        </w:rPr>
        <w:footnoteReference w:id="80"/>
      </w:r>
      <w:r w:rsidR="00517270">
        <w:rPr>
          <w:rFonts w:asciiTheme="majorBidi" w:hAnsiTheme="majorBidi" w:cstheme="majorBidi"/>
          <w:sz w:val="24"/>
          <w:szCs w:val="24"/>
        </w:rPr>
        <w:t xml:space="preserve"> not least because the law of privacy protects the complete living person, not a corpse or a separated bodily part.</w:t>
      </w:r>
      <w:r w:rsidR="009D3800">
        <w:rPr>
          <w:rFonts w:asciiTheme="majorBidi" w:hAnsiTheme="majorBidi" w:cstheme="majorBidi"/>
          <w:sz w:val="24"/>
          <w:szCs w:val="24"/>
        </w:rPr>
        <w:t xml:space="preserve"> </w:t>
      </w:r>
    </w:p>
    <w:p w:rsidR="00C6643C" w:rsidRDefault="00A40749" w:rsidP="000063A7">
      <w:pPr>
        <w:ind w:firstLine="720"/>
        <w:jc w:val="both"/>
        <w:rPr>
          <w:rFonts w:asciiTheme="majorBidi" w:hAnsiTheme="majorBidi" w:cstheme="majorBidi"/>
          <w:sz w:val="24"/>
          <w:szCs w:val="24"/>
        </w:rPr>
      </w:pPr>
      <w:r>
        <w:rPr>
          <w:rFonts w:asciiTheme="majorBidi" w:hAnsiTheme="majorBidi" w:cstheme="majorBidi"/>
          <w:sz w:val="24"/>
          <w:szCs w:val="24"/>
        </w:rPr>
        <w:t xml:space="preserve">Most of the difficulties above would be surmounted with the simple expedient of an action in conversion, but this strategy requires </w:t>
      </w:r>
      <w:r w:rsidR="001216E4">
        <w:rPr>
          <w:rFonts w:asciiTheme="majorBidi" w:hAnsiTheme="majorBidi" w:cstheme="majorBidi"/>
          <w:sz w:val="24"/>
          <w:szCs w:val="24"/>
        </w:rPr>
        <w:t>recognition</w:t>
      </w:r>
      <w:r>
        <w:rPr>
          <w:rFonts w:asciiTheme="majorBidi" w:hAnsiTheme="majorBidi" w:cstheme="majorBidi"/>
          <w:sz w:val="24"/>
          <w:szCs w:val="24"/>
        </w:rPr>
        <w:t xml:space="preserve"> of the tissue source’s proprietary interest</w:t>
      </w:r>
      <w:r w:rsidR="001216E4">
        <w:rPr>
          <w:rFonts w:asciiTheme="majorBidi" w:hAnsiTheme="majorBidi" w:cstheme="majorBidi"/>
          <w:sz w:val="24"/>
          <w:szCs w:val="24"/>
        </w:rPr>
        <w:t>s.</w:t>
      </w:r>
      <w:r w:rsidR="00E53133">
        <w:rPr>
          <w:rStyle w:val="FootnoteReference"/>
          <w:rFonts w:asciiTheme="majorBidi" w:hAnsiTheme="majorBidi" w:cstheme="majorBidi"/>
          <w:sz w:val="24"/>
          <w:szCs w:val="24"/>
        </w:rPr>
        <w:footnoteReference w:id="81"/>
      </w:r>
      <w:r>
        <w:rPr>
          <w:rFonts w:asciiTheme="majorBidi" w:hAnsiTheme="majorBidi" w:cstheme="majorBidi"/>
          <w:sz w:val="24"/>
          <w:szCs w:val="24"/>
        </w:rPr>
        <w:t xml:space="preserve"> </w:t>
      </w:r>
      <w:r w:rsidR="001216E4">
        <w:rPr>
          <w:rFonts w:asciiTheme="majorBidi" w:hAnsiTheme="majorBidi" w:cstheme="majorBidi"/>
          <w:sz w:val="24"/>
          <w:szCs w:val="24"/>
        </w:rPr>
        <w:t>As indicated above, however, most cases on the matter are reluctant to recognise the tissue source’s proprietary</w:t>
      </w:r>
      <w:r w:rsidR="00631AFB">
        <w:rPr>
          <w:rFonts w:asciiTheme="majorBidi" w:hAnsiTheme="majorBidi" w:cstheme="majorBidi"/>
          <w:sz w:val="24"/>
          <w:szCs w:val="24"/>
        </w:rPr>
        <w:t xml:space="preserve"> interests</w:t>
      </w:r>
      <w:r w:rsidR="001216E4">
        <w:rPr>
          <w:rFonts w:asciiTheme="majorBidi" w:hAnsiTheme="majorBidi" w:cstheme="majorBidi"/>
          <w:sz w:val="24"/>
          <w:szCs w:val="24"/>
        </w:rPr>
        <w:t xml:space="preserve"> in their excised tissues. Part of this reluctance is conceptual, underpinned by the view</w:t>
      </w:r>
      <w:r w:rsidR="00D47A33">
        <w:rPr>
          <w:rFonts w:asciiTheme="majorBidi" w:hAnsiTheme="majorBidi" w:cstheme="majorBidi"/>
          <w:sz w:val="24"/>
          <w:szCs w:val="24"/>
        </w:rPr>
        <w:t xml:space="preserve"> </w:t>
      </w:r>
      <w:r w:rsidR="001216E4">
        <w:rPr>
          <w:rFonts w:asciiTheme="majorBidi" w:hAnsiTheme="majorBidi" w:cstheme="majorBidi"/>
          <w:sz w:val="24"/>
          <w:szCs w:val="24"/>
        </w:rPr>
        <w:t>that bod</w:t>
      </w:r>
      <w:r w:rsidR="00D47A33">
        <w:rPr>
          <w:rFonts w:asciiTheme="majorBidi" w:hAnsiTheme="majorBidi" w:cstheme="majorBidi"/>
          <w:sz w:val="24"/>
          <w:szCs w:val="24"/>
        </w:rPr>
        <w:t>il</w:t>
      </w:r>
      <w:r w:rsidR="001216E4">
        <w:rPr>
          <w:rFonts w:asciiTheme="majorBidi" w:hAnsiTheme="majorBidi" w:cstheme="majorBidi"/>
          <w:sz w:val="24"/>
          <w:szCs w:val="24"/>
        </w:rPr>
        <w:t>y parts do not qualify as property in law.</w:t>
      </w:r>
      <w:r>
        <w:rPr>
          <w:rFonts w:asciiTheme="majorBidi" w:hAnsiTheme="majorBidi" w:cstheme="majorBidi"/>
          <w:sz w:val="24"/>
          <w:szCs w:val="24"/>
        </w:rPr>
        <w:t xml:space="preserve"> </w:t>
      </w:r>
      <w:r w:rsidR="00581B4E">
        <w:rPr>
          <w:rFonts w:asciiTheme="majorBidi" w:hAnsiTheme="majorBidi" w:cstheme="majorBidi"/>
          <w:sz w:val="24"/>
          <w:szCs w:val="24"/>
        </w:rPr>
        <w:t xml:space="preserve">As </w:t>
      </w:r>
      <w:r w:rsidR="001216E4">
        <w:rPr>
          <w:rFonts w:asciiTheme="majorBidi" w:hAnsiTheme="majorBidi" w:cstheme="majorBidi"/>
          <w:sz w:val="24"/>
          <w:szCs w:val="24"/>
        </w:rPr>
        <w:t>I suggest</w:t>
      </w:r>
      <w:r w:rsidR="00581B4E">
        <w:rPr>
          <w:rFonts w:asciiTheme="majorBidi" w:hAnsiTheme="majorBidi" w:cstheme="majorBidi"/>
          <w:sz w:val="24"/>
          <w:szCs w:val="24"/>
        </w:rPr>
        <w:t>ed above,</w:t>
      </w:r>
      <w:r w:rsidR="001216E4">
        <w:rPr>
          <w:rFonts w:asciiTheme="majorBidi" w:hAnsiTheme="majorBidi" w:cstheme="majorBidi"/>
          <w:sz w:val="24"/>
          <w:szCs w:val="24"/>
        </w:rPr>
        <w:t xml:space="preserve"> conceiving bod</w:t>
      </w:r>
      <w:r w:rsidR="00D47A33">
        <w:rPr>
          <w:rFonts w:asciiTheme="majorBidi" w:hAnsiTheme="majorBidi" w:cstheme="majorBidi"/>
          <w:sz w:val="24"/>
          <w:szCs w:val="24"/>
        </w:rPr>
        <w:t>il</w:t>
      </w:r>
      <w:r w:rsidR="001216E4">
        <w:rPr>
          <w:rFonts w:asciiTheme="majorBidi" w:hAnsiTheme="majorBidi" w:cstheme="majorBidi"/>
          <w:sz w:val="24"/>
          <w:szCs w:val="24"/>
        </w:rPr>
        <w:t>y parts as a duplex, at once property and no</w:t>
      </w:r>
      <w:r w:rsidR="00581B4E">
        <w:rPr>
          <w:rFonts w:asciiTheme="majorBidi" w:hAnsiTheme="majorBidi" w:cstheme="majorBidi"/>
          <w:sz w:val="24"/>
          <w:szCs w:val="24"/>
        </w:rPr>
        <w:t>n</w:t>
      </w:r>
      <w:r w:rsidR="00BE7088">
        <w:rPr>
          <w:rFonts w:asciiTheme="majorBidi" w:hAnsiTheme="majorBidi" w:cstheme="majorBidi"/>
          <w:sz w:val="24"/>
          <w:szCs w:val="24"/>
        </w:rPr>
        <w:t>-</w:t>
      </w:r>
      <w:r w:rsidR="001216E4">
        <w:rPr>
          <w:rFonts w:asciiTheme="majorBidi" w:hAnsiTheme="majorBidi" w:cstheme="majorBidi"/>
          <w:sz w:val="24"/>
          <w:szCs w:val="24"/>
        </w:rPr>
        <w:t>property</w:t>
      </w:r>
      <w:r w:rsidR="007068BB">
        <w:rPr>
          <w:rFonts w:asciiTheme="majorBidi" w:hAnsiTheme="majorBidi" w:cstheme="majorBidi"/>
          <w:sz w:val="24"/>
          <w:szCs w:val="24"/>
        </w:rPr>
        <w:t>,</w:t>
      </w:r>
      <w:r w:rsidR="00BE7088">
        <w:rPr>
          <w:rFonts w:asciiTheme="majorBidi" w:hAnsiTheme="majorBidi" w:cstheme="majorBidi"/>
          <w:sz w:val="24"/>
          <w:szCs w:val="24"/>
        </w:rPr>
        <w:t xml:space="preserve"> would significantly alleviate this sort of conceptual obstacle. A duplex approach</w:t>
      </w:r>
      <w:r w:rsidR="007068BB">
        <w:rPr>
          <w:rFonts w:asciiTheme="majorBidi" w:hAnsiTheme="majorBidi" w:cstheme="majorBidi"/>
          <w:sz w:val="24"/>
          <w:szCs w:val="24"/>
        </w:rPr>
        <w:t>,</w:t>
      </w:r>
      <w:r w:rsidR="00BE7088">
        <w:rPr>
          <w:rFonts w:asciiTheme="majorBidi" w:hAnsiTheme="majorBidi" w:cstheme="majorBidi"/>
          <w:sz w:val="24"/>
          <w:szCs w:val="24"/>
        </w:rPr>
        <w:t xml:space="preserve"> which I draw from the anthropological work of Strathern,</w:t>
      </w:r>
      <w:r w:rsidR="007068BB">
        <w:rPr>
          <w:rStyle w:val="FootnoteReference"/>
          <w:rFonts w:asciiTheme="majorBidi" w:hAnsiTheme="majorBidi" w:cstheme="majorBidi"/>
          <w:sz w:val="24"/>
          <w:szCs w:val="24"/>
        </w:rPr>
        <w:footnoteReference w:id="82"/>
      </w:r>
      <w:r w:rsidR="00D47A33">
        <w:rPr>
          <w:rFonts w:asciiTheme="majorBidi" w:hAnsiTheme="majorBidi" w:cstheme="majorBidi"/>
          <w:sz w:val="24"/>
          <w:szCs w:val="24"/>
        </w:rPr>
        <w:t xml:space="preserve"> would</w:t>
      </w:r>
      <w:r w:rsidR="00BE7088">
        <w:rPr>
          <w:rFonts w:asciiTheme="majorBidi" w:hAnsiTheme="majorBidi" w:cstheme="majorBidi"/>
          <w:sz w:val="24"/>
          <w:szCs w:val="24"/>
        </w:rPr>
        <w:t xml:space="preserve"> facilitate a divergent and paradoxical thinking on bod</w:t>
      </w:r>
      <w:r w:rsidR="00D47A33">
        <w:rPr>
          <w:rFonts w:asciiTheme="majorBidi" w:hAnsiTheme="majorBidi" w:cstheme="majorBidi"/>
          <w:sz w:val="24"/>
          <w:szCs w:val="24"/>
        </w:rPr>
        <w:t>il</w:t>
      </w:r>
      <w:r w:rsidR="00BE7088">
        <w:rPr>
          <w:rFonts w:asciiTheme="majorBidi" w:hAnsiTheme="majorBidi" w:cstheme="majorBidi"/>
          <w:sz w:val="24"/>
          <w:szCs w:val="24"/>
        </w:rPr>
        <w:t>y parts; it</w:t>
      </w:r>
      <w:r w:rsidR="00D47A33">
        <w:rPr>
          <w:rFonts w:asciiTheme="majorBidi" w:hAnsiTheme="majorBidi" w:cstheme="majorBidi"/>
          <w:sz w:val="24"/>
          <w:szCs w:val="24"/>
        </w:rPr>
        <w:t xml:space="preserve"> would</w:t>
      </w:r>
      <w:r w:rsidR="00BE7088">
        <w:rPr>
          <w:rFonts w:asciiTheme="majorBidi" w:hAnsiTheme="majorBidi" w:cstheme="majorBidi"/>
          <w:sz w:val="24"/>
          <w:szCs w:val="24"/>
        </w:rPr>
        <w:t xml:space="preserve"> promote</w:t>
      </w:r>
      <w:r w:rsidR="00D47A33">
        <w:rPr>
          <w:rFonts w:asciiTheme="majorBidi" w:hAnsiTheme="majorBidi" w:cstheme="majorBidi"/>
          <w:sz w:val="24"/>
          <w:szCs w:val="24"/>
        </w:rPr>
        <w:t xml:space="preserve"> </w:t>
      </w:r>
      <w:r w:rsidR="00BE7088">
        <w:rPr>
          <w:rFonts w:asciiTheme="majorBidi" w:hAnsiTheme="majorBidi" w:cstheme="majorBidi"/>
          <w:sz w:val="24"/>
          <w:szCs w:val="24"/>
        </w:rPr>
        <w:t>a</w:t>
      </w:r>
      <w:r w:rsidR="00BE7088" w:rsidRPr="00BE7088">
        <w:rPr>
          <w:rFonts w:asciiTheme="majorBidi" w:hAnsiTheme="majorBidi" w:cstheme="majorBidi"/>
          <w:sz w:val="24"/>
          <w:szCs w:val="24"/>
        </w:rPr>
        <w:t xml:space="preserve"> </w:t>
      </w:r>
      <w:r w:rsidR="00BE7088">
        <w:rPr>
          <w:rFonts w:asciiTheme="majorBidi" w:hAnsiTheme="majorBidi" w:cstheme="majorBidi"/>
          <w:sz w:val="24"/>
          <w:szCs w:val="24"/>
        </w:rPr>
        <w:t>reflexivity on bod</w:t>
      </w:r>
      <w:r w:rsidR="00D47A33">
        <w:rPr>
          <w:rFonts w:asciiTheme="majorBidi" w:hAnsiTheme="majorBidi" w:cstheme="majorBidi"/>
          <w:sz w:val="24"/>
          <w:szCs w:val="24"/>
        </w:rPr>
        <w:t>il</w:t>
      </w:r>
      <w:r w:rsidR="00BE7088">
        <w:rPr>
          <w:rFonts w:asciiTheme="majorBidi" w:hAnsiTheme="majorBidi" w:cstheme="majorBidi"/>
          <w:sz w:val="24"/>
          <w:szCs w:val="24"/>
        </w:rPr>
        <w:t xml:space="preserve">y parts that discourages </w:t>
      </w:r>
      <w:r w:rsidR="007068BB">
        <w:rPr>
          <w:rFonts w:asciiTheme="majorBidi" w:hAnsiTheme="majorBidi" w:cstheme="majorBidi"/>
          <w:sz w:val="24"/>
          <w:szCs w:val="24"/>
        </w:rPr>
        <w:t>their</w:t>
      </w:r>
      <w:r w:rsidR="00BE7088">
        <w:rPr>
          <w:rFonts w:asciiTheme="majorBidi" w:hAnsiTheme="majorBidi" w:cstheme="majorBidi"/>
          <w:sz w:val="24"/>
          <w:szCs w:val="24"/>
        </w:rPr>
        <w:t xml:space="preserve"> rendition in exclusively non-proprietary terms</w:t>
      </w:r>
      <w:r w:rsidR="00D47A33">
        <w:rPr>
          <w:rFonts w:asciiTheme="majorBidi" w:hAnsiTheme="majorBidi" w:cstheme="majorBidi"/>
          <w:sz w:val="24"/>
          <w:szCs w:val="24"/>
        </w:rPr>
        <w:t>. A duplex approach would overcome</w:t>
      </w:r>
      <w:r w:rsidR="00BE7088">
        <w:rPr>
          <w:rFonts w:asciiTheme="majorBidi" w:hAnsiTheme="majorBidi" w:cstheme="majorBidi"/>
          <w:sz w:val="24"/>
          <w:szCs w:val="24"/>
        </w:rPr>
        <w:t xml:space="preserve"> the potential awkwardness of holding that bod</w:t>
      </w:r>
      <w:r w:rsidR="00D47A33">
        <w:rPr>
          <w:rFonts w:asciiTheme="majorBidi" w:hAnsiTheme="majorBidi" w:cstheme="majorBidi"/>
          <w:sz w:val="24"/>
          <w:szCs w:val="24"/>
        </w:rPr>
        <w:t>il</w:t>
      </w:r>
      <w:r w:rsidR="00BE7088">
        <w:rPr>
          <w:rFonts w:asciiTheme="majorBidi" w:hAnsiTheme="majorBidi" w:cstheme="majorBidi"/>
          <w:sz w:val="24"/>
          <w:szCs w:val="24"/>
        </w:rPr>
        <w:t>y parts are no</w:t>
      </w:r>
      <w:r w:rsidR="00581B4E">
        <w:rPr>
          <w:rFonts w:asciiTheme="majorBidi" w:hAnsiTheme="majorBidi" w:cstheme="majorBidi"/>
          <w:sz w:val="24"/>
          <w:szCs w:val="24"/>
        </w:rPr>
        <w:t>n</w:t>
      </w:r>
      <w:r w:rsidR="00D47A33">
        <w:rPr>
          <w:rFonts w:asciiTheme="majorBidi" w:hAnsiTheme="majorBidi" w:cstheme="majorBidi"/>
          <w:sz w:val="24"/>
          <w:szCs w:val="24"/>
        </w:rPr>
        <w:t>-</w:t>
      </w:r>
      <w:r w:rsidR="00BE7088">
        <w:rPr>
          <w:rFonts w:asciiTheme="majorBidi" w:hAnsiTheme="majorBidi" w:cstheme="majorBidi"/>
          <w:sz w:val="24"/>
          <w:szCs w:val="24"/>
        </w:rPr>
        <w:t xml:space="preserve">property, and yet are property in </w:t>
      </w:r>
      <w:r w:rsidR="00D47A33">
        <w:rPr>
          <w:rFonts w:asciiTheme="majorBidi" w:hAnsiTheme="majorBidi" w:cstheme="majorBidi"/>
          <w:sz w:val="24"/>
          <w:szCs w:val="24"/>
        </w:rPr>
        <w:t>some</w:t>
      </w:r>
      <w:r w:rsidR="00BE7088">
        <w:rPr>
          <w:rFonts w:asciiTheme="majorBidi" w:hAnsiTheme="majorBidi" w:cstheme="majorBidi"/>
          <w:sz w:val="24"/>
          <w:szCs w:val="24"/>
        </w:rPr>
        <w:t xml:space="preserve"> circumstances. Seeing that bod</w:t>
      </w:r>
      <w:r w:rsidR="00D47A33">
        <w:rPr>
          <w:rFonts w:asciiTheme="majorBidi" w:hAnsiTheme="majorBidi" w:cstheme="majorBidi"/>
          <w:sz w:val="24"/>
          <w:szCs w:val="24"/>
        </w:rPr>
        <w:t>il</w:t>
      </w:r>
      <w:r w:rsidR="00BE7088">
        <w:rPr>
          <w:rFonts w:asciiTheme="majorBidi" w:hAnsiTheme="majorBidi" w:cstheme="majorBidi"/>
          <w:sz w:val="24"/>
          <w:szCs w:val="24"/>
        </w:rPr>
        <w:t>y parts reflect a duplex, and thus could justifiably</w:t>
      </w:r>
      <w:r w:rsidR="00D47A33">
        <w:rPr>
          <w:rFonts w:asciiTheme="majorBidi" w:hAnsiTheme="majorBidi" w:cstheme="majorBidi"/>
          <w:sz w:val="24"/>
          <w:szCs w:val="24"/>
        </w:rPr>
        <w:t xml:space="preserve"> be</w:t>
      </w:r>
      <w:r w:rsidR="00BE7088">
        <w:rPr>
          <w:rFonts w:asciiTheme="majorBidi" w:hAnsiTheme="majorBidi" w:cstheme="majorBidi"/>
          <w:sz w:val="24"/>
          <w:szCs w:val="24"/>
        </w:rPr>
        <w:t xml:space="preserve"> regarded as property,</w:t>
      </w:r>
      <w:r w:rsidR="00C6643C">
        <w:rPr>
          <w:rFonts w:asciiTheme="majorBidi" w:hAnsiTheme="majorBidi" w:cstheme="majorBidi"/>
          <w:sz w:val="24"/>
          <w:szCs w:val="24"/>
        </w:rPr>
        <w:t xml:space="preserve"> a judge might be encouraged to adopt a proprietary approach,</w:t>
      </w:r>
      <w:r w:rsidR="007068BB">
        <w:rPr>
          <w:rFonts w:asciiTheme="majorBidi" w:hAnsiTheme="majorBidi" w:cstheme="majorBidi"/>
          <w:sz w:val="24"/>
          <w:szCs w:val="24"/>
        </w:rPr>
        <w:t xml:space="preserve"> along with non-proprietary approaches</w:t>
      </w:r>
      <w:r w:rsidR="00C6643C">
        <w:rPr>
          <w:rFonts w:asciiTheme="majorBidi" w:hAnsiTheme="majorBidi" w:cstheme="majorBidi"/>
          <w:sz w:val="24"/>
          <w:szCs w:val="24"/>
        </w:rPr>
        <w:t>, in litigations involving bod</w:t>
      </w:r>
      <w:r w:rsidR="00D47A33">
        <w:rPr>
          <w:rFonts w:asciiTheme="majorBidi" w:hAnsiTheme="majorBidi" w:cstheme="majorBidi"/>
          <w:sz w:val="24"/>
          <w:szCs w:val="24"/>
        </w:rPr>
        <w:t>il</w:t>
      </w:r>
      <w:r w:rsidR="00C6643C">
        <w:rPr>
          <w:rFonts w:asciiTheme="majorBidi" w:hAnsiTheme="majorBidi" w:cstheme="majorBidi"/>
          <w:sz w:val="24"/>
          <w:szCs w:val="24"/>
        </w:rPr>
        <w:t xml:space="preserve">y parts. </w:t>
      </w:r>
      <w:r w:rsidR="00D47A33">
        <w:rPr>
          <w:rFonts w:asciiTheme="majorBidi" w:hAnsiTheme="majorBidi" w:cstheme="majorBidi"/>
          <w:sz w:val="24"/>
          <w:szCs w:val="24"/>
        </w:rPr>
        <w:t>Potentially,</w:t>
      </w:r>
      <w:r w:rsidR="00DF4791">
        <w:rPr>
          <w:rFonts w:asciiTheme="majorBidi" w:hAnsiTheme="majorBidi" w:cstheme="majorBidi"/>
          <w:sz w:val="24"/>
          <w:szCs w:val="24"/>
        </w:rPr>
        <w:t xml:space="preserve"> therefore,</w:t>
      </w:r>
      <w:r w:rsidR="00D47A33">
        <w:rPr>
          <w:rFonts w:asciiTheme="majorBidi" w:hAnsiTheme="majorBidi" w:cstheme="majorBidi"/>
          <w:sz w:val="24"/>
          <w:szCs w:val="24"/>
        </w:rPr>
        <w:t xml:space="preserve"> a</w:t>
      </w:r>
      <w:r w:rsidR="007068BB">
        <w:rPr>
          <w:rFonts w:asciiTheme="majorBidi" w:hAnsiTheme="majorBidi" w:cstheme="majorBidi"/>
          <w:sz w:val="24"/>
          <w:szCs w:val="24"/>
        </w:rPr>
        <w:t xml:space="preserve"> duplex</w:t>
      </w:r>
      <w:r w:rsidR="00D47A33">
        <w:rPr>
          <w:rFonts w:asciiTheme="majorBidi" w:hAnsiTheme="majorBidi" w:cstheme="majorBidi"/>
          <w:sz w:val="24"/>
          <w:szCs w:val="24"/>
        </w:rPr>
        <w:t xml:space="preserve"> paradigm of bodily parts might</w:t>
      </w:r>
      <w:r w:rsidR="00C6643C">
        <w:rPr>
          <w:rFonts w:asciiTheme="majorBidi" w:hAnsiTheme="majorBidi" w:cstheme="majorBidi"/>
          <w:sz w:val="24"/>
          <w:szCs w:val="24"/>
        </w:rPr>
        <w:t xml:space="preserve"> mitigate the</w:t>
      </w:r>
      <w:r w:rsidR="00D47A33">
        <w:rPr>
          <w:rFonts w:asciiTheme="majorBidi" w:hAnsiTheme="majorBidi" w:cstheme="majorBidi"/>
          <w:sz w:val="24"/>
          <w:szCs w:val="24"/>
        </w:rPr>
        <w:t xml:space="preserve"> remedial</w:t>
      </w:r>
      <w:r w:rsidR="00C6643C">
        <w:rPr>
          <w:rFonts w:asciiTheme="majorBidi" w:hAnsiTheme="majorBidi" w:cstheme="majorBidi"/>
          <w:sz w:val="24"/>
          <w:szCs w:val="24"/>
        </w:rPr>
        <w:t xml:space="preserve"> hardship of tissue sources for whom the law</w:t>
      </w:r>
      <w:r w:rsidR="00D47A33">
        <w:rPr>
          <w:rFonts w:asciiTheme="majorBidi" w:hAnsiTheme="majorBidi" w:cstheme="majorBidi"/>
          <w:sz w:val="24"/>
          <w:szCs w:val="24"/>
        </w:rPr>
        <w:t xml:space="preserve"> does not</w:t>
      </w:r>
      <w:r w:rsidR="00C6643C">
        <w:rPr>
          <w:rFonts w:asciiTheme="majorBidi" w:hAnsiTheme="majorBidi" w:cstheme="majorBidi"/>
          <w:sz w:val="24"/>
          <w:szCs w:val="24"/>
        </w:rPr>
        <w:t xml:space="preserve"> currently recognise their proprietary interests</w:t>
      </w:r>
      <w:r w:rsidR="00D47A33">
        <w:rPr>
          <w:rFonts w:asciiTheme="majorBidi" w:hAnsiTheme="majorBidi" w:cstheme="majorBidi"/>
          <w:sz w:val="24"/>
          <w:szCs w:val="24"/>
        </w:rPr>
        <w:t xml:space="preserve"> in separated bodily parts</w:t>
      </w:r>
      <w:r w:rsidR="00C6643C">
        <w:rPr>
          <w:rFonts w:asciiTheme="majorBidi" w:hAnsiTheme="majorBidi" w:cstheme="majorBidi"/>
          <w:sz w:val="24"/>
          <w:szCs w:val="24"/>
        </w:rPr>
        <w:t>.</w:t>
      </w:r>
      <w:r w:rsidR="00BE7088">
        <w:rPr>
          <w:rFonts w:asciiTheme="majorBidi" w:hAnsiTheme="majorBidi" w:cstheme="majorBidi"/>
          <w:sz w:val="24"/>
          <w:szCs w:val="24"/>
        </w:rPr>
        <w:t xml:space="preserve"> </w:t>
      </w:r>
      <w:r w:rsidR="00581B4E">
        <w:rPr>
          <w:rFonts w:asciiTheme="majorBidi" w:hAnsiTheme="majorBidi" w:cstheme="majorBidi"/>
          <w:sz w:val="24"/>
          <w:szCs w:val="24"/>
        </w:rPr>
        <w:t xml:space="preserve">As highlighted </w:t>
      </w:r>
      <w:r w:rsidR="00DF4791">
        <w:rPr>
          <w:rFonts w:asciiTheme="majorBidi" w:hAnsiTheme="majorBidi" w:cstheme="majorBidi"/>
          <w:sz w:val="24"/>
          <w:szCs w:val="24"/>
        </w:rPr>
        <w:t>above</w:t>
      </w:r>
      <w:r w:rsidR="00581B4E">
        <w:rPr>
          <w:rFonts w:asciiTheme="majorBidi" w:hAnsiTheme="majorBidi" w:cstheme="majorBidi"/>
          <w:sz w:val="24"/>
          <w:szCs w:val="24"/>
        </w:rPr>
        <w:t xml:space="preserve"> and further expounded below, </w:t>
      </w:r>
      <w:r w:rsidR="001E435B">
        <w:rPr>
          <w:rFonts w:asciiTheme="majorBidi" w:hAnsiTheme="majorBidi" w:cstheme="majorBidi"/>
          <w:sz w:val="24"/>
          <w:szCs w:val="24"/>
        </w:rPr>
        <w:t>it is clear</w:t>
      </w:r>
      <w:r w:rsidR="00C6643C">
        <w:rPr>
          <w:rFonts w:asciiTheme="majorBidi" w:hAnsiTheme="majorBidi" w:cstheme="majorBidi"/>
          <w:sz w:val="24"/>
          <w:szCs w:val="24"/>
        </w:rPr>
        <w:t xml:space="preserve"> that some duplex sort of approach is already inherent in some recent decisions</w:t>
      </w:r>
      <w:r w:rsidR="001E435B">
        <w:rPr>
          <w:rFonts w:asciiTheme="majorBidi" w:hAnsiTheme="majorBidi" w:cstheme="majorBidi"/>
          <w:sz w:val="24"/>
          <w:szCs w:val="24"/>
        </w:rPr>
        <w:t xml:space="preserve"> and market </w:t>
      </w:r>
      <w:r w:rsidR="000F20B2">
        <w:rPr>
          <w:rFonts w:asciiTheme="majorBidi" w:hAnsiTheme="majorBidi" w:cstheme="majorBidi"/>
          <w:sz w:val="24"/>
          <w:szCs w:val="24"/>
        </w:rPr>
        <w:t>practices</w:t>
      </w:r>
      <w:r w:rsidR="00910991">
        <w:rPr>
          <w:rFonts w:asciiTheme="majorBidi" w:hAnsiTheme="majorBidi" w:cstheme="majorBidi"/>
          <w:sz w:val="24"/>
          <w:szCs w:val="24"/>
        </w:rPr>
        <w:t xml:space="preserve"> </w:t>
      </w:r>
      <w:r w:rsidR="001E435B">
        <w:rPr>
          <w:rFonts w:asciiTheme="majorBidi" w:hAnsiTheme="majorBidi" w:cstheme="majorBidi"/>
          <w:sz w:val="24"/>
          <w:szCs w:val="24"/>
        </w:rPr>
        <w:t>relating to bodily parts, as well as in</w:t>
      </w:r>
      <w:r w:rsidR="00C6643C">
        <w:rPr>
          <w:rFonts w:asciiTheme="majorBidi" w:hAnsiTheme="majorBidi" w:cstheme="majorBidi"/>
          <w:sz w:val="24"/>
          <w:szCs w:val="24"/>
        </w:rPr>
        <w:t xml:space="preserve"> the common law and its praxis</w:t>
      </w:r>
      <w:r w:rsidR="001E435B">
        <w:rPr>
          <w:rFonts w:asciiTheme="majorBidi" w:hAnsiTheme="majorBidi" w:cstheme="majorBidi"/>
          <w:sz w:val="24"/>
          <w:szCs w:val="24"/>
        </w:rPr>
        <w:t xml:space="preserve"> on bodily parts</w:t>
      </w:r>
      <w:r w:rsidR="00C6643C">
        <w:rPr>
          <w:rFonts w:asciiTheme="majorBidi" w:hAnsiTheme="majorBidi" w:cstheme="majorBidi"/>
          <w:sz w:val="24"/>
          <w:szCs w:val="24"/>
        </w:rPr>
        <w:t>.</w:t>
      </w:r>
      <w:r w:rsidR="001E435B">
        <w:rPr>
          <w:rFonts w:asciiTheme="majorBidi" w:hAnsiTheme="majorBidi" w:cstheme="majorBidi"/>
          <w:sz w:val="24"/>
          <w:szCs w:val="24"/>
        </w:rPr>
        <w:t xml:space="preserve"> As the bodily parts</w:t>
      </w:r>
      <w:r w:rsidR="003E482A">
        <w:rPr>
          <w:rFonts w:asciiTheme="majorBidi" w:hAnsiTheme="majorBidi" w:cstheme="majorBidi"/>
          <w:sz w:val="24"/>
          <w:szCs w:val="24"/>
        </w:rPr>
        <w:t>’</w:t>
      </w:r>
      <w:r w:rsidR="001E435B">
        <w:rPr>
          <w:rFonts w:asciiTheme="majorBidi" w:hAnsiTheme="majorBidi" w:cstheme="majorBidi"/>
          <w:sz w:val="24"/>
          <w:szCs w:val="24"/>
        </w:rPr>
        <w:t xml:space="preserve"> legal and market landscape</w:t>
      </w:r>
      <w:r w:rsidR="000F20B2">
        <w:rPr>
          <w:rFonts w:asciiTheme="majorBidi" w:hAnsiTheme="majorBidi" w:cstheme="majorBidi"/>
          <w:sz w:val="24"/>
          <w:szCs w:val="24"/>
        </w:rPr>
        <w:t>s</w:t>
      </w:r>
      <w:r w:rsidR="001E435B">
        <w:rPr>
          <w:rFonts w:asciiTheme="majorBidi" w:hAnsiTheme="majorBidi" w:cstheme="majorBidi"/>
          <w:sz w:val="24"/>
          <w:szCs w:val="24"/>
        </w:rPr>
        <w:t xml:space="preserve"> </w:t>
      </w:r>
      <w:r w:rsidR="000F20B2">
        <w:rPr>
          <w:rFonts w:asciiTheme="majorBidi" w:hAnsiTheme="majorBidi" w:cstheme="majorBidi"/>
          <w:sz w:val="24"/>
          <w:szCs w:val="24"/>
        </w:rPr>
        <w:t>are</w:t>
      </w:r>
      <w:r w:rsidR="001E435B">
        <w:rPr>
          <w:rFonts w:asciiTheme="majorBidi" w:hAnsiTheme="majorBidi" w:cstheme="majorBidi"/>
          <w:sz w:val="24"/>
          <w:szCs w:val="24"/>
        </w:rPr>
        <w:t xml:space="preserve"> already descriptive of a duplex, albeit one that primarily favours the claims of tissue user</w:t>
      </w:r>
      <w:r w:rsidR="000F20B2">
        <w:rPr>
          <w:rFonts w:asciiTheme="majorBidi" w:hAnsiTheme="majorBidi" w:cstheme="majorBidi"/>
          <w:sz w:val="24"/>
          <w:szCs w:val="24"/>
        </w:rPr>
        <w:t>s</w:t>
      </w:r>
      <w:r w:rsidR="001E435B">
        <w:rPr>
          <w:rFonts w:asciiTheme="majorBidi" w:hAnsiTheme="majorBidi" w:cstheme="majorBidi"/>
          <w:sz w:val="24"/>
          <w:szCs w:val="24"/>
        </w:rPr>
        <w:t>/innovator</w:t>
      </w:r>
      <w:r w:rsidR="000F20B2">
        <w:rPr>
          <w:rFonts w:asciiTheme="majorBidi" w:hAnsiTheme="majorBidi" w:cstheme="majorBidi"/>
          <w:sz w:val="24"/>
          <w:szCs w:val="24"/>
        </w:rPr>
        <w:t>s</w:t>
      </w:r>
      <w:r w:rsidR="001E435B">
        <w:rPr>
          <w:rFonts w:asciiTheme="majorBidi" w:hAnsiTheme="majorBidi" w:cstheme="majorBidi"/>
          <w:sz w:val="24"/>
          <w:szCs w:val="24"/>
        </w:rPr>
        <w:t>, what remains</w:t>
      </w:r>
      <w:r w:rsidR="000F20B2">
        <w:rPr>
          <w:rFonts w:asciiTheme="majorBidi" w:hAnsiTheme="majorBidi" w:cstheme="majorBidi"/>
          <w:sz w:val="24"/>
          <w:szCs w:val="24"/>
        </w:rPr>
        <w:t xml:space="preserve"> to be done</w:t>
      </w:r>
      <w:r w:rsidR="001E435B">
        <w:rPr>
          <w:rFonts w:asciiTheme="majorBidi" w:hAnsiTheme="majorBidi" w:cstheme="majorBidi"/>
          <w:sz w:val="24"/>
          <w:szCs w:val="24"/>
        </w:rPr>
        <w:t xml:space="preserve"> is a</w:t>
      </w:r>
      <w:r w:rsidR="000F20B2">
        <w:rPr>
          <w:rFonts w:asciiTheme="majorBidi" w:hAnsiTheme="majorBidi" w:cstheme="majorBidi"/>
          <w:sz w:val="24"/>
          <w:szCs w:val="24"/>
        </w:rPr>
        <w:t xml:space="preserve"> conscious and</w:t>
      </w:r>
      <w:r w:rsidR="001E435B">
        <w:rPr>
          <w:rFonts w:asciiTheme="majorBidi" w:hAnsiTheme="majorBidi" w:cstheme="majorBidi"/>
          <w:sz w:val="24"/>
          <w:szCs w:val="24"/>
        </w:rPr>
        <w:t xml:space="preserve"> broad </w:t>
      </w:r>
      <w:r w:rsidR="001E435B" w:rsidRPr="000C28EB">
        <w:rPr>
          <w:rFonts w:asciiTheme="majorBidi" w:hAnsiTheme="majorBidi" w:cstheme="majorBidi"/>
          <w:i/>
          <w:sz w:val="24"/>
          <w:szCs w:val="24"/>
        </w:rPr>
        <w:t>normativisation</w:t>
      </w:r>
      <w:r w:rsidR="001E435B">
        <w:rPr>
          <w:rFonts w:asciiTheme="majorBidi" w:hAnsiTheme="majorBidi" w:cstheme="majorBidi"/>
          <w:sz w:val="24"/>
          <w:szCs w:val="24"/>
        </w:rPr>
        <w:t xml:space="preserve"> of that duplex</w:t>
      </w:r>
      <w:r w:rsidR="000F20B2">
        <w:rPr>
          <w:rFonts w:asciiTheme="majorBidi" w:hAnsiTheme="majorBidi" w:cstheme="majorBidi"/>
          <w:sz w:val="24"/>
          <w:szCs w:val="24"/>
        </w:rPr>
        <w:t xml:space="preserve"> in order</w:t>
      </w:r>
      <w:r w:rsidR="001E435B">
        <w:rPr>
          <w:rFonts w:asciiTheme="majorBidi" w:hAnsiTheme="majorBidi" w:cstheme="majorBidi"/>
          <w:sz w:val="24"/>
          <w:szCs w:val="24"/>
        </w:rPr>
        <w:t xml:space="preserve"> to embrace the claims of tissue source</w:t>
      </w:r>
      <w:r w:rsidR="000F20B2">
        <w:rPr>
          <w:rFonts w:asciiTheme="majorBidi" w:hAnsiTheme="majorBidi" w:cstheme="majorBidi"/>
          <w:sz w:val="24"/>
          <w:szCs w:val="24"/>
        </w:rPr>
        <w:t>s</w:t>
      </w:r>
      <w:r w:rsidR="001E435B">
        <w:rPr>
          <w:rFonts w:asciiTheme="majorBidi" w:hAnsiTheme="majorBidi" w:cstheme="majorBidi"/>
          <w:sz w:val="24"/>
          <w:szCs w:val="24"/>
        </w:rPr>
        <w:t>.</w:t>
      </w:r>
      <w:r w:rsidR="00C6643C">
        <w:rPr>
          <w:rFonts w:asciiTheme="majorBidi" w:hAnsiTheme="majorBidi" w:cstheme="majorBidi"/>
          <w:sz w:val="24"/>
          <w:szCs w:val="24"/>
        </w:rPr>
        <w:t xml:space="preserve"> </w:t>
      </w:r>
      <w:r w:rsidR="00C6643C" w:rsidRPr="00C6643C">
        <w:rPr>
          <w:rFonts w:asciiTheme="majorBidi" w:hAnsiTheme="majorBidi" w:cstheme="majorBidi"/>
          <w:i/>
          <w:iCs/>
          <w:sz w:val="24"/>
          <w:szCs w:val="24"/>
        </w:rPr>
        <w:t>Yearworth</w:t>
      </w:r>
      <w:r w:rsidR="00C6643C">
        <w:rPr>
          <w:rFonts w:asciiTheme="majorBidi" w:hAnsiTheme="majorBidi" w:cstheme="majorBidi"/>
          <w:sz w:val="24"/>
          <w:szCs w:val="24"/>
        </w:rPr>
        <w:t xml:space="preserve"> is paradigmatic.</w:t>
      </w:r>
      <w:r w:rsidR="005A6D9A">
        <w:rPr>
          <w:rStyle w:val="FootnoteReference"/>
          <w:rFonts w:asciiTheme="majorBidi" w:hAnsiTheme="majorBidi" w:cstheme="majorBidi"/>
          <w:sz w:val="24"/>
          <w:szCs w:val="24"/>
        </w:rPr>
        <w:footnoteReference w:id="83"/>
      </w:r>
      <w:r w:rsidR="00C6643C">
        <w:rPr>
          <w:rFonts w:asciiTheme="majorBidi" w:hAnsiTheme="majorBidi" w:cstheme="majorBidi"/>
          <w:sz w:val="24"/>
          <w:szCs w:val="24"/>
        </w:rPr>
        <w:t xml:space="preserve"> </w:t>
      </w:r>
      <w:r w:rsidR="002354B6">
        <w:rPr>
          <w:rFonts w:asciiTheme="majorBidi" w:hAnsiTheme="majorBidi" w:cstheme="majorBidi"/>
          <w:sz w:val="24"/>
          <w:szCs w:val="24"/>
        </w:rPr>
        <w:t>Th</w:t>
      </w:r>
      <w:r w:rsidR="00CD2F34">
        <w:rPr>
          <w:rFonts w:asciiTheme="majorBidi" w:hAnsiTheme="majorBidi" w:cstheme="majorBidi"/>
          <w:sz w:val="24"/>
          <w:szCs w:val="24"/>
        </w:rPr>
        <w:t>erefore</w:t>
      </w:r>
      <w:r w:rsidR="00311C4A">
        <w:rPr>
          <w:rFonts w:asciiTheme="majorBidi" w:hAnsiTheme="majorBidi" w:cstheme="majorBidi"/>
          <w:sz w:val="24"/>
          <w:szCs w:val="24"/>
        </w:rPr>
        <w:t xml:space="preserve">, to the extent that the problem of denying tissue sources of </w:t>
      </w:r>
      <w:r w:rsidR="00EB07F6">
        <w:rPr>
          <w:rFonts w:asciiTheme="majorBidi" w:hAnsiTheme="majorBidi" w:cstheme="majorBidi"/>
          <w:sz w:val="24"/>
          <w:szCs w:val="24"/>
        </w:rPr>
        <w:t>some</w:t>
      </w:r>
      <w:r w:rsidR="00311C4A">
        <w:rPr>
          <w:rFonts w:asciiTheme="majorBidi" w:hAnsiTheme="majorBidi" w:cstheme="majorBidi"/>
          <w:sz w:val="24"/>
          <w:szCs w:val="24"/>
        </w:rPr>
        <w:t xml:space="preserve"> proprietary interest</w:t>
      </w:r>
      <w:r w:rsidR="00EB07F6">
        <w:rPr>
          <w:rFonts w:asciiTheme="majorBidi" w:hAnsiTheme="majorBidi" w:cstheme="majorBidi"/>
          <w:sz w:val="24"/>
          <w:szCs w:val="24"/>
        </w:rPr>
        <w:t>s</w:t>
      </w:r>
      <w:r w:rsidR="00311C4A">
        <w:rPr>
          <w:rFonts w:asciiTheme="majorBidi" w:hAnsiTheme="majorBidi" w:cstheme="majorBidi"/>
          <w:sz w:val="24"/>
          <w:szCs w:val="24"/>
        </w:rPr>
        <w:t xml:space="preserve"> in their </w:t>
      </w:r>
      <w:r w:rsidR="002354B6">
        <w:rPr>
          <w:rFonts w:asciiTheme="majorBidi" w:hAnsiTheme="majorBidi" w:cstheme="majorBidi"/>
          <w:sz w:val="24"/>
          <w:szCs w:val="24"/>
        </w:rPr>
        <w:t>ti</w:t>
      </w:r>
      <w:r w:rsidR="00311C4A">
        <w:rPr>
          <w:rFonts w:asciiTheme="majorBidi" w:hAnsiTheme="majorBidi" w:cstheme="majorBidi"/>
          <w:sz w:val="24"/>
          <w:szCs w:val="24"/>
        </w:rPr>
        <w:t>ssues is conceptual, I suggest that a duplex analysis of bod</w:t>
      </w:r>
      <w:r w:rsidR="00EB07F6">
        <w:rPr>
          <w:rFonts w:asciiTheme="majorBidi" w:hAnsiTheme="majorBidi" w:cstheme="majorBidi"/>
          <w:sz w:val="24"/>
          <w:szCs w:val="24"/>
        </w:rPr>
        <w:t>il</w:t>
      </w:r>
      <w:r w:rsidR="00311C4A">
        <w:rPr>
          <w:rFonts w:asciiTheme="majorBidi" w:hAnsiTheme="majorBidi" w:cstheme="majorBidi"/>
          <w:sz w:val="24"/>
          <w:szCs w:val="24"/>
        </w:rPr>
        <w:t>y parts might be helpful. After considering the challenges of criminal regulation of bod</w:t>
      </w:r>
      <w:r w:rsidR="00EB07F6">
        <w:rPr>
          <w:rFonts w:asciiTheme="majorBidi" w:hAnsiTheme="majorBidi" w:cstheme="majorBidi"/>
          <w:sz w:val="24"/>
          <w:szCs w:val="24"/>
        </w:rPr>
        <w:t>il</w:t>
      </w:r>
      <w:r w:rsidR="00311C4A">
        <w:rPr>
          <w:rFonts w:asciiTheme="majorBidi" w:hAnsiTheme="majorBidi" w:cstheme="majorBidi"/>
          <w:sz w:val="24"/>
          <w:szCs w:val="24"/>
        </w:rPr>
        <w:t>y parts</w:t>
      </w:r>
      <w:r w:rsidR="002354B6">
        <w:rPr>
          <w:rFonts w:asciiTheme="majorBidi" w:hAnsiTheme="majorBidi" w:cstheme="majorBidi"/>
          <w:sz w:val="24"/>
          <w:szCs w:val="24"/>
        </w:rPr>
        <w:t xml:space="preserve"> in the next section</w:t>
      </w:r>
      <w:r w:rsidR="00311C4A">
        <w:rPr>
          <w:rFonts w:asciiTheme="majorBidi" w:hAnsiTheme="majorBidi" w:cstheme="majorBidi"/>
          <w:sz w:val="24"/>
          <w:szCs w:val="24"/>
        </w:rPr>
        <w:t xml:space="preserve">, I will return to the relevance of duplex in litigations </w:t>
      </w:r>
      <w:r w:rsidR="002354B6">
        <w:rPr>
          <w:rFonts w:asciiTheme="majorBidi" w:hAnsiTheme="majorBidi" w:cstheme="majorBidi"/>
          <w:sz w:val="24"/>
          <w:szCs w:val="24"/>
        </w:rPr>
        <w:t>involving</w:t>
      </w:r>
      <w:r w:rsidR="00311C4A">
        <w:rPr>
          <w:rFonts w:asciiTheme="majorBidi" w:hAnsiTheme="majorBidi" w:cstheme="majorBidi"/>
          <w:sz w:val="24"/>
          <w:szCs w:val="24"/>
        </w:rPr>
        <w:t xml:space="preserve"> bod</w:t>
      </w:r>
      <w:r w:rsidR="00212712">
        <w:rPr>
          <w:rFonts w:asciiTheme="majorBidi" w:hAnsiTheme="majorBidi" w:cstheme="majorBidi"/>
          <w:sz w:val="24"/>
          <w:szCs w:val="24"/>
        </w:rPr>
        <w:t>il</w:t>
      </w:r>
      <w:r w:rsidR="00311C4A">
        <w:rPr>
          <w:rFonts w:asciiTheme="majorBidi" w:hAnsiTheme="majorBidi" w:cstheme="majorBidi"/>
          <w:sz w:val="24"/>
          <w:szCs w:val="24"/>
        </w:rPr>
        <w:t>y parts.</w:t>
      </w:r>
    </w:p>
    <w:p w:rsidR="00C6643C" w:rsidRDefault="00C6643C" w:rsidP="006F09FC">
      <w:pPr>
        <w:ind w:firstLine="720"/>
        <w:jc w:val="both"/>
        <w:rPr>
          <w:rFonts w:asciiTheme="majorBidi" w:hAnsiTheme="majorBidi" w:cstheme="majorBidi"/>
          <w:sz w:val="24"/>
          <w:szCs w:val="24"/>
        </w:rPr>
      </w:pPr>
    </w:p>
    <w:p w:rsidR="00A40749" w:rsidRPr="00E22251" w:rsidRDefault="00A40749" w:rsidP="00E22251">
      <w:pPr>
        <w:pStyle w:val="ListParagraph"/>
        <w:numPr>
          <w:ilvl w:val="0"/>
          <w:numId w:val="2"/>
        </w:numPr>
        <w:jc w:val="center"/>
        <w:rPr>
          <w:rFonts w:asciiTheme="majorBidi" w:hAnsiTheme="majorBidi" w:cstheme="majorBidi"/>
          <w:bCs/>
        </w:rPr>
      </w:pPr>
      <w:r w:rsidRPr="00E22251">
        <w:rPr>
          <w:rFonts w:asciiTheme="majorBidi" w:hAnsiTheme="majorBidi" w:cstheme="majorBidi"/>
          <w:bCs/>
        </w:rPr>
        <w:t>C</w:t>
      </w:r>
      <w:r w:rsidR="00B53D9D" w:rsidRPr="00E22251">
        <w:rPr>
          <w:rFonts w:asciiTheme="majorBidi" w:hAnsiTheme="majorBidi" w:cstheme="majorBidi"/>
          <w:bCs/>
        </w:rPr>
        <w:t>RIMINAL LAW</w:t>
      </w:r>
      <w:r w:rsidRPr="00E22251">
        <w:rPr>
          <w:rFonts w:asciiTheme="majorBidi" w:hAnsiTheme="majorBidi" w:cstheme="majorBidi"/>
          <w:bCs/>
        </w:rPr>
        <w:t xml:space="preserve"> F</w:t>
      </w:r>
      <w:r w:rsidR="00B53D9D" w:rsidRPr="00E22251">
        <w:rPr>
          <w:rFonts w:asciiTheme="majorBidi" w:hAnsiTheme="majorBidi" w:cstheme="majorBidi"/>
          <w:bCs/>
        </w:rPr>
        <w:t>RAMEWORKS FOR BODILY</w:t>
      </w:r>
      <w:r w:rsidR="00DA46E8" w:rsidRPr="00E22251">
        <w:rPr>
          <w:rFonts w:asciiTheme="majorBidi" w:hAnsiTheme="majorBidi" w:cstheme="majorBidi"/>
          <w:bCs/>
        </w:rPr>
        <w:t xml:space="preserve"> P</w:t>
      </w:r>
      <w:r w:rsidR="00B53D9D" w:rsidRPr="00E22251">
        <w:rPr>
          <w:rFonts w:asciiTheme="majorBidi" w:hAnsiTheme="majorBidi" w:cstheme="majorBidi"/>
          <w:bCs/>
        </w:rPr>
        <w:t>ARTS</w:t>
      </w:r>
    </w:p>
    <w:p w:rsidR="00E22251" w:rsidRDefault="00E22251" w:rsidP="0025781E">
      <w:pPr>
        <w:jc w:val="both"/>
        <w:rPr>
          <w:rFonts w:asciiTheme="majorBidi" w:hAnsiTheme="majorBidi" w:cstheme="majorBidi"/>
          <w:sz w:val="24"/>
          <w:szCs w:val="24"/>
        </w:rPr>
      </w:pPr>
    </w:p>
    <w:p w:rsidR="00A40749" w:rsidRDefault="00A40749" w:rsidP="0025781E">
      <w:pPr>
        <w:jc w:val="both"/>
        <w:rPr>
          <w:rFonts w:asciiTheme="majorBidi" w:hAnsiTheme="majorBidi" w:cstheme="majorBidi"/>
          <w:sz w:val="24"/>
          <w:szCs w:val="24"/>
        </w:rPr>
      </w:pPr>
      <w:r>
        <w:rPr>
          <w:rFonts w:asciiTheme="majorBidi" w:hAnsiTheme="majorBidi" w:cstheme="majorBidi"/>
          <w:sz w:val="24"/>
          <w:szCs w:val="24"/>
        </w:rPr>
        <w:t>Only a handful of commentators would contemplate with equanimity an expansive role for criminal law in the regulation of bod</w:t>
      </w:r>
      <w:r w:rsidR="001F7911">
        <w:rPr>
          <w:rFonts w:asciiTheme="majorBidi" w:hAnsiTheme="majorBidi" w:cstheme="majorBidi"/>
          <w:sz w:val="24"/>
          <w:szCs w:val="24"/>
        </w:rPr>
        <w:t>il</w:t>
      </w:r>
      <w:r>
        <w:rPr>
          <w:rFonts w:asciiTheme="majorBidi" w:hAnsiTheme="majorBidi" w:cstheme="majorBidi"/>
          <w:sz w:val="24"/>
          <w:szCs w:val="24"/>
        </w:rPr>
        <w:t>y parts</w:t>
      </w:r>
      <w:r w:rsidR="001F7911">
        <w:rPr>
          <w:rFonts w:asciiTheme="majorBidi" w:hAnsiTheme="majorBidi" w:cstheme="majorBidi"/>
          <w:sz w:val="24"/>
          <w:szCs w:val="24"/>
        </w:rPr>
        <w:t>.</w:t>
      </w:r>
      <w:r w:rsidR="00521E41">
        <w:rPr>
          <w:rStyle w:val="FootnoteReference"/>
          <w:rFonts w:asciiTheme="majorBidi" w:hAnsiTheme="majorBidi" w:cstheme="majorBidi"/>
          <w:sz w:val="24"/>
          <w:szCs w:val="24"/>
        </w:rPr>
        <w:footnoteReference w:id="84"/>
      </w:r>
      <w:r>
        <w:rPr>
          <w:rFonts w:asciiTheme="majorBidi" w:hAnsiTheme="majorBidi" w:cstheme="majorBidi"/>
          <w:sz w:val="24"/>
          <w:szCs w:val="24"/>
        </w:rPr>
        <w:t xml:space="preserve"> </w:t>
      </w:r>
      <w:r w:rsidR="001F7911">
        <w:rPr>
          <w:rFonts w:asciiTheme="majorBidi" w:hAnsiTheme="majorBidi" w:cstheme="majorBidi"/>
          <w:sz w:val="24"/>
          <w:szCs w:val="24"/>
        </w:rPr>
        <w:t>A</w:t>
      </w:r>
      <w:r>
        <w:rPr>
          <w:rFonts w:asciiTheme="majorBidi" w:hAnsiTheme="majorBidi" w:cstheme="majorBidi"/>
          <w:sz w:val="24"/>
          <w:szCs w:val="24"/>
        </w:rPr>
        <w:t xml:space="preserve"> similar (negative) disposition is evident in most of the chapters of a seminal monograph edited by Erin and Ost,</w:t>
      </w:r>
      <w:r>
        <w:rPr>
          <w:rStyle w:val="FootnoteReference"/>
          <w:rFonts w:asciiTheme="majorBidi" w:hAnsiTheme="majorBidi" w:cstheme="majorBidi"/>
          <w:sz w:val="24"/>
          <w:szCs w:val="24"/>
        </w:rPr>
        <w:footnoteReference w:id="85"/>
      </w:r>
      <w:r>
        <w:rPr>
          <w:rFonts w:asciiTheme="majorBidi" w:hAnsiTheme="majorBidi" w:cstheme="majorBidi"/>
          <w:sz w:val="24"/>
          <w:szCs w:val="24"/>
        </w:rPr>
        <w:t xml:space="preserve"> whose overarching theme is captured in the editors’ titular and rhetorical question of whether the relationship between the criminal justice system and health care is ill-suited and appropriate?</w:t>
      </w:r>
      <w:r>
        <w:rPr>
          <w:rStyle w:val="FootnoteReference"/>
          <w:rFonts w:asciiTheme="majorBidi" w:hAnsiTheme="majorBidi" w:cstheme="majorBidi"/>
          <w:sz w:val="24"/>
          <w:szCs w:val="24"/>
        </w:rPr>
        <w:footnoteReference w:id="86"/>
      </w:r>
      <w:r>
        <w:rPr>
          <w:rFonts w:asciiTheme="majorBidi" w:hAnsiTheme="majorBidi" w:cstheme="majorBidi"/>
          <w:sz w:val="24"/>
          <w:szCs w:val="24"/>
        </w:rPr>
        <w:t xml:space="preserve"> While the general reasons for the unease with the intervention of the criminal justice system in the medical setting are numerous and varied, </w:t>
      </w:r>
      <w:r w:rsidR="001F7911">
        <w:rPr>
          <w:rFonts w:asciiTheme="majorBidi" w:hAnsiTheme="majorBidi" w:cstheme="majorBidi"/>
          <w:sz w:val="24"/>
          <w:szCs w:val="24"/>
        </w:rPr>
        <w:t>they</w:t>
      </w:r>
      <w:r>
        <w:rPr>
          <w:rFonts w:asciiTheme="majorBidi" w:hAnsiTheme="majorBidi" w:cstheme="majorBidi"/>
          <w:sz w:val="24"/>
          <w:szCs w:val="24"/>
        </w:rPr>
        <w:t xml:space="preserve"> definitely include the judiciary’s readiness to protect the medical profession,</w:t>
      </w:r>
      <w:r>
        <w:rPr>
          <w:rStyle w:val="FootnoteReference"/>
          <w:rFonts w:asciiTheme="majorBidi" w:hAnsiTheme="majorBidi" w:cstheme="majorBidi"/>
          <w:sz w:val="24"/>
          <w:szCs w:val="24"/>
        </w:rPr>
        <w:footnoteReference w:id="87"/>
      </w:r>
      <w:r>
        <w:rPr>
          <w:rFonts w:asciiTheme="majorBidi" w:hAnsiTheme="majorBidi" w:cstheme="majorBidi"/>
          <w:sz w:val="24"/>
          <w:szCs w:val="24"/>
        </w:rPr>
        <w:t xml:space="preserve"> possibly out of fear that</w:t>
      </w:r>
      <w:r w:rsidR="001F7911">
        <w:rPr>
          <w:rFonts w:asciiTheme="majorBidi" w:hAnsiTheme="majorBidi" w:cstheme="majorBidi"/>
          <w:sz w:val="24"/>
          <w:szCs w:val="24"/>
        </w:rPr>
        <w:t xml:space="preserve"> a</w:t>
      </w:r>
      <w:r>
        <w:rPr>
          <w:rFonts w:asciiTheme="majorBidi" w:hAnsiTheme="majorBidi" w:cstheme="majorBidi"/>
          <w:sz w:val="24"/>
          <w:szCs w:val="24"/>
        </w:rPr>
        <w:t xml:space="preserve"> lack of ‘special’ protection would undermine </w:t>
      </w:r>
      <w:r w:rsidR="001F7911">
        <w:rPr>
          <w:rFonts w:asciiTheme="majorBidi" w:hAnsiTheme="majorBidi" w:cstheme="majorBidi"/>
          <w:sz w:val="24"/>
          <w:szCs w:val="24"/>
        </w:rPr>
        <w:t>the</w:t>
      </w:r>
      <w:r>
        <w:rPr>
          <w:rFonts w:asciiTheme="majorBidi" w:hAnsiTheme="majorBidi" w:cstheme="majorBidi"/>
          <w:sz w:val="24"/>
          <w:szCs w:val="24"/>
        </w:rPr>
        <w:t xml:space="preserve"> efficiency</w:t>
      </w:r>
      <w:r w:rsidR="001F7911">
        <w:rPr>
          <w:rFonts w:asciiTheme="majorBidi" w:hAnsiTheme="majorBidi" w:cstheme="majorBidi"/>
          <w:sz w:val="24"/>
          <w:szCs w:val="24"/>
        </w:rPr>
        <w:t xml:space="preserve"> of doctors.</w:t>
      </w:r>
      <w:r>
        <w:rPr>
          <w:rStyle w:val="FootnoteReference"/>
          <w:rFonts w:asciiTheme="majorBidi" w:hAnsiTheme="majorBidi" w:cstheme="majorBidi"/>
          <w:sz w:val="24"/>
          <w:szCs w:val="24"/>
        </w:rPr>
        <w:footnoteReference w:id="88"/>
      </w:r>
      <w:r>
        <w:rPr>
          <w:rFonts w:asciiTheme="majorBidi" w:hAnsiTheme="majorBidi" w:cstheme="majorBidi"/>
          <w:sz w:val="24"/>
          <w:szCs w:val="24"/>
        </w:rPr>
        <w:t xml:space="preserve"> </w:t>
      </w:r>
      <w:r w:rsidR="001F7911">
        <w:rPr>
          <w:rFonts w:asciiTheme="majorBidi" w:hAnsiTheme="majorBidi" w:cstheme="majorBidi"/>
          <w:sz w:val="24"/>
          <w:szCs w:val="24"/>
        </w:rPr>
        <w:t>Similar</w:t>
      </w:r>
      <w:r>
        <w:rPr>
          <w:rFonts w:asciiTheme="majorBidi" w:hAnsiTheme="majorBidi" w:cstheme="majorBidi"/>
          <w:sz w:val="24"/>
          <w:szCs w:val="24"/>
        </w:rPr>
        <w:t xml:space="preserve"> reasons </w:t>
      </w:r>
      <w:r w:rsidR="00B050FF">
        <w:rPr>
          <w:rFonts w:asciiTheme="majorBidi" w:hAnsiTheme="majorBidi" w:cstheme="majorBidi"/>
          <w:sz w:val="24"/>
          <w:szCs w:val="24"/>
        </w:rPr>
        <w:t>m</w:t>
      </w:r>
      <w:r w:rsidR="001F7911">
        <w:rPr>
          <w:rFonts w:asciiTheme="majorBidi" w:hAnsiTheme="majorBidi" w:cstheme="majorBidi"/>
          <w:sz w:val="24"/>
          <w:szCs w:val="24"/>
        </w:rPr>
        <w:t>ight</w:t>
      </w:r>
      <w:r>
        <w:rPr>
          <w:rFonts w:asciiTheme="majorBidi" w:hAnsiTheme="majorBidi" w:cstheme="majorBidi"/>
          <w:sz w:val="24"/>
          <w:szCs w:val="24"/>
        </w:rPr>
        <w:t xml:space="preserve"> underpin a protectionist attitude towards medical researchers in relation to bod</w:t>
      </w:r>
      <w:r w:rsidR="00F04D18">
        <w:rPr>
          <w:rFonts w:asciiTheme="majorBidi" w:hAnsiTheme="majorBidi" w:cstheme="majorBidi"/>
          <w:sz w:val="24"/>
          <w:szCs w:val="24"/>
        </w:rPr>
        <w:t>il</w:t>
      </w:r>
      <w:r>
        <w:rPr>
          <w:rFonts w:asciiTheme="majorBidi" w:hAnsiTheme="majorBidi" w:cstheme="majorBidi"/>
          <w:sz w:val="24"/>
          <w:szCs w:val="24"/>
        </w:rPr>
        <w:t>y parts.</w:t>
      </w:r>
      <w:r w:rsidR="00F04D18">
        <w:rPr>
          <w:rFonts w:asciiTheme="majorBidi" w:hAnsiTheme="majorBidi" w:cstheme="majorBidi"/>
          <w:sz w:val="24"/>
          <w:szCs w:val="24"/>
        </w:rPr>
        <w:t xml:space="preserve"> </w:t>
      </w:r>
      <w:r w:rsidR="00F95930">
        <w:rPr>
          <w:rFonts w:asciiTheme="majorBidi" w:hAnsiTheme="majorBidi" w:cstheme="majorBidi"/>
          <w:sz w:val="24"/>
          <w:szCs w:val="24"/>
        </w:rPr>
        <w:t>More</w:t>
      </w:r>
      <w:r w:rsidR="00F04D18">
        <w:rPr>
          <w:rFonts w:asciiTheme="majorBidi" w:hAnsiTheme="majorBidi" w:cstheme="majorBidi"/>
          <w:sz w:val="24"/>
          <w:szCs w:val="24"/>
        </w:rPr>
        <w:t xml:space="preserve"> reasons account for the indifference of criminal law to bodily parts.</w:t>
      </w:r>
      <w:r>
        <w:rPr>
          <w:rFonts w:asciiTheme="majorBidi" w:hAnsiTheme="majorBidi" w:cstheme="majorBidi"/>
          <w:sz w:val="24"/>
          <w:szCs w:val="24"/>
        </w:rPr>
        <w:t xml:space="preserve"> First, most criminal offences address some personal, public or economic interests</w:t>
      </w:r>
      <w:r w:rsidR="00F04D18">
        <w:rPr>
          <w:rFonts w:asciiTheme="majorBidi" w:hAnsiTheme="majorBidi" w:cstheme="majorBidi"/>
          <w:sz w:val="24"/>
          <w:szCs w:val="24"/>
        </w:rPr>
        <w:t>;</w:t>
      </w:r>
      <w:r>
        <w:rPr>
          <w:rFonts w:asciiTheme="majorBidi" w:hAnsiTheme="majorBidi" w:cstheme="majorBidi"/>
          <w:sz w:val="24"/>
          <w:szCs w:val="24"/>
        </w:rPr>
        <w:t xml:space="preserve"> </w:t>
      </w:r>
      <w:r w:rsidR="00F04D18">
        <w:rPr>
          <w:rFonts w:asciiTheme="majorBidi" w:hAnsiTheme="majorBidi" w:cstheme="majorBidi"/>
          <w:sz w:val="24"/>
          <w:szCs w:val="24"/>
        </w:rPr>
        <w:t xml:space="preserve">as </w:t>
      </w:r>
      <w:r>
        <w:rPr>
          <w:rFonts w:asciiTheme="majorBidi" w:hAnsiTheme="majorBidi" w:cstheme="majorBidi"/>
          <w:sz w:val="24"/>
          <w:szCs w:val="24"/>
        </w:rPr>
        <w:t>these categories</w:t>
      </w:r>
      <w:r w:rsidR="00F04D18">
        <w:rPr>
          <w:rFonts w:asciiTheme="majorBidi" w:hAnsiTheme="majorBidi" w:cstheme="majorBidi"/>
          <w:sz w:val="24"/>
          <w:szCs w:val="24"/>
        </w:rPr>
        <w:t xml:space="preserve"> relate to persons or property, they</w:t>
      </w:r>
      <w:r>
        <w:rPr>
          <w:rFonts w:asciiTheme="majorBidi" w:hAnsiTheme="majorBidi" w:cstheme="majorBidi"/>
          <w:sz w:val="24"/>
          <w:szCs w:val="24"/>
        </w:rPr>
        <w:t xml:space="preserve"> do not</w:t>
      </w:r>
      <w:r w:rsidR="00F04D18">
        <w:rPr>
          <w:rFonts w:asciiTheme="majorBidi" w:hAnsiTheme="majorBidi" w:cstheme="majorBidi"/>
          <w:sz w:val="24"/>
          <w:szCs w:val="24"/>
        </w:rPr>
        <w:t xml:space="preserve"> generally</w:t>
      </w:r>
      <w:r>
        <w:rPr>
          <w:rFonts w:asciiTheme="majorBidi" w:hAnsiTheme="majorBidi" w:cstheme="majorBidi"/>
          <w:sz w:val="24"/>
          <w:szCs w:val="24"/>
        </w:rPr>
        <w:t xml:space="preserve"> encompass dead bodies and excised bod</w:t>
      </w:r>
      <w:r w:rsidR="00F04D18">
        <w:rPr>
          <w:rFonts w:asciiTheme="majorBidi" w:hAnsiTheme="majorBidi" w:cstheme="majorBidi"/>
          <w:sz w:val="24"/>
          <w:szCs w:val="24"/>
        </w:rPr>
        <w:t>il</w:t>
      </w:r>
      <w:r>
        <w:rPr>
          <w:rFonts w:asciiTheme="majorBidi" w:hAnsiTheme="majorBidi" w:cstheme="majorBidi"/>
          <w:sz w:val="24"/>
          <w:szCs w:val="24"/>
        </w:rPr>
        <w:t>y parts.</w:t>
      </w:r>
      <w:r>
        <w:rPr>
          <w:rStyle w:val="FootnoteReference"/>
          <w:rFonts w:asciiTheme="majorBidi" w:hAnsiTheme="majorBidi" w:cstheme="majorBidi"/>
          <w:sz w:val="24"/>
          <w:szCs w:val="24"/>
        </w:rPr>
        <w:footnoteReference w:id="89"/>
      </w:r>
      <w:r>
        <w:rPr>
          <w:rFonts w:asciiTheme="majorBidi" w:hAnsiTheme="majorBidi" w:cstheme="majorBidi"/>
          <w:sz w:val="24"/>
          <w:szCs w:val="24"/>
        </w:rPr>
        <w:t xml:space="preserve"> Second, the stigma of criminal conviction, with its attendant penal sanctions</w:t>
      </w:r>
      <w:r w:rsidR="00CB559C">
        <w:rPr>
          <w:rFonts w:asciiTheme="majorBidi" w:hAnsiTheme="majorBidi" w:cstheme="majorBidi"/>
          <w:sz w:val="24"/>
          <w:szCs w:val="24"/>
        </w:rPr>
        <w:t xml:space="preserve"> and possible imprisonment</w:t>
      </w:r>
      <w:r>
        <w:rPr>
          <w:rFonts w:asciiTheme="majorBidi" w:hAnsiTheme="majorBidi" w:cstheme="majorBidi"/>
          <w:sz w:val="24"/>
          <w:szCs w:val="24"/>
        </w:rPr>
        <w:t>, might be considered a</w:t>
      </w:r>
      <w:r w:rsidR="00CB559C">
        <w:rPr>
          <w:rFonts w:asciiTheme="majorBidi" w:hAnsiTheme="majorBidi" w:cstheme="majorBidi"/>
          <w:sz w:val="24"/>
          <w:szCs w:val="24"/>
        </w:rPr>
        <w:t xml:space="preserve"> harsh</w:t>
      </w:r>
      <w:r>
        <w:rPr>
          <w:rFonts w:asciiTheme="majorBidi" w:hAnsiTheme="majorBidi" w:cstheme="majorBidi"/>
          <w:sz w:val="24"/>
          <w:szCs w:val="24"/>
        </w:rPr>
        <w:t xml:space="preserve"> punishment for medical researchers who</w:t>
      </w:r>
      <w:r w:rsidR="00CB559C">
        <w:rPr>
          <w:rFonts w:asciiTheme="majorBidi" w:hAnsiTheme="majorBidi" w:cstheme="majorBidi"/>
          <w:sz w:val="24"/>
          <w:szCs w:val="24"/>
        </w:rPr>
        <w:t xml:space="preserve"> dealt unlawfully</w:t>
      </w:r>
      <w:r>
        <w:rPr>
          <w:rFonts w:asciiTheme="majorBidi" w:hAnsiTheme="majorBidi" w:cstheme="majorBidi"/>
          <w:sz w:val="24"/>
          <w:szCs w:val="24"/>
        </w:rPr>
        <w:t xml:space="preserve"> with bod</w:t>
      </w:r>
      <w:r w:rsidR="00CB559C">
        <w:rPr>
          <w:rFonts w:asciiTheme="majorBidi" w:hAnsiTheme="majorBidi" w:cstheme="majorBidi"/>
          <w:sz w:val="24"/>
          <w:szCs w:val="24"/>
        </w:rPr>
        <w:t>il</w:t>
      </w:r>
      <w:r>
        <w:rPr>
          <w:rFonts w:asciiTheme="majorBidi" w:hAnsiTheme="majorBidi" w:cstheme="majorBidi"/>
          <w:sz w:val="24"/>
          <w:szCs w:val="24"/>
        </w:rPr>
        <w:t>y parts.</w:t>
      </w:r>
      <w:r>
        <w:rPr>
          <w:rStyle w:val="FootnoteReference"/>
          <w:rFonts w:asciiTheme="majorBidi" w:hAnsiTheme="majorBidi" w:cstheme="majorBidi"/>
          <w:sz w:val="24"/>
          <w:szCs w:val="24"/>
        </w:rPr>
        <w:footnoteReference w:id="90"/>
      </w:r>
      <w:r>
        <w:rPr>
          <w:rFonts w:asciiTheme="majorBidi" w:hAnsiTheme="majorBidi" w:cstheme="majorBidi"/>
          <w:sz w:val="24"/>
          <w:szCs w:val="24"/>
        </w:rPr>
        <w:t xml:space="preserve"> Third,</w:t>
      </w:r>
      <w:r w:rsidR="00CB559C">
        <w:rPr>
          <w:rFonts w:asciiTheme="majorBidi" w:hAnsiTheme="majorBidi" w:cstheme="majorBidi"/>
          <w:sz w:val="24"/>
          <w:szCs w:val="24"/>
        </w:rPr>
        <w:t xml:space="preserve"> </w:t>
      </w:r>
      <w:r>
        <w:rPr>
          <w:rFonts w:asciiTheme="majorBidi" w:hAnsiTheme="majorBidi" w:cstheme="majorBidi"/>
          <w:sz w:val="24"/>
          <w:szCs w:val="24"/>
        </w:rPr>
        <w:t>most dealings with bod</w:t>
      </w:r>
      <w:r w:rsidR="00CB559C">
        <w:rPr>
          <w:rFonts w:asciiTheme="majorBidi" w:hAnsiTheme="majorBidi" w:cstheme="majorBidi"/>
          <w:sz w:val="24"/>
          <w:szCs w:val="24"/>
        </w:rPr>
        <w:t>il</w:t>
      </w:r>
      <w:r>
        <w:rPr>
          <w:rFonts w:asciiTheme="majorBidi" w:hAnsiTheme="majorBidi" w:cstheme="majorBidi"/>
          <w:sz w:val="24"/>
          <w:szCs w:val="24"/>
        </w:rPr>
        <w:t>y parts occur within the contexts of medical treatment</w:t>
      </w:r>
      <w:r w:rsidR="00CB559C">
        <w:rPr>
          <w:rFonts w:asciiTheme="majorBidi" w:hAnsiTheme="majorBidi" w:cstheme="majorBidi"/>
          <w:sz w:val="24"/>
          <w:szCs w:val="24"/>
        </w:rPr>
        <w:t>, research</w:t>
      </w:r>
      <w:r>
        <w:rPr>
          <w:rFonts w:asciiTheme="majorBidi" w:hAnsiTheme="majorBidi" w:cstheme="majorBidi"/>
          <w:sz w:val="24"/>
          <w:szCs w:val="24"/>
        </w:rPr>
        <w:t xml:space="preserve"> and education. Criminalising the actions of those who interfere with bod</w:t>
      </w:r>
      <w:r w:rsidR="00CB559C">
        <w:rPr>
          <w:rFonts w:asciiTheme="majorBidi" w:hAnsiTheme="majorBidi" w:cstheme="majorBidi"/>
          <w:sz w:val="24"/>
          <w:szCs w:val="24"/>
        </w:rPr>
        <w:t>il</w:t>
      </w:r>
      <w:r>
        <w:rPr>
          <w:rFonts w:asciiTheme="majorBidi" w:hAnsiTheme="majorBidi" w:cstheme="majorBidi"/>
          <w:sz w:val="24"/>
          <w:szCs w:val="24"/>
        </w:rPr>
        <w:t>y parts in order to provide cure for the sick and medical education for the learner might come across as unseemly.</w:t>
      </w:r>
      <w:r>
        <w:rPr>
          <w:rStyle w:val="FootnoteReference"/>
          <w:rFonts w:asciiTheme="majorBidi" w:hAnsiTheme="majorBidi" w:cstheme="majorBidi"/>
          <w:sz w:val="24"/>
          <w:szCs w:val="24"/>
        </w:rPr>
        <w:footnoteReference w:id="91"/>
      </w:r>
      <w:r>
        <w:rPr>
          <w:rFonts w:asciiTheme="majorBidi" w:hAnsiTheme="majorBidi" w:cstheme="majorBidi"/>
          <w:sz w:val="24"/>
          <w:szCs w:val="24"/>
        </w:rPr>
        <w:t xml:space="preserve"> Partly for this reason, considerable criticism was</w:t>
      </w:r>
      <w:r w:rsidR="00CB559C">
        <w:rPr>
          <w:rFonts w:asciiTheme="majorBidi" w:hAnsiTheme="majorBidi" w:cstheme="majorBidi"/>
          <w:sz w:val="24"/>
          <w:szCs w:val="24"/>
        </w:rPr>
        <w:t xml:space="preserve"> directed</w:t>
      </w:r>
      <w:r>
        <w:rPr>
          <w:rFonts w:asciiTheme="majorBidi" w:hAnsiTheme="majorBidi" w:cstheme="majorBidi"/>
          <w:sz w:val="24"/>
          <w:szCs w:val="24"/>
        </w:rPr>
        <w:t xml:space="preserve"> against the Human Tissue Act 2004 </w:t>
      </w:r>
      <w:r w:rsidR="00CB559C">
        <w:rPr>
          <w:rFonts w:asciiTheme="majorBidi" w:hAnsiTheme="majorBidi" w:cstheme="majorBidi"/>
          <w:sz w:val="24"/>
          <w:szCs w:val="24"/>
        </w:rPr>
        <w:t>for</w:t>
      </w:r>
      <w:r>
        <w:rPr>
          <w:rFonts w:asciiTheme="majorBidi" w:hAnsiTheme="majorBidi" w:cstheme="majorBidi"/>
          <w:sz w:val="24"/>
          <w:szCs w:val="24"/>
        </w:rPr>
        <w:t xml:space="preserve"> criminalis</w:t>
      </w:r>
      <w:r w:rsidR="00CB559C">
        <w:rPr>
          <w:rFonts w:asciiTheme="majorBidi" w:hAnsiTheme="majorBidi" w:cstheme="majorBidi"/>
          <w:sz w:val="24"/>
          <w:szCs w:val="24"/>
        </w:rPr>
        <w:t xml:space="preserve">ing </w:t>
      </w:r>
      <w:r>
        <w:rPr>
          <w:rFonts w:asciiTheme="majorBidi" w:hAnsiTheme="majorBidi" w:cstheme="majorBidi"/>
          <w:sz w:val="24"/>
          <w:szCs w:val="24"/>
        </w:rPr>
        <w:t>non-consensual removal, storage or use of human bod</w:t>
      </w:r>
      <w:r w:rsidR="00CB559C">
        <w:rPr>
          <w:rFonts w:asciiTheme="majorBidi" w:hAnsiTheme="majorBidi" w:cstheme="majorBidi"/>
          <w:sz w:val="24"/>
          <w:szCs w:val="24"/>
        </w:rPr>
        <w:t>il</w:t>
      </w:r>
      <w:r>
        <w:rPr>
          <w:rFonts w:asciiTheme="majorBidi" w:hAnsiTheme="majorBidi" w:cstheme="majorBidi"/>
          <w:sz w:val="24"/>
          <w:szCs w:val="24"/>
        </w:rPr>
        <w:t>y parts.</w:t>
      </w:r>
      <w:r>
        <w:rPr>
          <w:rStyle w:val="FootnoteReference"/>
          <w:rFonts w:asciiTheme="majorBidi" w:hAnsiTheme="majorBidi" w:cstheme="majorBidi"/>
          <w:sz w:val="24"/>
          <w:szCs w:val="24"/>
        </w:rPr>
        <w:footnoteReference w:id="92"/>
      </w:r>
      <w:r>
        <w:rPr>
          <w:rFonts w:asciiTheme="majorBidi" w:hAnsiTheme="majorBidi" w:cstheme="majorBidi"/>
          <w:sz w:val="24"/>
          <w:szCs w:val="24"/>
        </w:rPr>
        <w:t xml:space="preserve"> Fourth, crimes against the dead are poorly developed in England and Wales.</w:t>
      </w:r>
      <w:r>
        <w:rPr>
          <w:rStyle w:val="FootnoteReference"/>
          <w:rFonts w:asciiTheme="majorBidi" w:hAnsiTheme="majorBidi" w:cstheme="majorBidi"/>
          <w:sz w:val="24"/>
          <w:szCs w:val="24"/>
        </w:rPr>
        <w:footnoteReference w:id="93"/>
      </w:r>
      <w:r>
        <w:rPr>
          <w:rFonts w:asciiTheme="majorBidi" w:hAnsiTheme="majorBidi" w:cstheme="majorBidi"/>
          <w:sz w:val="24"/>
          <w:szCs w:val="24"/>
        </w:rPr>
        <w:t xml:space="preserve"> </w:t>
      </w:r>
      <w:r w:rsidR="00E733A2">
        <w:rPr>
          <w:rFonts w:asciiTheme="majorBidi" w:hAnsiTheme="majorBidi" w:cstheme="majorBidi"/>
          <w:sz w:val="24"/>
          <w:szCs w:val="24"/>
        </w:rPr>
        <w:t>Furthermore</w:t>
      </w:r>
      <w:r>
        <w:rPr>
          <w:rFonts w:asciiTheme="majorBidi" w:hAnsiTheme="majorBidi" w:cstheme="majorBidi"/>
          <w:sz w:val="24"/>
          <w:szCs w:val="24"/>
        </w:rPr>
        <w:t>, most instances of unlawful interference with bod</w:t>
      </w:r>
      <w:r w:rsidR="00E733A2">
        <w:rPr>
          <w:rFonts w:asciiTheme="majorBidi" w:hAnsiTheme="majorBidi" w:cstheme="majorBidi"/>
          <w:sz w:val="24"/>
          <w:szCs w:val="24"/>
        </w:rPr>
        <w:t>il</w:t>
      </w:r>
      <w:r>
        <w:rPr>
          <w:rFonts w:asciiTheme="majorBidi" w:hAnsiTheme="majorBidi" w:cstheme="majorBidi"/>
          <w:sz w:val="24"/>
          <w:szCs w:val="24"/>
        </w:rPr>
        <w:t>y parts sit uneasily with the</w:t>
      </w:r>
      <w:r w:rsidR="00E733A2">
        <w:rPr>
          <w:rFonts w:asciiTheme="majorBidi" w:hAnsiTheme="majorBidi" w:cstheme="majorBidi"/>
          <w:sz w:val="24"/>
          <w:szCs w:val="24"/>
        </w:rPr>
        <w:t xml:space="preserve"> elements of most common crimes; for instance, as shown by the German organ prosecution discussed below, a manslaughter charge hardly captures</w:t>
      </w:r>
      <w:r w:rsidR="0025781E">
        <w:rPr>
          <w:rFonts w:asciiTheme="majorBidi" w:hAnsiTheme="majorBidi" w:cstheme="majorBidi"/>
          <w:sz w:val="24"/>
          <w:szCs w:val="24"/>
        </w:rPr>
        <w:t xml:space="preserve"> wrongdoing within </w:t>
      </w:r>
      <w:r w:rsidR="00E733A2">
        <w:rPr>
          <w:rFonts w:asciiTheme="majorBidi" w:hAnsiTheme="majorBidi" w:cstheme="majorBidi"/>
          <w:sz w:val="24"/>
          <w:szCs w:val="24"/>
        </w:rPr>
        <w:t>the processes of organ donation and transplantation.</w:t>
      </w:r>
      <w:r w:rsidR="004550EC">
        <w:rPr>
          <w:rFonts w:asciiTheme="majorBidi" w:hAnsiTheme="majorBidi" w:cstheme="majorBidi"/>
          <w:sz w:val="24"/>
          <w:szCs w:val="24"/>
        </w:rPr>
        <w:t xml:space="preserve"> Criminal law’s reluctance to regulate bodily parts is historical.</w:t>
      </w:r>
    </w:p>
    <w:p w:rsidR="0091337D" w:rsidRDefault="0091337D" w:rsidP="006F09FC">
      <w:pPr>
        <w:jc w:val="both"/>
        <w:rPr>
          <w:rFonts w:asciiTheme="majorBidi" w:hAnsiTheme="majorBidi" w:cstheme="majorBidi"/>
          <w:sz w:val="24"/>
          <w:szCs w:val="24"/>
        </w:rPr>
      </w:pPr>
    </w:p>
    <w:p w:rsidR="0091337D" w:rsidRPr="00D13107" w:rsidRDefault="0091337D" w:rsidP="00D13107">
      <w:pPr>
        <w:pStyle w:val="ListParagraph"/>
        <w:numPr>
          <w:ilvl w:val="0"/>
          <w:numId w:val="3"/>
        </w:numPr>
        <w:jc w:val="center"/>
        <w:rPr>
          <w:rFonts w:asciiTheme="majorBidi" w:hAnsiTheme="majorBidi" w:cstheme="majorBidi"/>
          <w:bCs/>
          <w:i/>
        </w:rPr>
      </w:pPr>
      <w:r w:rsidRPr="00D13107">
        <w:rPr>
          <w:rFonts w:asciiTheme="majorBidi" w:hAnsiTheme="majorBidi" w:cstheme="majorBidi"/>
          <w:bCs/>
          <w:i/>
        </w:rPr>
        <w:t xml:space="preserve">Historical </w:t>
      </w:r>
      <w:r w:rsidR="00881245" w:rsidRPr="00D13107">
        <w:rPr>
          <w:rFonts w:asciiTheme="majorBidi" w:hAnsiTheme="majorBidi" w:cstheme="majorBidi"/>
          <w:bCs/>
          <w:i/>
        </w:rPr>
        <w:t xml:space="preserve">Contexts </w:t>
      </w:r>
      <w:r w:rsidRPr="00D13107">
        <w:rPr>
          <w:rFonts w:asciiTheme="majorBidi" w:hAnsiTheme="majorBidi" w:cstheme="majorBidi"/>
          <w:bCs/>
          <w:i/>
        </w:rPr>
        <w:t>of</w:t>
      </w:r>
      <w:r w:rsidR="00881245" w:rsidRPr="00D13107">
        <w:rPr>
          <w:rFonts w:asciiTheme="majorBidi" w:hAnsiTheme="majorBidi" w:cstheme="majorBidi"/>
          <w:bCs/>
          <w:i/>
        </w:rPr>
        <w:t xml:space="preserve"> the</w:t>
      </w:r>
      <w:r w:rsidRPr="00D13107">
        <w:rPr>
          <w:rFonts w:asciiTheme="majorBidi" w:hAnsiTheme="majorBidi" w:cstheme="majorBidi"/>
          <w:bCs/>
          <w:i/>
        </w:rPr>
        <w:t xml:space="preserve"> Criminal Regulation of Bodily Parts</w:t>
      </w:r>
    </w:p>
    <w:p w:rsidR="00D13107" w:rsidRDefault="00D13107" w:rsidP="000379DD">
      <w:pPr>
        <w:jc w:val="both"/>
        <w:rPr>
          <w:rFonts w:asciiTheme="majorBidi" w:hAnsiTheme="majorBidi" w:cstheme="majorBidi"/>
          <w:sz w:val="24"/>
          <w:szCs w:val="24"/>
        </w:rPr>
      </w:pPr>
    </w:p>
    <w:p w:rsidR="00A40749" w:rsidRDefault="00A40749" w:rsidP="000379DD">
      <w:pPr>
        <w:jc w:val="both"/>
        <w:rPr>
          <w:rFonts w:asciiTheme="majorBidi" w:hAnsiTheme="majorBidi" w:cstheme="majorBidi"/>
          <w:sz w:val="24"/>
          <w:szCs w:val="24"/>
        </w:rPr>
      </w:pPr>
      <w:r>
        <w:rPr>
          <w:rFonts w:asciiTheme="majorBidi" w:hAnsiTheme="majorBidi" w:cstheme="majorBidi"/>
          <w:sz w:val="24"/>
          <w:szCs w:val="24"/>
        </w:rPr>
        <w:t>A diachronic analysis of the</w:t>
      </w:r>
      <w:r w:rsidR="004550EC">
        <w:rPr>
          <w:rFonts w:asciiTheme="majorBidi" w:hAnsiTheme="majorBidi" w:cstheme="majorBidi"/>
          <w:sz w:val="24"/>
          <w:szCs w:val="24"/>
        </w:rPr>
        <w:t xml:space="preserve"> criminal regulation of bodily parts</w:t>
      </w:r>
      <w:r>
        <w:rPr>
          <w:rFonts w:asciiTheme="majorBidi" w:hAnsiTheme="majorBidi" w:cstheme="majorBidi"/>
          <w:sz w:val="24"/>
          <w:szCs w:val="24"/>
        </w:rPr>
        <w:t xml:space="preserve"> begins with the eighteenth century case of</w:t>
      </w:r>
      <w:r w:rsidRPr="002A7951">
        <w:rPr>
          <w:rFonts w:asciiTheme="majorBidi" w:hAnsiTheme="majorBidi" w:cstheme="majorBidi"/>
          <w:i/>
          <w:iCs/>
          <w:sz w:val="24"/>
          <w:szCs w:val="24"/>
        </w:rPr>
        <w:t xml:space="preserve"> Lynn</w:t>
      </w:r>
      <w:r>
        <w:rPr>
          <w:rFonts w:asciiTheme="majorBidi" w:hAnsiTheme="majorBidi" w:cstheme="majorBidi"/>
          <w:sz w:val="24"/>
          <w:szCs w:val="24"/>
        </w:rPr>
        <w:t>.</w:t>
      </w:r>
      <w:r w:rsidR="00946B28">
        <w:rPr>
          <w:rStyle w:val="FootnoteReference"/>
          <w:rFonts w:asciiTheme="majorBidi" w:hAnsiTheme="majorBidi" w:cstheme="majorBidi"/>
          <w:sz w:val="24"/>
          <w:szCs w:val="24"/>
        </w:rPr>
        <w:footnoteReference w:id="94"/>
      </w:r>
      <w:r w:rsidR="008C0967">
        <w:rPr>
          <w:rFonts w:asciiTheme="majorBidi" w:hAnsiTheme="majorBidi" w:cstheme="majorBidi"/>
          <w:sz w:val="24"/>
          <w:szCs w:val="24"/>
        </w:rPr>
        <w:t xml:space="preserve"> Recall that</w:t>
      </w:r>
      <w:r>
        <w:rPr>
          <w:rFonts w:asciiTheme="majorBidi" w:hAnsiTheme="majorBidi" w:cstheme="majorBidi"/>
          <w:sz w:val="24"/>
          <w:szCs w:val="24"/>
        </w:rPr>
        <w:t xml:space="preserve"> </w:t>
      </w:r>
      <w:r w:rsidRPr="00D14F76">
        <w:rPr>
          <w:rFonts w:asciiTheme="majorBidi" w:hAnsiTheme="majorBidi" w:cstheme="majorBidi"/>
          <w:i/>
          <w:iCs/>
          <w:sz w:val="24"/>
          <w:szCs w:val="24"/>
        </w:rPr>
        <w:t>Lynn</w:t>
      </w:r>
      <w:r>
        <w:rPr>
          <w:rFonts w:asciiTheme="majorBidi" w:hAnsiTheme="majorBidi" w:cstheme="majorBidi"/>
          <w:sz w:val="24"/>
          <w:szCs w:val="24"/>
        </w:rPr>
        <w:t xml:space="preserve"> was the first reported prosecution of a body</w:t>
      </w:r>
      <w:r w:rsidR="008C0967">
        <w:rPr>
          <w:rFonts w:asciiTheme="majorBidi" w:hAnsiTheme="majorBidi" w:cstheme="majorBidi"/>
          <w:sz w:val="24"/>
          <w:szCs w:val="24"/>
        </w:rPr>
        <w:t>-</w:t>
      </w:r>
      <w:r>
        <w:rPr>
          <w:rFonts w:asciiTheme="majorBidi" w:hAnsiTheme="majorBidi" w:cstheme="majorBidi"/>
          <w:sz w:val="24"/>
          <w:szCs w:val="24"/>
        </w:rPr>
        <w:t>snatcher in England and Wales</w:t>
      </w:r>
      <w:r w:rsidR="00007900">
        <w:rPr>
          <w:rFonts w:asciiTheme="majorBidi" w:hAnsiTheme="majorBidi" w:cstheme="majorBidi"/>
          <w:sz w:val="24"/>
          <w:szCs w:val="24"/>
        </w:rPr>
        <w:t>. In that era, body-snatchers or</w:t>
      </w:r>
      <w:r w:rsidR="00007900" w:rsidRPr="00007900">
        <w:rPr>
          <w:rFonts w:asciiTheme="majorBidi" w:hAnsiTheme="majorBidi" w:cstheme="majorBidi"/>
          <w:i/>
          <w:iCs/>
          <w:sz w:val="24"/>
          <w:szCs w:val="24"/>
        </w:rPr>
        <w:t xml:space="preserve"> </w:t>
      </w:r>
      <w:r w:rsidR="00007900" w:rsidRPr="00D64086">
        <w:rPr>
          <w:rFonts w:asciiTheme="majorBidi" w:hAnsiTheme="majorBidi" w:cstheme="majorBidi"/>
          <w:i/>
          <w:iCs/>
          <w:sz w:val="24"/>
          <w:szCs w:val="24"/>
        </w:rPr>
        <w:t>resurrectionists</w:t>
      </w:r>
      <w:r w:rsidR="00007900">
        <w:rPr>
          <w:rFonts w:asciiTheme="majorBidi" w:hAnsiTheme="majorBidi" w:cstheme="majorBidi"/>
          <w:sz w:val="24"/>
          <w:szCs w:val="24"/>
        </w:rPr>
        <w:t xml:space="preserve"> were a great</w:t>
      </w:r>
      <w:r>
        <w:rPr>
          <w:rFonts w:asciiTheme="majorBidi" w:hAnsiTheme="majorBidi" w:cstheme="majorBidi"/>
          <w:sz w:val="24"/>
          <w:szCs w:val="24"/>
        </w:rPr>
        <w:t xml:space="preserve"> menace to public peace and safety</w:t>
      </w:r>
      <w:r w:rsidR="00007900">
        <w:rPr>
          <w:rFonts w:asciiTheme="majorBidi" w:hAnsiTheme="majorBidi" w:cstheme="majorBidi"/>
          <w:sz w:val="24"/>
          <w:szCs w:val="24"/>
        </w:rPr>
        <w:t>, something that</w:t>
      </w:r>
      <w:r>
        <w:rPr>
          <w:rFonts w:asciiTheme="majorBidi" w:hAnsiTheme="majorBidi" w:cstheme="majorBidi"/>
          <w:sz w:val="24"/>
          <w:szCs w:val="24"/>
        </w:rPr>
        <w:t xml:space="preserve"> Sir William Scott</w:t>
      </w:r>
      <w:r w:rsidR="00007900">
        <w:rPr>
          <w:rFonts w:asciiTheme="majorBidi" w:hAnsiTheme="majorBidi" w:cstheme="majorBidi"/>
          <w:sz w:val="24"/>
          <w:szCs w:val="24"/>
        </w:rPr>
        <w:t xml:space="preserve"> highlighted</w:t>
      </w:r>
      <w:r>
        <w:rPr>
          <w:rFonts w:asciiTheme="majorBidi" w:hAnsiTheme="majorBidi" w:cstheme="majorBidi"/>
          <w:sz w:val="24"/>
          <w:szCs w:val="24"/>
        </w:rPr>
        <w:t xml:space="preserve"> in the </w:t>
      </w:r>
      <w:r w:rsidRPr="00007900">
        <w:rPr>
          <w:rFonts w:asciiTheme="majorBidi" w:hAnsiTheme="majorBidi" w:cstheme="majorBidi"/>
          <w:i/>
          <w:iCs/>
          <w:sz w:val="24"/>
          <w:szCs w:val="24"/>
        </w:rPr>
        <w:t xml:space="preserve">Iron Coffin's </w:t>
      </w:r>
      <w:r>
        <w:rPr>
          <w:rFonts w:asciiTheme="majorBidi" w:hAnsiTheme="majorBidi" w:cstheme="majorBidi"/>
          <w:sz w:val="24"/>
          <w:szCs w:val="24"/>
        </w:rPr>
        <w:t>case</w:t>
      </w:r>
      <w:r w:rsidR="00007900">
        <w:rPr>
          <w:rFonts w:asciiTheme="majorBidi" w:hAnsiTheme="majorBidi" w:cstheme="majorBidi"/>
          <w:sz w:val="24"/>
          <w:szCs w:val="24"/>
        </w:rPr>
        <w:t>.</w:t>
      </w:r>
      <w:r>
        <w:rPr>
          <w:rStyle w:val="FootnoteReference"/>
          <w:rFonts w:asciiTheme="majorBidi" w:hAnsiTheme="majorBidi" w:cstheme="majorBidi"/>
          <w:sz w:val="24"/>
          <w:szCs w:val="24"/>
        </w:rPr>
        <w:footnoteReference w:id="95"/>
      </w:r>
      <w:r w:rsidR="00007900">
        <w:rPr>
          <w:rFonts w:asciiTheme="majorBidi" w:hAnsiTheme="majorBidi" w:cstheme="majorBidi"/>
          <w:sz w:val="24"/>
          <w:szCs w:val="24"/>
        </w:rPr>
        <w:t xml:space="preserve"> With this background in sight</w:t>
      </w:r>
      <w:r>
        <w:rPr>
          <w:rFonts w:asciiTheme="majorBidi" w:hAnsiTheme="majorBidi" w:cstheme="majorBidi"/>
          <w:sz w:val="24"/>
          <w:szCs w:val="24"/>
        </w:rPr>
        <w:t xml:space="preserve">, the </w:t>
      </w:r>
      <w:r w:rsidRPr="00E04A22">
        <w:rPr>
          <w:rFonts w:asciiTheme="majorBidi" w:hAnsiTheme="majorBidi" w:cstheme="majorBidi"/>
          <w:i/>
          <w:iCs/>
          <w:sz w:val="24"/>
          <w:szCs w:val="24"/>
        </w:rPr>
        <w:t>Lynn</w:t>
      </w:r>
      <w:r>
        <w:rPr>
          <w:rFonts w:asciiTheme="majorBidi" w:hAnsiTheme="majorBidi" w:cstheme="majorBidi"/>
          <w:sz w:val="24"/>
          <w:szCs w:val="24"/>
        </w:rPr>
        <w:t xml:space="preserve"> court was anxious to stamp </w:t>
      </w:r>
      <w:r w:rsidR="0005178D">
        <w:rPr>
          <w:rFonts w:asciiTheme="majorBidi" w:hAnsiTheme="majorBidi" w:cstheme="majorBidi"/>
          <w:sz w:val="24"/>
          <w:szCs w:val="24"/>
        </w:rPr>
        <w:t>its</w:t>
      </w:r>
      <w:r>
        <w:rPr>
          <w:rFonts w:asciiTheme="majorBidi" w:hAnsiTheme="majorBidi" w:cstheme="majorBidi"/>
          <w:sz w:val="24"/>
          <w:szCs w:val="24"/>
        </w:rPr>
        <w:t xml:space="preserve"> seal of </w:t>
      </w:r>
      <w:r w:rsidR="0005178D">
        <w:rPr>
          <w:rFonts w:asciiTheme="majorBidi" w:hAnsiTheme="majorBidi" w:cstheme="majorBidi"/>
          <w:sz w:val="24"/>
          <w:szCs w:val="24"/>
        </w:rPr>
        <w:t>disapproval</w:t>
      </w:r>
      <w:r>
        <w:rPr>
          <w:rFonts w:asciiTheme="majorBidi" w:hAnsiTheme="majorBidi" w:cstheme="majorBidi"/>
          <w:sz w:val="24"/>
          <w:szCs w:val="24"/>
        </w:rPr>
        <w:t xml:space="preserve"> against the act</w:t>
      </w:r>
      <w:r w:rsidR="0005178D">
        <w:rPr>
          <w:rFonts w:asciiTheme="majorBidi" w:hAnsiTheme="majorBidi" w:cstheme="majorBidi"/>
          <w:sz w:val="24"/>
          <w:szCs w:val="24"/>
        </w:rPr>
        <w:t>ivities of body-snatchers.</w:t>
      </w:r>
      <w:r>
        <w:rPr>
          <w:rFonts w:asciiTheme="majorBidi" w:hAnsiTheme="majorBidi" w:cstheme="majorBidi"/>
          <w:sz w:val="24"/>
          <w:szCs w:val="24"/>
        </w:rPr>
        <w:t xml:space="preserve"> </w:t>
      </w:r>
      <w:r w:rsidR="0005178D">
        <w:rPr>
          <w:rFonts w:asciiTheme="majorBidi" w:hAnsiTheme="majorBidi" w:cstheme="majorBidi"/>
          <w:sz w:val="24"/>
          <w:szCs w:val="24"/>
        </w:rPr>
        <w:t>T</w:t>
      </w:r>
      <w:r>
        <w:rPr>
          <w:rFonts w:asciiTheme="majorBidi" w:hAnsiTheme="majorBidi" w:cstheme="majorBidi"/>
          <w:sz w:val="24"/>
          <w:szCs w:val="24"/>
        </w:rPr>
        <w:t>hus, the court refused to grant the accused ‘a rule to shew cause, lest that alone should convey to the public an idea that they entertained a doubt respecting the crime alleged’.</w:t>
      </w:r>
      <w:r>
        <w:rPr>
          <w:rStyle w:val="FootnoteReference"/>
          <w:rFonts w:asciiTheme="majorBidi" w:hAnsiTheme="majorBidi" w:cstheme="majorBidi"/>
          <w:sz w:val="24"/>
          <w:szCs w:val="24"/>
        </w:rPr>
        <w:footnoteReference w:id="96"/>
      </w:r>
      <w:r>
        <w:rPr>
          <w:rFonts w:asciiTheme="majorBidi" w:hAnsiTheme="majorBidi" w:cstheme="majorBidi"/>
          <w:sz w:val="24"/>
          <w:szCs w:val="24"/>
        </w:rPr>
        <w:t xml:space="preserve"> </w:t>
      </w:r>
      <w:r w:rsidR="00D543CA">
        <w:rPr>
          <w:rFonts w:asciiTheme="majorBidi" w:hAnsiTheme="majorBidi" w:cstheme="majorBidi"/>
          <w:sz w:val="24"/>
          <w:szCs w:val="24"/>
        </w:rPr>
        <w:t>The Canadian historian, Royce MacGillivary, reported a similar</w:t>
      </w:r>
      <w:r>
        <w:rPr>
          <w:rFonts w:asciiTheme="majorBidi" w:hAnsiTheme="majorBidi" w:cstheme="majorBidi"/>
          <w:sz w:val="24"/>
          <w:szCs w:val="24"/>
        </w:rPr>
        <w:t xml:space="preserve"> prosecution in Montreal, Canada, in the nineteenth century</w:t>
      </w:r>
      <w:r w:rsidR="00D543CA">
        <w:rPr>
          <w:rFonts w:asciiTheme="majorBidi" w:hAnsiTheme="majorBidi" w:cstheme="majorBidi"/>
          <w:sz w:val="24"/>
          <w:szCs w:val="24"/>
        </w:rPr>
        <w:t>.</w:t>
      </w:r>
      <w:r w:rsidR="00277E55">
        <w:rPr>
          <w:rStyle w:val="FootnoteReference"/>
          <w:rFonts w:asciiTheme="majorBidi" w:hAnsiTheme="majorBidi" w:cstheme="majorBidi"/>
          <w:sz w:val="24"/>
          <w:szCs w:val="24"/>
        </w:rPr>
        <w:footnoteReference w:id="97"/>
      </w:r>
      <w:r w:rsidR="00D543CA">
        <w:rPr>
          <w:rFonts w:asciiTheme="majorBidi" w:hAnsiTheme="majorBidi" w:cstheme="majorBidi"/>
          <w:sz w:val="24"/>
          <w:szCs w:val="24"/>
        </w:rPr>
        <w:t xml:space="preserve"> </w:t>
      </w:r>
      <w:r w:rsidR="00265E12">
        <w:rPr>
          <w:rFonts w:asciiTheme="majorBidi" w:hAnsiTheme="majorBidi" w:cstheme="majorBidi"/>
          <w:sz w:val="24"/>
          <w:szCs w:val="24"/>
        </w:rPr>
        <w:t>Interestingly,</w:t>
      </w:r>
      <w:r>
        <w:rPr>
          <w:rFonts w:asciiTheme="majorBidi" w:hAnsiTheme="majorBidi" w:cstheme="majorBidi"/>
          <w:sz w:val="24"/>
          <w:szCs w:val="24"/>
        </w:rPr>
        <w:t xml:space="preserve"> MacGillivary</w:t>
      </w:r>
      <w:r w:rsidR="00265E12">
        <w:rPr>
          <w:rFonts w:asciiTheme="majorBidi" w:hAnsiTheme="majorBidi" w:cstheme="majorBidi"/>
          <w:sz w:val="24"/>
          <w:szCs w:val="24"/>
        </w:rPr>
        <w:t>’s report of the case</w:t>
      </w:r>
      <w:r>
        <w:rPr>
          <w:rFonts w:asciiTheme="majorBidi" w:hAnsiTheme="majorBidi" w:cstheme="majorBidi"/>
          <w:sz w:val="24"/>
          <w:szCs w:val="24"/>
        </w:rPr>
        <w:t xml:space="preserve"> echoed the</w:t>
      </w:r>
      <w:r w:rsidR="00265E12">
        <w:rPr>
          <w:rFonts w:asciiTheme="majorBidi" w:hAnsiTheme="majorBidi" w:cstheme="majorBidi"/>
          <w:sz w:val="24"/>
          <w:szCs w:val="24"/>
        </w:rPr>
        <w:t xml:space="preserve"> same</w:t>
      </w:r>
      <w:r>
        <w:rPr>
          <w:rFonts w:asciiTheme="majorBidi" w:hAnsiTheme="majorBidi" w:cstheme="majorBidi"/>
          <w:sz w:val="24"/>
          <w:szCs w:val="24"/>
        </w:rPr>
        <w:t xml:space="preserve"> </w:t>
      </w:r>
      <w:r w:rsidRPr="00A72A91">
        <w:rPr>
          <w:rFonts w:asciiTheme="majorBidi" w:hAnsiTheme="majorBidi" w:cstheme="majorBidi"/>
          <w:sz w:val="24"/>
          <w:szCs w:val="24"/>
        </w:rPr>
        <w:t>placati</w:t>
      </w:r>
      <w:r w:rsidR="00265E12">
        <w:rPr>
          <w:rFonts w:asciiTheme="majorBidi" w:hAnsiTheme="majorBidi" w:cstheme="majorBidi"/>
          <w:sz w:val="24"/>
          <w:szCs w:val="24"/>
        </w:rPr>
        <w:t>ng</w:t>
      </w:r>
      <w:r w:rsidRPr="00A72A91">
        <w:rPr>
          <w:rFonts w:asciiTheme="majorBidi" w:hAnsiTheme="majorBidi" w:cstheme="majorBidi"/>
          <w:sz w:val="24"/>
          <w:szCs w:val="24"/>
        </w:rPr>
        <w:t xml:space="preserve"> </w:t>
      </w:r>
      <w:r>
        <w:rPr>
          <w:rFonts w:asciiTheme="majorBidi" w:hAnsiTheme="majorBidi" w:cstheme="majorBidi"/>
          <w:sz w:val="24"/>
          <w:szCs w:val="24"/>
        </w:rPr>
        <w:t>tone</w:t>
      </w:r>
      <w:r w:rsidR="00265E12">
        <w:rPr>
          <w:rFonts w:asciiTheme="majorBidi" w:hAnsiTheme="majorBidi" w:cstheme="majorBidi"/>
          <w:sz w:val="24"/>
          <w:szCs w:val="24"/>
        </w:rPr>
        <w:t xml:space="preserve"> witnessed in</w:t>
      </w:r>
      <w:r>
        <w:rPr>
          <w:rFonts w:asciiTheme="majorBidi" w:hAnsiTheme="majorBidi" w:cstheme="majorBidi"/>
          <w:sz w:val="24"/>
          <w:szCs w:val="24"/>
        </w:rPr>
        <w:t xml:space="preserve"> </w:t>
      </w:r>
      <w:r w:rsidRPr="00A72A91">
        <w:rPr>
          <w:rFonts w:asciiTheme="majorBidi" w:hAnsiTheme="majorBidi" w:cstheme="majorBidi"/>
          <w:i/>
          <w:iCs/>
          <w:sz w:val="24"/>
          <w:szCs w:val="24"/>
        </w:rPr>
        <w:t>Lynn</w:t>
      </w:r>
      <w:r>
        <w:rPr>
          <w:rFonts w:asciiTheme="majorBidi" w:hAnsiTheme="majorBidi" w:cstheme="majorBidi"/>
          <w:sz w:val="24"/>
          <w:szCs w:val="24"/>
        </w:rPr>
        <w:t xml:space="preserve"> </w:t>
      </w:r>
      <w:r w:rsidR="00265E12">
        <w:rPr>
          <w:rFonts w:asciiTheme="majorBidi" w:hAnsiTheme="majorBidi" w:cstheme="majorBidi"/>
          <w:sz w:val="24"/>
          <w:szCs w:val="24"/>
        </w:rPr>
        <w:t>above</w:t>
      </w:r>
      <w:r w:rsidR="00277E55">
        <w:rPr>
          <w:rFonts w:asciiTheme="majorBidi" w:hAnsiTheme="majorBidi" w:cstheme="majorBidi"/>
          <w:sz w:val="24"/>
          <w:szCs w:val="24"/>
        </w:rPr>
        <w:t>.</w:t>
      </w:r>
      <w:r w:rsidR="00277E55">
        <w:rPr>
          <w:rStyle w:val="FootnoteReference"/>
          <w:rFonts w:asciiTheme="majorBidi" w:hAnsiTheme="majorBidi" w:cstheme="majorBidi"/>
          <w:sz w:val="24"/>
          <w:szCs w:val="24"/>
        </w:rPr>
        <w:footnoteReference w:id="98"/>
      </w:r>
      <w:r>
        <w:rPr>
          <w:rFonts w:asciiTheme="majorBidi" w:hAnsiTheme="majorBidi" w:cstheme="majorBidi"/>
          <w:sz w:val="24"/>
          <w:szCs w:val="24"/>
        </w:rPr>
        <w:t xml:space="preserve"> </w:t>
      </w:r>
      <w:r w:rsidR="00265E12">
        <w:rPr>
          <w:rFonts w:asciiTheme="majorBidi" w:hAnsiTheme="majorBidi" w:cstheme="majorBidi"/>
          <w:sz w:val="24"/>
          <w:szCs w:val="24"/>
        </w:rPr>
        <w:t>The</w:t>
      </w:r>
      <w:r>
        <w:rPr>
          <w:rFonts w:asciiTheme="majorBidi" w:hAnsiTheme="majorBidi" w:cstheme="majorBidi"/>
          <w:sz w:val="24"/>
          <w:szCs w:val="24"/>
        </w:rPr>
        <w:t xml:space="preserve"> proliferation of medical schools in Edinburgh and London</w:t>
      </w:r>
      <w:r w:rsidR="00265E12">
        <w:rPr>
          <w:rFonts w:asciiTheme="majorBidi" w:hAnsiTheme="majorBidi" w:cstheme="majorBidi"/>
          <w:sz w:val="24"/>
          <w:szCs w:val="24"/>
        </w:rPr>
        <w:t xml:space="preserve"> in the eighteenth century</w:t>
      </w:r>
      <w:r>
        <w:rPr>
          <w:rFonts w:asciiTheme="majorBidi" w:hAnsiTheme="majorBidi" w:cstheme="majorBidi"/>
          <w:sz w:val="24"/>
          <w:szCs w:val="24"/>
        </w:rPr>
        <w:t xml:space="preserve"> led to a shortage of cadavers for medical education and dissection. </w:t>
      </w:r>
      <w:r w:rsidR="00265E12" w:rsidRPr="0018166F">
        <w:rPr>
          <w:rFonts w:asciiTheme="majorBidi" w:hAnsiTheme="majorBidi" w:cstheme="majorBidi"/>
          <w:sz w:val="24"/>
          <w:szCs w:val="24"/>
        </w:rPr>
        <w:t>R</w:t>
      </w:r>
      <w:r w:rsidRPr="0018166F">
        <w:rPr>
          <w:rFonts w:asciiTheme="majorBidi" w:hAnsiTheme="majorBidi" w:cstheme="majorBidi"/>
          <w:sz w:val="24"/>
          <w:szCs w:val="24"/>
        </w:rPr>
        <w:t xml:space="preserve">esurrectionists </w:t>
      </w:r>
      <w:r>
        <w:rPr>
          <w:rFonts w:asciiTheme="majorBidi" w:hAnsiTheme="majorBidi" w:cstheme="majorBidi"/>
          <w:sz w:val="24"/>
          <w:szCs w:val="24"/>
        </w:rPr>
        <w:t>emerged</w:t>
      </w:r>
      <w:r w:rsidR="00265E12">
        <w:rPr>
          <w:rFonts w:asciiTheme="majorBidi" w:hAnsiTheme="majorBidi" w:cstheme="majorBidi"/>
          <w:sz w:val="24"/>
          <w:szCs w:val="24"/>
        </w:rPr>
        <w:t xml:space="preserve"> to</w:t>
      </w:r>
      <w:r>
        <w:rPr>
          <w:rFonts w:asciiTheme="majorBidi" w:hAnsiTheme="majorBidi" w:cstheme="majorBidi"/>
          <w:sz w:val="24"/>
          <w:szCs w:val="24"/>
        </w:rPr>
        <w:t xml:space="preserve"> fill the supply gap by disinterring freshly buried bodies from their graves and sold them to medical schools.</w:t>
      </w:r>
      <w:r>
        <w:rPr>
          <w:rStyle w:val="FootnoteReference"/>
          <w:rFonts w:asciiTheme="majorBidi" w:hAnsiTheme="majorBidi" w:cstheme="majorBidi"/>
          <w:sz w:val="24"/>
          <w:szCs w:val="24"/>
        </w:rPr>
        <w:footnoteReference w:id="99"/>
      </w:r>
      <w:r w:rsidR="00314C70">
        <w:rPr>
          <w:rFonts w:asciiTheme="majorBidi" w:hAnsiTheme="majorBidi" w:cstheme="majorBidi"/>
          <w:sz w:val="24"/>
          <w:szCs w:val="24"/>
        </w:rPr>
        <w:t xml:space="preserve"> At times the supply was filled by killing </w:t>
      </w:r>
      <w:r>
        <w:rPr>
          <w:rFonts w:asciiTheme="majorBidi" w:hAnsiTheme="majorBidi" w:cstheme="majorBidi"/>
          <w:sz w:val="24"/>
          <w:szCs w:val="24"/>
        </w:rPr>
        <w:t>vulnerable and poor people,</w:t>
      </w:r>
      <w:r w:rsidR="0018166F">
        <w:rPr>
          <w:rFonts w:asciiTheme="majorBidi" w:hAnsiTheme="majorBidi" w:cstheme="majorBidi"/>
          <w:sz w:val="24"/>
          <w:szCs w:val="24"/>
        </w:rPr>
        <w:t xml:space="preserve"> as</w:t>
      </w:r>
      <w:r>
        <w:rPr>
          <w:rFonts w:asciiTheme="majorBidi" w:hAnsiTheme="majorBidi" w:cstheme="majorBidi"/>
          <w:sz w:val="24"/>
          <w:szCs w:val="24"/>
        </w:rPr>
        <w:t xml:space="preserve"> exemplified by the Burke and Hare </w:t>
      </w:r>
      <w:r w:rsidR="00314C70">
        <w:rPr>
          <w:rFonts w:asciiTheme="majorBidi" w:hAnsiTheme="majorBidi" w:cstheme="majorBidi"/>
          <w:sz w:val="24"/>
          <w:szCs w:val="24"/>
        </w:rPr>
        <w:t>scandal</w:t>
      </w:r>
      <w:r>
        <w:rPr>
          <w:rFonts w:asciiTheme="majorBidi" w:hAnsiTheme="majorBidi" w:cstheme="majorBidi"/>
          <w:sz w:val="24"/>
          <w:szCs w:val="24"/>
        </w:rPr>
        <w:t xml:space="preserve"> in Scotland.</w:t>
      </w:r>
      <w:r>
        <w:rPr>
          <w:rStyle w:val="FootnoteReference"/>
          <w:rFonts w:asciiTheme="majorBidi" w:hAnsiTheme="majorBidi" w:cstheme="majorBidi"/>
          <w:sz w:val="24"/>
          <w:szCs w:val="24"/>
        </w:rPr>
        <w:footnoteReference w:id="100"/>
      </w:r>
      <w:r w:rsidR="0018166F">
        <w:rPr>
          <w:rFonts w:asciiTheme="majorBidi" w:hAnsiTheme="majorBidi" w:cstheme="majorBidi"/>
          <w:sz w:val="24"/>
          <w:szCs w:val="24"/>
        </w:rPr>
        <w:t xml:space="preserve"> </w:t>
      </w:r>
      <w:r>
        <w:rPr>
          <w:rFonts w:asciiTheme="majorBidi" w:hAnsiTheme="majorBidi" w:cstheme="majorBidi"/>
          <w:sz w:val="24"/>
          <w:szCs w:val="24"/>
        </w:rPr>
        <w:t>Public outcry over the heinous act of body</w:t>
      </w:r>
      <w:r w:rsidR="0018166F">
        <w:rPr>
          <w:rFonts w:asciiTheme="majorBidi" w:hAnsiTheme="majorBidi" w:cstheme="majorBidi"/>
          <w:sz w:val="24"/>
          <w:szCs w:val="24"/>
        </w:rPr>
        <w:t>-</w:t>
      </w:r>
      <w:r>
        <w:rPr>
          <w:rFonts w:asciiTheme="majorBidi" w:hAnsiTheme="majorBidi" w:cstheme="majorBidi"/>
          <w:sz w:val="24"/>
          <w:szCs w:val="24"/>
        </w:rPr>
        <w:t>snatching, coupled with</w:t>
      </w:r>
      <w:r w:rsidR="0018166F">
        <w:rPr>
          <w:rFonts w:asciiTheme="majorBidi" w:hAnsiTheme="majorBidi" w:cstheme="majorBidi"/>
          <w:sz w:val="24"/>
          <w:szCs w:val="24"/>
        </w:rPr>
        <w:t xml:space="preserve"> the</w:t>
      </w:r>
      <w:r>
        <w:rPr>
          <w:rFonts w:asciiTheme="majorBidi" w:hAnsiTheme="majorBidi" w:cstheme="majorBidi"/>
          <w:sz w:val="24"/>
          <w:szCs w:val="24"/>
        </w:rPr>
        <w:t xml:space="preserve"> acute shortage of cadavers for dissection, led to a</w:t>
      </w:r>
      <w:r w:rsidR="0018166F">
        <w:rPr>
          <w:rFonts w:asciiTheme="majorBidi" w:hAnsiTheme="majorBidi" w:cstheme="majorBidi"/>
          <w:sz w:val="24"/>
          <w:szCs w:val="24"/>
        </w:rPr>
        <w:t>n investigation by a</w:t>
      </w:r>
      <w:r>
        <w:rPr>
          <w:rFonts w:asciiTheme="majorBidi" w:hAnsiTheme="majorBidi" w:cstheme="majorBidi"/>
          <w:sz w:val="24"/>
          <w:szCs w:val="24"/>
        </w:rPr>
        <w:t xml:space="preserve"> Select Committee of the House of Commons in 1828 and recommend</w:t>
      </w:r>
      <w:r w:rsidR="0018166F">
        <w:rPr>
          <w:rFonts w:asciiTheme="majorBidi" w:hAnsiTheme="majorBidi" w:cstheme="majorBidi"/>
          <w:sz w:val="24"/>
          <w:szCs w:val="24"/>
        </w:rPr>
        <w:t xml:space="preserve">ation for </w:t>
      </w:r>
      <w:r>
        <w:rPr>
          <w:rFonts w:asciiTheme="majorBidi" w:hAnsiTheme="majorBidi" w:cstheme="majorBidi"/>
          <w:sz w:val="24"/>
          <w:szCs w:val="24"/>
        </w:rPr>
        <w:t>a legislative solution</w:t>
      </w:r>
      <w:r w:rsidR="0018166F">
        <w:rPr>
          <w:rFonts w:asciiTheme="majorBidi" w:hAnsiTheme="majorBidi" w:cstheme="majorBidi"/>
          <w:sz w:val="24"/>
          <w:szCs w:val="24"/>
        </w:rPr>
        <w:t>.</w:t>
      </w:r>
      <w:r>
        <w:rPr>
          <w:rStyle w:val="FootnoteReference"/>
          <w:rFonts w:asciiTheme="majorBidi" w:hAnsiTheme="majorBidi" w:cstheme="majorBidi"/>
          <w:sz w:val="24"/>
          <w:szCs w:val="24"/>
        </w:rPr>
        <w:footnoteReference w:id="101"/>
      </w:r>
      <w:r>
        <w:rPr>
          <w:rFonts w:asciiTheme="majorBidi" w:hAnsiTheme="majorBidi" w:cstheme="majorBidi"/>
          <w:sz w:val="24"/>
          <w:szCs w:val="24"/>
        </w:rPr>
        <w:t xml:space="preserve"> </w:t>
      </w:r>
      <w:r w:rsidR="0018166F">
        <w:rPr>
          <w:rFonts w:asciiTheme="majorBidi" w:hAnsiTheme="majorBidi" w:cstheme="majorBidi"/>
          <w:sz w:val="24"/>
          <w:szCs w:val="24"/>
        </w:rPr>
        <w:t>T</w:t>
      </w:r>
      <w:r>
        <w:rPr>
          <w:rFonts w:asciiTheme="majorBidi" w:hAnsiTheme="majorBidi" w:cstheme="majorBidi"/>
          <w:sz w:val="24"/>
          <w:szCs w:val="24"/>
        </w:rPr>
        <w:t>he Anatomy Act 1832 was, however,</w:t>
      </w:r>
      <w:r w:rsidR="0018166F">
        <w:rPr>
          <w:rFonts w:asciiTheme="majorBidi" w:hAnsiTheme="majorBidi" w:cstheme="majorBidi"/>
          <w:sz w:val="24"/>
          <w:szCs w:val="24"/>
        </w:rPr>
        <w:t xml:space="preserve"> triggered by</w:t>
      </w:r>
      <w:r>
        <w:rPr>
          <w:rFonts w:asciiTheme="majorBidi" w:hAnsiTheme="majorBidi" w:cstheme="majorBidi"/>
          <w:sz w:val="24"/>
          <w:szCs w:val="24"/>
        </w:rPr>
        <w:t xml:space="preserve"> the 1831</w:t>
      </w:r>
      <w:r w:rsidR="0018166F">
        <w:rPr>
          <w:rFonts w:asciiTheme="majorBidi" w:hAnsiTheme="majorBidi" w:cstheme="majorBidi"/>
          <w:sz w:val="24"/>
          <w:szCs w:val="24"/>
        </w:rPr>
        <w:t xml:space="preserve"> copycat</w:t>
      </w:r>
      <w:r>
        <w:rPr>
          <w:rFonts w:asciiTheme="majorBidi" w:hAnsiTheme="majorBidi" w:cstheme="majorBidi"/>
          <w:sz w:val="24"/>
          <w:szCs w:val="24"/>
        </w:rPr>
        <w:t xml:space="preserve"> </w:t>
      </w:r>
      <w:r w:rsidRPr="00245390">
        <w:rPr>
          <w:rFonts w:asciiTheme="majorBidi" w:hAnsiTheme="majorBidi" w:cstheme="majorBidi"/>
          <w:i/>
          <w:iCs/>
          <w:sz w:val="24"/>
          <w:szCs w:val="24"/>
        </w:rPr>
        <w:t>Burk</w:t>
      </w:r>
      <w:r>
        <w:rPr>
          <w:rFonts w:asciiTheme="majorBidi" w:hAnsiTheme="majorBidi" w:cstheme="majorBidi"/>
          <w:i/>
          <w:iCs/>
          <w:sz w:val="24"/>
          <w:szCs w:val="24"/>
        </w:rPr>
        <w:t>e</w:t>
      </w:r>
      <w:r w:rsidRPr="00245390">
        <w:rPr>
          <w:rFonts w:asciiTheme="majorBidi" w:hAnsiTheme="majorBidi" w:cstheme="majorBidi"/>
          <w:i/>
          <w:iCs/>
          <w:sz w:val="24"/>
          <w:szCs w:val="24"/>
        </w:rPr>
        <w:t>an</w:t>
      </w:r>
      <w:r>
        <w:rPr>
          <w:rFonts w:asciiTheme="majorBidi" w:hAnsiTheme="majorBidi" w:cstheme="majorBidi"/>
          <w:sz w:val="24"/>
          <w:szCs w:val="24"/>
        </w:rPr>
        <w:t xml:space="preserve"> murders in London by the trio of May, Bishop and Williams.</w:t>
      </w:r>
      <w:r>
        <w:rPr>
          <w:rStyle w:val="FootnoteReference"/>
          <w:rFonts w:asciiTheme="majorBidi" w:hAnsiTheme="majorBidi" w:cstheme="majorBidi"/>
          <w:sz w:val="24"/>
          <w:szCs w:val="24"/>
        </w:rPr>
        <w:footnoteReference w:id="102"/>
      </w:r>
      <w:r>
        <w:rPr>
          <w:rFonts w:asciiTheme="majorBidi" w:hAnsiTheme="majorBidi" w:cstheme="majorBidi"/>
          <w:sz w:val="24"/>
          <w:szCs w:val="24"/>
        </w:rPr>
        <w:t xml:space="preserve"> </w:t>
      </w:r>
      <w:r w:rsidR="0018166F">
        <w:rPr>
          <w:rFonts w:asciiTheme="majorBidi" w:hAnsiTheme="majorBidi" w:cstheme="majorBidi"/>
          <w:sz w:val="24"/>
          <w:szCs w:val="24"/>
        </w:rPr>
        <w:t>All of the above is just to underscore that pre</w:t>
      </w:r>
      <w:r w:rsidR="000E5090">
        <w:rPr>
          <w:rFonts w:asciiTheme="majorBidi" w:hAnsiTheme="majorBidi" w:cstheme="majorBidi"/>
          <w:sz w:val="24"/>
          <w:szCs w:val="24"/>
        </w:rPr>
        <w:t>-</w:t>
      </w:r>
      <w:r w:rsidR="0018166F">
        <w:rPr>
          <w:rFonts w:asciiTheme="majorBidi" w:hAnsiTheme="majorBidi" w:cstheme="majorBidi"/>
          <w:sz w:val="24"/>
          <w:szCs w:val="24"/>
        </w:rPr>
        <w:t xml:space="preserve"> and post-</w:t>
      </w:r>
      <w:r w:rsidRPr="00131DFA">
        <w:rPr>
          <w:rFonts w:asciiTheme="majorBidi" w:hAnsiTheme="majorBidi" w:cstheme="majorBidi"/>
          <w:i/>
          <w:iCs/>
          <w:sz w:val="24"/>
          <w:szCs w:val="24"/>
        </w:rPr>
        <w:t>Lynn</w:t>
      </w:r>
      <w:r>
        <w:rPr>
          <w:rFonts w:asciiTheme="majorBidi" w:hAnsiTheme="majorBidi" w:cstheme="majorBidi"/>
          <w:sz w:val="24"/>
          <w:szCs w:val="24"/>
        </w:rPr>
        <w:t>, the criminal justice system</w:t>
      </w:r>
      <w:r w:rsidR="000E5090">
        <w:rPr>
          <w:rFonts w:asciiTheme="majorBidi" w:hAnsiTheme="majorBidi" w:cstheme="majorBidi"/>
          <w:sz w:val="24"/>
          <w:szCs w:val="24"/>
        </w:rPr>
        <w:t xml:space="preserve"> </w:t>
      </w:r>
      <w:r>
        <w:rPr>
          <w:rFonts w:asciiTheme="majorBidi" w:hAnsiTheme="majorBidi" w:cstheme="majorBidi"/>
          <w:sz w:val="24"/>
          <w:szCs w:val="24"/>
        </w:rPr>
        <w:t xml:space="preserve">practically winked at </w:t>
      </w:r>
      <w:r w:rsidR="000E5090">
        <w:rPr>
          <w:rFonts w:asciiTheme="majorBidi" w:hAnsiTheme="majorBidi" w:cstheme="majorBidi"/>
          <w:sz w:val="24"/>
          <w:szCs w:val="24"/>
        </w:rPr>
        <w:t>offences involving cadavers and bodily parts because of their</w:t>
      </w:r>
      <w:r>
        <w:rPr>
          <w:rFonts w:asciiTheme="majorBidi" w:hAnsiTheme="majorBidi" w:cstheme="majorBidi"/>
          <w:sz w:val="24"/>
          <w:szCs w:val="24"/>
        </w:rPr>
        <w:t xml:space="preserve"> medical utility.</w:t>
      </w:r>
      <w:r>
        <w:rPr>
          <w:rStyle w:val="FootnoteReference"/>
          <w:rFonts w:asciiTheme="majorBidi" w:hAnsiTheme="majorBidi" w:cstheme="majorBidi"/>
          <w:sz w:val="24"/>
          <w:szCs w:val="24"/>
        </w:rPr>
        <w:footnoteReference w:id="103"/>
      </w:r>
      <w:r>
        <w:rPr>
          <w:rFonts w:asciiTheme="majorBidi" w:hAnsiTheme="majorBidi" w:cstheme="majorBidi"/>
          <w:sz w:val="24"/>
          <w:szCs w:val="24"/>
        </w:rPr>
        <w:t xml:space="preserve">  Much of this was openly</w:t>
      </w:r>
      <w:r w:rsidR="00D379B9">
        <w:rPr>
          <w:rFonts w:asciiTheme="majorBidi" w:hAnsiTheme="majorBidi" w:cstheme="majorBidi"/>
          <w:sz w:val="24"/>
          <w:szCs w:val="24"/>
        </w:rPr>
        <w:t xml:space="preserve"> conceded</w:t>
      </w:r>
      <w:r>
        <w:rPr>
          <w:rFonts w:asciiTheme="majorBidi" w:hAnsiTheme="majorBidi" w:cstheme="majorBidi"/>
          <w:sz w:val="24"/>
          <w:szCs w:val="24"/>
        </w:rPr>
        <w:t xml:space="preserve"> by some judges.</w:t>
      </w:r>
      <w:r w:rsidR="000A2232">
        <w:rPr>
          <w:rStyle w:val="FootnoteReference"/>
          <w:rFonts w:asciiTheme="majorBidi" w:hAnsiTheme="majorBidi" w:cstheme="majorBidi"/>
          <w:sz w:val="24"/>
          <w:szCs w:val="24"/>
        </w:rPr>
        <w:footnoteReference w:id="104"/>
      </w:r>
      <w:r>
        <w:rPr>
          <w:rFonts w:asciiTheme="majorBidi" w:hAnsiTheme="majorBidi" w:cstheme="majorBidi"/>
          <w:sz w:val="24"/>
          <w:szCs w:val="24"/>
        </w:rPr>
        <w:t xml:space="preserve"> </w:t>
      </w:r>
      <w:r w:rsidR="003C0022">
        <w:rPr>
          <w:rFonts w:asciiTheme="majorBidi" w:hAnsiTheme="majorBidi" w:cstheme="majorBidi"/>
          <w:sz w:val="24"/>
          <w:szCs w:val="24"/>
        </w:rPr>
        <w:t xml:space="preserve">Thus, utilitarian concerns </w:t>
      </w:r>
      <w:r w:rsidR="00D34FCA">
        <w:rPr>
          <w:rFonts w:asciiTheme="majorBidi" w:hAnsiTheme="majorBidi" w:cstheme="majorBidi"/>
          <w:sz w:val="24"/>
          <w:szCs w:val="24"/>
        </w:rPr>
        <w:t xml:space="preserve">dissuaded </w:t>
      </w:r>
      <w:r w:rsidR="003C0022">
        <w:rPr>
          <w:rFonts w:asciiTheme="majorBidi" w:hAnsiTheme="majorBidi" w:cstheme="majorBidi"/>
          <w:sz w:val="24"/>
          <w:szCs w:val="24"/>
        </w:rPr>
        <w:t>criminal regulation of cadavers up to the twentieth century.</w:t>
      </w:r>
      <w:r>
        <w:rPr>
          <w:rFonts w:asciiTheme="majorBidi" w:hAnsiTheme="majorBidi" w:cstheme="majorBidi"/>
          <w:sz w:val="24"/>
          <w:szCs w:val="24"/>
        </w:rPr>
        <w:t xml:space="preserve"> </w:t>
      </w:r>
    </w:p>
    <w:p w:rsidR="006D2A13" w:rsidRDefault="006D2A13" w:rsidP="006F09FC">
      <w:pPr>
        <w:jc w:val="both"/>
        <w:rPr>
          <w:rFonts w:asciiTheme="majorBidi" w:hAnsiTheme="majorBidi" w:cstheme="majorBidi"/>
          <w:sz w:val="24"/>
          <w:szCs w:val="24"/>
        </w:rPr>
      </w:pPr>
    </w:p>
    <w:p w:rsidR="006D2A13" w:rsidRPr="00D13107" w:rsidRDefault="006D2A13" w:rsidP="00D13107">
      <w:pPr>
        <w:pStyle w:val="ListParagraph"/>
        <w:numPr>
          <w:ilvl w:val="0"/>
          <w:numId w:val="3"/>
        </w:numPr>
        <w:jc w:val="center"/>
        <w:rPr>
          <w:rFonts w:asciiTheme="majorBidi" w:hAnsiTheme="majorBidi" w:cstheme="majorBidi"/>
          <w:bCs/>
          <w:i/>
        </w:rPr>
      </w:pPr>
      <w:r w:rsidRPr="00D13107">
        <w:rPr>
          <w:rFonts w:asciiTheme="majorBidi" w:hAnsiTheme="majorBidi" w:cstheme="majorBidi"/>
          <w:bCs/>
          <w:i/>
        </w:rPr>
        <w:t>Modern Criminal Regulation of Bodily Parts</w:t>
      </w:r>
    </w:p>
    <w:p w:rsidR="00D13107" w:rsidRDefault="00D13107" w:rsidP="00A335A0">
      <w:pPr>
        <w:jc w:val="both"/>
        <w:rPr>
          <w:rFonts w:asciiTheme="majorBidi" w:hAnsiTheme="majorBidi" w:cstheme="majorBidi"/>
          <w:sz w:val="24"/>
          <w:szCs w:val="24"/>
        </w:rPr>
      </w:pPr>
    </w:p>
    <w:p w:rsidR="00A40749" w:rsidRDefault="006D2A13" w:rsidP="00A335A0">
      <w:pPr>
        <w:jc w:val="both"/>
        <w:rPr>
          <w:rFonts w:asciiTheme="majorBidi" w:hAnsiTheme="majorBidi" w:cstheme="majorBidi"/>
          <w:sz w:val="24"/>
          <w:szCs w:val="24"/>
        </w:rPr>
      </w:pPr>
      <w:r>
        <w:rPr>
          <w:rFonts w:asciiTheme="majorBidi" w:hAnsiTheme="majorBidi" w:cstheme="majorBidi"/>
          <w:sz w:val="24"/>
          <w:szCs w:val="24"/>
        </w:rPr>
        <w:t xml:space="preserve">While the modern contexts of interferences with cadavers and bodily parts are no longer defined by body-snatching and burking, the motivations remain largely </w:t>
      </w:r>
      <w:r w:rsidR="00A40749">
        <w:rPr>
          <w:rFonts w:asciiTheme="majorBidi" w:hAnsiTheme="majorBidi" w:cstheme="majorBidi"/>
          <w:sz w:val="24"/>
          <w:szCs w:val="24"/>
        </w:rPr>
        <w:t>medical</w:t>
      </w:r>
      <w:r>
        <w:rPr>
          <w:rFonts w:asciiTheme="majorBidi" w:hAnsiTheme="majorBidi" w:cstheme="majorBidi"/>
          <w:sz w:val="24"/>
          <w:szCs w:val="24"/>
        </w:rPr>
        <w:t xml:space="preserve"> and commercial. The criminal justice system has</w:t>
      </w:r>
      <w:r w:rsidR="004A2AD6">
        <w:rPr>
          <w:rFonts w:asciiTheme="majorBidi" w:hAnsiTheme="majorBidi" w:cstheme="majorBidi"/>
          <w:sz w:val="24"/>
          <w:szCs w:val="24"/>
        </w:rPr>
        <w:t xml:space="preserve"> slowly</w:t>
      </w:r>
      <w:r>
        <w:rPr>
          <w:rFonts w:asciiTheme="majorBidi" w:hAnsiTheme="majorBidi" w:cstheme="majorBidi"/>
          <w:sz w:val="24"/>
          <w:szCs w:val="24"/>
        </w:rPr>
        <w:t xml:space="preserve"> intervened either to protect public</w:t>
      </w:r>
      <w:r w:rsidR="00764AC0">
        <w:rPr>
          <w:rFonts w:asciiTheme="majorBidi" w:hAnsiTheme="majorBidi" w:cstheme="majorBidi"/>
          <w:sz w:val="24"/>
          <w:szCs w:val="24"/>
        </w:rPr>
        <w:t xml:space="preserve"> decency</w:t>
      </w:r>
      <w:r w:rsidR="00A62D85">
        <w:rPr>
          <w:rFonts w:asciiTheme="majorBidi" w:hAnsiTheme="majorBidi" w:cstheme="majorBidi"/>
          <w:sz w:val="24"/>
          <w:szCs w:val="24"/>
        </w:rPr>
        <w:t>, as</w:t>
      </w:r>
      <w:r w:rsidR="00A40749">
        <w:rPr>
          <w:rFonts w:asciiTheme="majorBidi" w:hAnsiTheme="majorBidi" w:cstheme="majorBidi"/>
          <w:sz w:val="24"/>
          <w:szCs w:val="24"/>
        </w:rPr>
        <w:t xml:space="preserve"> </w:t>
      </w:r>
      <w:r w:rsidR="00A62D85">
        <w:rPr>
          <w:rFonts w:asciiTheme="majorBidi" w:hAnsiTheme="majorBidi" w:cstheme="majorBidi"/>
          <w:sz w:val="24"/>
          <w:szCs w:val="24"/>
        </w:rPr>
        <w:t>i</w:t>
      </w:r>
      <w:r w:rsidR="00A40749">
        <w:rPr>
          <w:rFonts w:asciiTheme="majorBidi" w:hAnsiTheme="majorBidi" w:cstheme="majorBidi"/>
          <w:sz w:val="24"/>
          <w:szCs w:val="24"/>
        </w:rPr>
        <w:t xml:space="preserve">n </w:t>
      </w:r>
      <w:r w:rsidR="00A40749" w:rsidRPr="002D64E7">
        <w:rPr>
          <w:rFonts w:asciiTheme="majorBidi" w:hAnsiTheme="majorBidi" w:cstheme="majorBidi"/>
          <w:i/>
          <w:iCs/>
          <w:sz w:val="24"/>
          <w:szCs w:val="24"/>
        </w:rPr>
        <w:t>R v Gibson</w:t>
      </w:r>
      <w:r w:rsidR="00A62D85">
        <w:rPr>
          <w:rFonts w:asciiTheme="majorBidi" w:hAnsiTheme="majorBidi" w:cstheme="majorBidi"/>
          <w:sz w:val="24"/>
          <w:szCs w:val="24"/>
        </w:rPr>
        <w:t>;</w:t>
      </w:r>
      <w:r w:rsidR="00B9124B">
        <w:rPr>
          <w:rStyle w:val="FootnoteReference"/>
          <w:rFonts w:asciiTheme="majorBidi" w:hAnsiTheme="majorBidi" w:cstheme="majorBidi"/>
          <w:sz w:val="24"/>
          <w:szCs w:val="24"/>
        </w:rPr>
        <w:footnoteReference w:id="105"/>
      </w:r>
      <w:r w:rsidR="00A62D85">
        <w:rPr>
          <w:rFonts w:asciiTheme="majorBidi" w:hAnsiTheme="majorBidi" w:cstheme="majorBidi"/>
          <w:sz w:val="24"/>
          <w:szCs w:val="24"/>
        </w:rPr>
        <w:t xml:space="preserve"> or institutional interests, as in</w:t>
      </w:r>
      <w:r w:rsidR="00A40749">
        <w:rPr>
          <w:rFonts w:asciiTheme="majorBidi" w:hAnsiTheme="majorBidi" w:cstheme="majorBidi"/>
          <w:sz w:val="24"/>
          <w:szCs w:val="24"/>
        </w:rPr>
        <w:t xml:space="preserve"> </w:t>
      </w:r>
      <w:r w:rsidR="00A40749" w:rsidRPr="004B5423">
        <w:rPr>
          <w:rFonts w:asciiTheme="majorBidi" w:hAnsiTheme="majorBidi" w:cstheme="majorBidi"/>
          <w:i/>
          <w:iCs/>
          <w:sz w:val="24"/>
          <w:szCs w:val="24"/>
        </w:rPr>
        <w:t>R v Kelly</w:t>
      </w:r>
      <w:r w:rsidR="00A62D85">
        <w:rPr>
          <w:rFonts w:asciiTheme="majorBidi" w:hAnsiTheme="majorBidi" w:cstheme="majorBidi"/>
          <w:i/>
          <w:iCs/>
          <w:sz w:val="24"/>
          <w:szCs w:val="24"/>
        </w:rPr>
        <w:t>.</w:t>
      </w:r>
      <w:r w:rsidR="00BE289D">
        <w:rPr>
          <w:rStyle w:val="FootnoteReference"/>
          <w:rFonts w:asciiTheme="majorBidi" w:hAnsiTheme="majorBidi" w:cstheme="majorBidi"/>
          <w:sz w:val="24"/>
          <w:szCs w:val="24"/>
        </w:rPr>
        <w:footnoteReference w:id="106"/>
      </w:r>
      <w:r w:rsidR="00A40749">
        <w:rPr>
          <w:rFonts w:asciiTheme="majorBidi" w:hAnsiTheme="majorBidi" w:cstheme="majorBidi"/>
          <w:sz w:val="24"/>
          <w:szCs w:val="24"/>
        </w:rPr>
        <w:t xml:space="preserve"> </w:t>
      </w:r>
    </w:p>
    <w:p w:rsidR="006626B2" w:rsidRDefault="005E6E54" w:rsidP="00255307">
      <w:pPr>
        <w:ind w:firstLine="720"/>
        <w:jc w:val="both"/>
        <w:rPr>
          <w:rFonts w:asciiTheme="majorBidi" w:hAnsiTheme="majorBidi" w:cstheme="majorBidi"/>
          <w:sz w:val="24"/>
          <w:szCs w:val="24"/>
        </w:rPr>
      </w:pPr>
      <w:r>
        <w:rPr>
          <w:rFonts w:asciiTheme="majorBidi" w:hAnsiTheme="majorBidi" w:cstheme="majorBidi"/>
          <w:sz w:val="24"/>
          <w:szCs w:val="24"/>
        </w:rPr>
        <w:t>The challenges in</w:t>
      </w:r>
      <w:r w:rsidR="00D20050">
        <w:rPr>
          <w:rFonts w:asciiTheme="majorBidi" w:hAnsiTheme="majorBidi" w:cstheme="majorBidi"/>
          <w:sz w:val="24"/>
          <w:szCs w:val="24"/>
        </w:rPr>
        <w:t>volved in</w:t>
      </w:r>
      <w:r w:rsidR="006331A5">
        <w:rPr>
          <w:rFonts w:asciiTheme="majorBidi" w:hAnsiTheme="majorBidi" w:cstheme="majorBidi"/>
          <w:sz w:val="24"/>
          <w:szCs w:val="24"/>
        </w:rPr>
        <w:t xml:space="preserve"> regulating bodily parts through the</w:t>
      </w:r>
      <w:r>
        <w:rPr>
          <w:rFonts w:asciiTheme="majorBidi" w:hAnsiTheme="majorBidi" w:cstheme="majorBidi"/>
          <w:sz w:val="24"/>
          <w:szCs w:val="24"/>
        </w:rPr>
        <w:t xml:space="preserve"> criminal</w:t>
      </w:r>
      <w:r w:rsidR="006331A5">
        <w:rPr>
          <w:rFonts w:asciiTheme="majorBidi" w:hAnsiTheme="majorBidi" w:cstheme="majorBidi"/>
          <w:sz w:val="24"/>
          <w:szCs w:val="24"/>
        </w:rPr>
        <w:t xml:space="preserve"> law</w:t>
      </w:r>
      <w:r>
        <w:rPr>
          <w:rFonts w:asciiTheme="majorBidi" w:hAnsiTheme="majorBidi" w:cstheme="majorBidi"/>
          <w:sz w:val="24"/>
          <w:szCs w:val="24"/>
        </w:rPr>
        <w:t xml:space="preserve"> have been brought into bold relief by the recent unsuccessful prosecution of the transplant surgeon (Mr Aiman O) involved in the German organ scandal.</w:t>
      </w:r>
      <w:r w:rsidR="00D20050">
        <w:rPr>
          <w:rStyle w:val="FootnoteReference"/>
          <w:rFonts w:asciiTheme="majorBidi" w:hAnsiTheme="majorBidi" w:cstheme="majorBidi"/>
          <w:sz w:val="24"/>
          <w:szCs w:val="24"/>
        </w:rPr>
        <w:footnoteReference w:id="107"/>
      </w:r>
      <w:r>
        <w:rPr>
          <w:rFonts w:asciiTheme="majorBidi" w:hAnsiTheme="majorBidi" w:cstheme="majorBidi"/>
          <w:sz w:val="24"/>
          <w:szCs w:val="24"/>
        </w:rPr>
        <w:t xml:space="preserve"> </w:t>
      </w:r>
      <w:r w:rsidR="00D20050">
        <w:rPr>
          <w:rFonts w:asciiTheme="majorBidi" w:hAnsiTheme="majorBidi" w:cstheme="majorBidi"/>
          <w:sz w:val="24"/>
          <w:szCs w:val="24"/>
        </w:rPr>
        <w:t>Allegedly, M</w:t>
      </w:r>
      <w:r w:rsidR="00A40749">
        <w:rPr>
          <w:rFonts w:asciiTheme="majorBidi" w:hAnsiTheme="majorBidi" w:cstheme="majorBidi"/>
          <w:sz w:val="24"/>
          <w:szCs w:val="24"/>
        </w:rPr>
        <w:t>r Aiman falsified his patients’ medical records and test results in order to make</w:t>
      </w:r>
      <w:r w:rsidR="00D20050">
        <w:rPr>
          <w:rFonts w:asciiTheme="majorBidi" w:hAnsiTheme="majorBidi" w:cstheme="majorBidi"/>
          <w:sz w:val="24"/>
          <w:szCs w:val="24"/>
        </w:rPr>
        <w:t xml:space="preserve"> them look sicker and in</w:t>
      </w:r>
      <w:r w:rsidR="005E202E">
        <w:rPr>
          <w:rFonts w:asciiTheme="majorBidi" w:hAnsiTheme="majorBidi" w:cstheme="majorBidi"/>
          <w:sz w:val="24"/>
          <w:szCs w:val="24"/>
        </w:rPr>
        <w:t xml:space="preserve"> (more)</w:t>
      </w:r>
      <w:r w:rsidR="00D20050">
        <w:rPr>
          <w:rFonts w:asciiTheme="majorBidi" w:hAnsiTheme="majorBidi" w:cstheme="majorBidi"/>
          <w:sz w:val="24"/>
          <w:szCs w:val="24"/>
        </w:rPr>
        <w:t xml:space="preserve"> urgent need of a transplant</w:t>
      </w:r>
      <w:r w:rsidR="00A40749">
        <w:rPr>
          <w:rFonts w:asciiTheme="majorBidi" w:hAnsiTheme="majorBidi" w:cstheme="majorBidi"/>
          <w:sz w:val="24"/>
          <w:szCs w:val="24"/>
        </w:rPr>
        <w:t>.</w:t>
      </w:r>
      <w:r w:rsidR="00D20050">
        <w:rPr>
          <w:rFonts w:asciiTheme="majorBidi" w:hAnsiTheme="majorBidi" w:cstheme="majorBidi"/>
          <w:sz w:val="24"/>
          <w:szCs w:val="24"/>
        </w:rPr>
        <w:t xml:space="preserve"> Thus, Mr</w:t>
      </w:r>
      <w:r w:rsidR="00A40749">
        <w:rPr>
          <w:rFonts w:asciiTheme="majorBidi" w:hAnsiTheme="majorBidi" w:cstheme="majorBidi"/>
          <w:sz w:val="24"/>
          <w:szCs w:val="24"/>
        </w:rPr>
        <w:t xml:space="preserve"> Aiman’s patients were prioritized</w:t>
      </w:r>
      <w:r w:rsidR="00D20050">
        <w:rPr>
          <w:rFonts w:asciiTheme="majorBidi" w:hAnsiTheme="majorBidi" w:cstheme="majorBidi"/>
          <w:sz w:val="24"/>
          <w:szCs w:val="24"/>
        </w:rPr>
        <w:t xml:space="preserve"> over more deserving </w:t>
      </w:r>
      <w:r w:rsidR="001A14A6">
        <w:rPr>
          <w:rFonts w:asciiTheme="majorBidi" w:hAnsiTheme="majorBidi" w:cstheme="majorBidi"/>
          <w:sz w:val="24"/>
          <w:szCs w:val="24"/>
        </w:rPr>
        <w:t>(</w:t>
      </w:r>
      <w:r w:rsidR="00D20050">
        <w:rPr>
          <w:rFonts w:asciiTheme="majorBidi" w:hAnsiTheme="majorBidi" w:cstheme="majorBidi"/>
          <w:sz w:val="24"/>
          <w:szCs w:val="24"/>
        </w:rPr>
        <w:t>eleven</w:t>
      </w:r>
      <w:r w:rsidR="001A14A6">
        <w:rPr>
          <w:rFonts w:asciiTheme="majorBidi" w:hAnsiTheme="majorBidi" w:cstheme="majorBidi"/>
          <w:sz w:val="24"/>
          <w:szCs w:val="24"/>
        </w:rPr>
        <w:t>)</w:t>
      </w:r>
      <w:r w:rsidR="00D20050">
        <w:rPr>
          <w:rFonts w:asciiTheme="majorBidi" w:hAnsiTheme="majorBidi" w:cstheme="majorBidi"/>
          <w:sz w:val="24"/>
          <w:szCs w:val="24"/>
        </w:rPr>
        <w:t xml:space="preserve"> patients on the transplant</w:t>
      </w:r>
      <w:r w:rsidR="00A40749">
        <w:rPr>
          <w:rFonts w:asciiTheme="majorBidi" w:hAnsiTheme="majorBidi" w:cstheme="majorBidi"/>
          <w:sz w:val="24"/>
          <w:szCs w:val="24"/>
        </w:rPr>
        <w:t xml:space="preserve"> waiting list</w:t>
      </w:r>
      <w:r w:rsidR="001A14A6">
        <w:rPr>
          <w:rFonts w:asciiTheme="majorBidi" w:hAnsiTheme="majorBidi" w:cstheme="majorBidi"/>
          <w:sz w:val="24"/>
          <w:szCs w:val="24"/>
        </w:rPr>
        <w:t>. He</w:t>
      </w:r>
      <w:r w:rsidR="00A40749">
        <w:rPr>
          <w:rFonts w:asciiTheme="majorBidi" w:hAnsiTheme="majorBidi" w:cstheme="majorBidi"/>
          <w:sz w:val="24"/>
          <w:szCs w:val="24"/>
        </w:rPr>
        <w:t xml:space="preserve"> was charged with eleven counts of attempted manslaughter and three counts of causing grievous bodily harm resulting to death</w:t>
      </w:r>
      <w:r w:rsidR="001A14A6">
        <w:rPr>
          <w:rFonts w:asciiTheme="majorBidi" w:hAnsiTheme="majorBidi" w:cstheme="majorBidi"/>
          <w:sz w:val="24"/>
          <w:szCs w:val="24"/>
        </w:rPr>
        <w:t>; the latter charge was on account of the</w:t>
      </w:r>
      <w:r w:rsidR="00A40749">
        <w:rPr>
          <w:rFonts w:asciiTheme="majorBidi" w:hAnsiTheme="majorBidi" w:cstheme="majorBidi"/>
          <w:sz w:val="24"/>
          <w:szCs w:val="24"/>
        </w:rPr>
        <w:t xml:space="preserve"> three medically unnecessary l</w:t>
      </w:r>
      <w:r w:rsidR="00005993">
        <w:rPr>
          <w:rFonts w:asciiTheme="majorBidi" w:hAnsiTheme="majorBidi" w:cstheme="majorBidi"/>
          <w:sz w:val="24"/>
          <w:szCs w:val="24"/>
        </w:rPr>
        <w:t>i</w:t>
      </w:r>
      <w:r w:rsidR="00A40749">
        <w:rPr>
          <w:rFonts w:asciiTheme="majorBidi" w:hAnsiTheme="majorBidi" w:cstheme="majorBidi"/>
          <w:sz w:val="24"/>
          <w:szCs w:val="24"/>
        </w:rPr>
        <w:t>ver transplants</w:t>
      </w:r>
      <w:r w:rsidR="001A14A6">
        <w:rPr>
          <w:rFonts w:asciiTheme="majorBidi" w:hAnsiTheme="majorBidi" w:cstheme="majorBidi"/>
          <w:sz w:val="24"/>
          <w:szCs w:val="24"/>
        </w:rPr>
        <w:t xml:space="preserve"> that he had performed</w:t>
      </w:r>
      <w:r w:rsidR="00A40749">
        <w:rPr>
          <w:rFonts w:asciiTheme="majorBidi" w:hAnsiTheme="majorBidi" w:cstheme="majorBidi"/>
          <w:sz w:val="24"/>
          <w:szCs w:val="24"/>
        </w:rPr>
        <w:t xml:space="preserve">. </w:t>
      </w:r>
      <w:r w:rsidR="001A14A6">
        <w:rPr>
          <w:rFonts w:asciiTheme="majorBidi" w:hAnsiTheme="majorBidi" w:cstheme="majorBidi"/>
          <w:sz w:val="24"/>
          <w:szCs w:val="24"/>
        </w:rPr>
        <w:t>Senior Ju</w:t>
      </w:r>
      <w:r w:rsidR="00A40749">
        <w:rPr>
          <w:rFonts w:asciiTheme="majorBidi" w:hAnsiTheme="majorBidi" w:cstheme="majorBidi"/>
          <w:sz w:val="24"/>
          <w:szCs w:val="24"/>
        </w:rPr>
        <w:t xml:space="preserve">dge Ralf Günther acquitted </w:t>
      </w:r>
      <w:r w:rsidR="001A14A6">
        <w:rPr>
          <w:rFonts w:asciiTheme="majorBidi" w:hAnsiTheme="majorBidi" w:cstheme="majorBidi"/>
          <w:sz w:val="24"/>
          <w:szCs w:val="24"/>
        </w:rPr>
        <w:t>M</w:t>
      </w:r>
      <w:r w:rsidR="00A40749">
        <w:rPr>
          <w:rFonts w:asciiTheme="majorBidi" w:hAnsiTheme="majorBidi" w:cstheme="majorBidi"/>
          <w:sz w:val="24"/>
          <w:szCs w:val="24"/>
        </w:rPr>
        <w:t xml:space="preserve">r Aiman of </w:t>
      </w:r>
      <w:r w:rsidR="001A14A6">
        <w:rPr>
          <w:rFonts w:asciiTheme="majorBidi" w:hAnsiTheme="majorBidi" w:cstheme="majorBidi"/>
          <w:sz w:val="24"/>
          <w:szCs w:val="24"/>
        </w:rPr>
        <w:t>all</w:t>
      </w:r>
      <w:r w:rsidR="00A40749">
        <w:rPr>
          <w:rFonts w:asciiTheme="majorBidi" w:hAnsiTheme="majorBidi" w:cstheme="majorBidi"/>
          <w:sz w:val="24"/>
          <w:szCs w:val="24"/>
        </w:rPr>
        <w:t xml:space="preserve"> charges</w:t>
      </w:r>
      <w:r w:rsidR="005E202E">
        <w:rPr>
          <w:rFonts w:asciiTheme="majorBidi" w:hAnsiTheme="majorBidi" w:cstheme="majorBidi"/>
          <w:sz w:val="24"/>
          <w:szCs w:val="24"/>
        </w:rPr>
        <w:t>, but</w:t>
      </w:r>
      <w:r w:rsidR="00A40749">
        <w:rPr>
          <w:rFonts w:asciiTheme="majorBidi" w:hAnsiTheme="majorBidi" w:cstheme="majorBidi"/>
          <w:sz w:val="24"/>
          <w:szCs w:val="24"/>
        </w:rPr>
        <w:t xml:space="preserve"> the case has now gone on appeal.</w:t>
      </w:r>
      <w:r w:rsidR="00A40749">
        <w:rPr>
          <w:rStyle w:val="FootnoteReference"/>
          <w:rFonts w:asciiTheme="majorBidi" w:hAnsiTheme="majorBidi" w:cstheme="majorBidi"/>
          <w:sz w:val="24"/>
          <w:szCs w:val="24"/>
        </w:rPr>
        <w:footnoteReference w:id="108"/>
      </w:r>
      <w:r w:rsidR="00A40749">
        <w:rPr>
          <w:rFonts w:asciiTheme="majorBidi" w:hAnsiTheme="majorBidi" w:cstheme="majorBidi"/>
          <w:sz w:val="24"/>
          <w:szCs w:val="24"/>
        </w:rPr>
        <w:t xml:space="preserve"> </w:t>
      </w:r>
      <w:r w:rsidR="001A14A6">
        <w:rPr>
          <w:rFonts w:asciiTheme="majorBidi" w:hAnsiTheme="majorBidi" w:cstheme="majorBidi"/>
          <w:sz w:val="24"/>
          <w:szCs w:val="24"/>
        </w:rPr>
        <w:t xml:space="preserve">Neither </w:t>
      </w:r>
      <w:r w:rsidR="00A40749">
        <w:rPr>
          <w:rFonts w:asciiTheme="majorBidi" w:hAnsiTheme="majorBidi" w:cstheme="majorBidi"/>
          <w:sz w:val="24"/>
          <w:szCs w:val="24"/>
        </w:rPr>
        <w:t xml:space="preserve">Judge Günther’s decision </w:t>
      </w:r>
      <w:r w:rsidR="001A14A6">
        <w:rPr>
          <w:rFonts w:asciiTheme="majorBidi" w:hAnsiTheme="majorBidi" w:cstheme="majorBidi"/>
          <w:sz w:val="24"/>
          <w:szCs w:val="24"/>
        </w:rPr>
        <w:t>nor a</w:t>
      </w:r>
      <w:r w:rsidR="00A40749">
        <w:rPr>
          <w:rFonts w:asciiTheme="majorBidi" w:hAnsiTheme="majorBidi" w:cstheme="majorBidi"/>
          <w:sz w:val="24"/>
          <w:szCs w:val="24"/>
        </w:rPr>
        <w:t xml:space="preserve"> transcript</w:t>
      </w:r>
      <w:r w:rsidR="001A14A6">
        <w:rPr>
          <w:rFonts w:asciiTheme="majorBidi" w:hAnsiTheme="majorBidi" w:cstheme="majorBidi"/>
          <w:sz w:val="24"/>
          <w:szCs w:val="24"/>
        </w:rPr>
        <w:t xml:space="preserve"> of the judgement</w:t>
      </w:r>
      <w:r w:rsidR="005E202E">
        <w:rPr>
          <w:rFonts w:asciiTheme="majorBidi" w:hAnsiTheme="majorBidi" w:cstheme="majorBidi"/>
          <w:sz w:val="24"/>
          <w:szCs w:val="24"/>
        </w:rPr>
        <w:t xml:space="preserve"> has been</w:t>
      </w:r>
      <w:r w:rsidR="001A14A6">
        <w:rPr>
          <w:rFonts w:asciiTheme="majorBidi" w:hAnsiTheme="majorBidi" w:cstheme="majorBidi"/>
          <w:sz w:val="24"/>
          <w:szCs w:val="24"/>
        </w:rPr>
        <w:t xml:space="preserve"> published; however,</w:t>
      </w:r>
      <w:r w:rsidR="00A40749">
        <w:rPr>
          <w:rFonts w:asciiTheme="majorBidi" w:hAnsiTheme="majorBidi" w:cstheme="majorBidi"/>
          <w:sz w:val="24"/>
          <w:szCs w:val="24"/>
        </w:rPr>
        <w:t xml:space="preserve"> a media </w:t>
      </w:r>
      <w:r w:rsidR="005E202E">
        <w:rPr>
          <w:rFonts w:asciiTheme="majorBidi" w:hAnsiTheme="majorBidi" w:cstheme="majorBidi"/>
          <w:sz w:val="24"/>
          <w:szCs w:val="24"/>
        </w:rPr>
        <w:t>report of the case</w:t>
      </w:r>
      <w:r w:rsidR="00A40749">
        <w:rPr>
          <w:rFonts w:asciiTheme="majorBidi" w:hAnsiTheme="majorBidi" w:cstheme="majorBidi"/>
          <w:sz w:val="24"/>
          <w:szCs w:val="24"/>
        </w:rPr>
        <w:t xml:space="preserve"> quoted the judge as </w:t>
      </w:r>
      <w:r w:rsidR="001A14A6">
        <w:rPr>
          <w:rFonts w:asciiTheme="majorBidi" w:hAnsiTheme="majorBidi" w:cstheme="majorBidi"/>
          <w:sz w:val="24"/>
          <w:szCs w:val="24"/>
        </w:rPr>
        <w:t>hold</w:t>
      </w:r>
      <w:r w:rsidR="00A40749">
        <w:rPr>
          <w:rFonts w:asciiTheme="majorBidi" w:hAnsiTheme="majorBidi" w:cstheme="majorBidi"/>
          <w:sz w:val="24"/>
          <w:szCs w:val="24"/>
        </w:rPr>
        <w:t>ing that although ‘the doctor had breached the medical code of ethics…this was not an action which was punishable by law’.</w:t>
      </w:r>
      <w:r w:rsidR="00A40749">
        <w:rPr>
          <w:rStyle w:val="FootnoteReference"/>
          <w:rFonts w:asciiTheme="majorBidi" w:hAnsiTheme="majorBidi" w:cstheme="majorBidi"/>
          <w:sz w:val="24"/>
          <w:szCs w:val="24"/>
        </w:rPr>
        <w:footnoteReference w:id="109"/>
      </w:r>
      <w:r w:rsidR="00A40749">
        <w:rPr>
          <w:rFonts w:asciiTheme="majorBidi" w:hAnsiTheme="majorBidi" w:cstheme="majorBidi"/>
          <w:sz w:val="24"/>
          <w:szCs w:val="24"/>
        </w:rPr>
        <w:t xml:space="preserve"> A</w:t>
      </w:r>
      <w:r w:rsidR="009C6181">
        <w:rPr>
          <w:rFonts w:asciiTheme="majorBidi" w:hAnsiTheme="majorBidi" w:cstheme="majorBidi"/>
          <w:sz w:val="24"/>
          <w:szCs w:val="24"/>
        </w:rPr>
        <w:t>rguably, the German</w:t>
      </w:r>
      <w:r w:rsidR="00A40749">
        <w:rPr>
          <w:rFonts w:asciiTheme="majorBidi" w:hAnsiTheme="majorBidi" w:cstheme="majorBidi"/>
          <w:sz w:val="24"/>
          <w:szCs w:val="24"/>
        </w:rPr>
        <w:t xml:space="preserve"> decision</w:t>
      </w:r>
      <w:r w:rsidR="009C6181">
        <w:rPr>
          <w:rFonts w:asciiTheme="majorBidi" w:hAnsiTheme="majorBidi" w:cstheme="majorBidi"/>
          <w:sz w:val="24"/>
          <w:szCs w:val="24"/>
        </w:rPr>
        <w:t xml:space="preserve"> signposts the impropriety of criminal justice intervention over dealings involving bodily pa</w:t>
      </w:r>
      <w:r w:rsidR="00D914D6">
        <w:rPr>
          <w:rFonts w:asciiTheme="majorBidi" w:hAnsiTheme="majorBidi" w:cstheme="majorBidi"/>
          <w:sz w:val="24"/>
          <w:szCs w:val="24"/>
        </w:rPr>
        <w:t xml:space="preserve">rts. </w:t>
      </w:r>
    </w:p>
    <w:p w:rsidR="0023349B" w:rsidRDefault="00D914D6" w:rsidP="00255307">
      <w:pPr>
        <w:ind w:firstLine="720"/>
        <w:jc w:val="both"/>
        <w:rPr>
          <w:rFonts w:asciiTheme="majorBidi" w:hAnsiTheme="majorBidi" w:cstheme="majorBidi"/>
          <w:sz w:val="24"/>
          <w:szCs w:val="24"/>
        </w:rPr>
      </w:pPr>
      <w:r>
        <w:rPr>
          <w:rFonts w:asciiTheme="majorBidi" w:hAnsiTheme="majorBidi" w:cstheme="majorBidi"/>
          <w:sz w:val="24"/>
          <w:szCs w:val="24"/>
        </w:rPr>
        <w:t>It does not seem that a similar</w:t>
      </w:r>
      <w:r w:rsidR="00A40749">
        <w:rPr>
          <w:rFonts w:asciiTheme="majorBidi" w:hAnsiTheme="majorBidi" w:cstheme="majorBidi"/>
          <w:sz w:val="24"/>
          <w:szCs w:val="24"/>
        </w:rPr>
        <w:t xml:space="preserve"> prosecution in England and Wales</w:t>
      </w:r>
      <w:r>
        <w:rPr>
          <w:rFonts w:asciiTheme="majorBidi" w:hAnsiTheme="majorBidi" w:cstheme="majorBidi"/>
          <w:sz w:val="24"/>
          <w:szCs w:val="24"/>
        </w:rPr>
        <w:t xml:space="preserve"> would have produced a</w:t>
      </w:r>
      <w:r w:rsidR="005E202E">
        <w:rPr>
          <w:rFonts w:asciiTheme="majorBidi" w:hAnsiTheme="majorBidi" w:cstheme="majorBidi"/>
          <w:sz w:val="24"/>
          <w:szCs w:val="24"/>
        </w:rPr>
        <w:t xml:space="preserve"> significantly</w:t>
      </w:r>
      <w:r>
        <w:rPr>
          <w:rFonts w:asciiTheme="majorBidi" w:hAnsiTheme="majorBidi" w:cstheme="majorBidi"/>
          <w:sz w:val="24"/>
          <w:szCs w:val="24"/>
        </w:rPr>
        <w:t xml:space="preserve"> different outcome.</w:t>
      </w:r>
      <w:r w:rsidR="00A40749">
        <w:rPr>
          <w:rFonts w:asciiTheme="majorBidi" w:hAnsiTheme="majorBidi" w:cstheme="majorBidi"/>
          <w:sz w:val="24"/>
          <w:szCs w:val="24"/>
        </w:rPr>
        <w:t xml:space="preserve"> </w:t>
      </w:r>
      <w:r>
        <w:rPr>
          <w:rFonts w:asciiTheme="majorBidi" w:hAnsiTheme="majorBidi" w:cstheme="majorBidi"/>
          <w:sz w:val="24"/>
          <w:szCs w:val="24"/>
        </w:rPr>
        <w:t>Consider</w:t>
      </w:r>
      <w:r w:rsidR="00A40749">
        <w:rPr>
          <w:rFonts w:asciiTheme="majorBidi" w:hAnsiTheme="majorBidi" w:cstheme="majorBidi"/>
          <w:sz w:val="24"/>
          <w:szCs w:val="24"/>
        </w:rPr>
        <w:t>, for instance, the</w:t>
      </w:r>
      <w:r>
        <w:rPr>
          <w:rFonts w:asciiTheme="majorBidi" w:hAnsiTheme="majorBidi" w:cstheme="majorBidi"/>
          <w:sz w:val="24"/>
          <w:szCs w:val="24"/>
        </w:rPr>
        <w:t xml:space="preserve"> elements of a charge for</w:t>
      </w:r>
      <w:r w:rsidR="00A40749">
        <w:rPr>
          <w:rFonts w:asciiTheme="majorBidi" w:hAnsiTheme="majorBidi" w:cstheme="majorBidi"/>
          <w:sz w:val="24"/>
          <w:szCs w:val="24"/>
        </w:rPr>
        <w:t xml:space="preserve"> attempted involuntary manslaughter</w:t>
      </w:r>
      <w:r>
        <w:rPr>
          <w:rFonts w:asciiTheme="majorBidi" w:hAnsiTheme="majorBidi" w:cstheme="majorBidi"/>
          <w:sz w:val="24"/>
          <w:szCs w:val="24"/>
        </w:rPr>
        <w:t xml:space="preserve"> in this country</w:t>
      </w:r>
      <w:r w:rsidR="00A40749">
        <w:rPr>
          <w:rFonts w:asciiTheme="majorBidi" w:hAnsiTheme="majorBidi" w:cstheme="majorBidi"/>
          <w:sz w:val="24"/>
          <w:szCs w:val="24"/>
        </w:rPr>
        <w:t xml:space="preserve">. It is not clear that </w:t>
      </w:r>
      <w:r>
        <w:rPr>
          <w:rFonts w:asciiTheme="majorBidi" w:hAnsiTheme="majorBidi" w:cstheme="majorBidi"/>
          <w:sz w:val="24"/>
          <w:szCs w:val="24"/>
        </w:rPr>
        <w:t>an unlawful</w:t>
      </w:r>
      <w:r w:rsidR="00A40749">
        <w:rPr>
          <w:rFonts w:asciiTheme="majorBidi" w:hAnsiTheme="majorBidi" w:cstheme="majorBidi"/>
          <w:sz w:val="24"/>
          <w:szCs w:val="24"/>
        </w:rPr>
        <w:t xml:space="preserve"> manipulation of </w:t>
      </w:r>
      <w:r>
        <w:rPr>
          <w:rFonts w:asciiTheme="majorBidi" w:hAnsiTheme="majorBidi" w:cstheme="majorBidi"/>
          <w:sz w:val="24"/>
          <w:szCs w:val="24"/>
        </w:rPr>
        <w:t>organ</w:t>
      </w:r>
      <w:r w:rsidR="00A40749">
        <w:rPr>
          <w:rFonts w:asciiTheme="majorBidi" w:hAnsiTheme="majorBidi" w:cstheme="majorBidi"/>
          <w:sz w:val="24"/>
          <w:szCs w:val="24"/>
        </w:rPr>
        <w:t xml:space="preserve"> waiting list (</w:t>
      </w:r>
      <w:r w:rsidR="00A40749" w:rsidRPr="00B91119">
        <w:rPr>
          <w:rFonts w:asciiTheme="majorBidi" w:hAnsiTheme="majorBidi" w:cstheme="majorBidi"/>
          <w:i/>
          <w:iCs/>
          <w:sz w:val="24"/>
          <w:szCs w:val="24"/>
        </w:rPr>
        <w:t>actus reus</w:t>
      </w:r>
      <w:r w:rsidR="00A40749">
        <w:rPr>
          <w:rFonts w:asciiTheme="majorBidi" w:hAnsiTheme="majorBidi" w:cstheme="majorBidi"/>
          <w:sz w:val="24"/>
          <w:szCs w:val="24"/>
        </w:rPr>
        <w:t>)</w:t>
      </w:r>
      <w:r w:rsidR="00AD65EA">
        <w:rPr>
          <w:rFonts w:asciiTheme="majorBidi" w:hAnsiTheme="majorBidi" w:cstheme="majorBidi"/>
          <w:sz w:val="24"/>
          <w:szCs w:val="24"/>
        </w:rPr>
        <w:t xml:space="preserve"> would constitute an</w:t>
      </w:r>
      <w:r w:rsidR="00A40749">
        <w:rPr>
          <w:rFonts w:asciiTheme="majorBidi" w:hAnsiTheme="majorBidi" w:cstheme="majorBidi"/>
          <w:sz w:val="24"/>
          <w:szCs w:val="24"/>
        </w:rPr>
        <w:t xml:space="preserve"> act </w:t>
      </w:r>
      <w:r w:rsidR="00A40749" w:rsidRPr="00E467F6">
        <w:rPr>
          <w:rFonts w:asciiTheme="majorBidi" w:hAnsiTheme="majorBidi" w:cstheme="majorBidi"/>
          <w:i/>
          <w:iCs/>
          <w:sz w:val="24"/>
          <w:szCs w:val="24"/>
        </w:rPr>
        <w:t>sufficiently proximate</w:t>
      </w:r>
      <w:r w:rsidR="00A40749">
        <w:rPr>
          <w:rFonts w:asciiTheme="majorBidi" w:hAnsiTheme="majorBidi" w:cstheme="majorBidi"/>
          <w:sz w:val="24"/>
          <w:szCs w:val="24"/>
        </w:rPr>
        <w:t xml:space="preserve"> to the involuntary manslaughter of patients bypassed</w:t>
      </w:r>
      <w:r w:rsidR="00531583">
        <w:rPr>
          <w:rFonts w:asciiTheme="majorBidi" w:hAnsiTheme="majorBidi" w:cstheme="majorBidi"/>
          <w:sz w:val="24"/>
          <w:szCs w:val="24"/>
        </w:rPr>
        <w:t xml:space="preserve"> by</w:t>
      </w:r>
      <w:r w:rsidR="00AD65EA">
        <w:rPr>
          <w:rFonts w:asciiTheme="majorBidi" w:hAnsiTheme="majorBidi" w:cstheme="majorBidi"/>
          <w:sz w:val="24"/>
          <w:szCs w:val="24"/>
        </w:rPr>
        <w:t xml:space="preserve"> a transplant surgeon</w:t>
      </w:r>
      <w:r w:rsidR="00A40749">
        <w:rPr>
          <w:rFonts w:asciiTheme="majorBidi" w:hAnsiTheme="majorBidi" w:cstheme="majorBidi"/>
          <w:sz w:val="24"/>
          <w:szCs w:val="24"/>
        </w:rPr>
        <w:t>.</w:t>
      </w:r>
      <w:r w:rsidR="00A40749">
        <w:rPr>
          <w:rStyle w:val="FootnoteReference"/>
          <w:rFonts w:asciiTheme="majorBidi" w:hAnsiTheme="majorBidi" w:cstheme="majorBidi"/>
          <w:sz w:val="24"/>
          <w:szCs w:val="24"/>
        </w:rPr>
        <w:footnoteReference w:id="110"/>
      </w:r>
      <w:r w:rsidR="00AD65EA">
        <w:rPr>
          <w:rFonts w:asciiTheme="majorBidi" w:hAnsiTheme="majorBidi" w:cstheme="majorBidi"/>
          <w:sz w:val="24"/>
          <w:szCs w:val="24"/>
        </w:rPr>
        <w:t xml:space="preserve"> In part, this is because</w:t>
      </w:r>
      <w:r w:rsidR="00A40749">
        <w:rPr>
          <w:rFonts w:asciiTheme="majorBidi" w:hAnsiTheme="majorBidi" w:cstheme="majorBidi"/>
          <w:sz w:val="24"/>
          <w:szCs w:val="24"/>
        </w:rPr>
        <w:t xml:space="preserve"> having priority on the waiting list</w:t>
      </w:r>
      <w:r w:rsidR="00AD65EA">
        <w:rPr>
          <w:rFonts w:asciiTheme="majorBidi" w:hAnsiTheme="majorBidi" w:cstheme="majorBidi"/>
          <w:sz w:val="24"/>
          <w:szCs w:val="24"/>
        </w:rPr>
        <w:t xml:space="preserve"> does </w:t>
      </w:r>
      <w:r w:rsidR="00A40749">
        <w:rPr>
          <w:rFonts w:asciiTheme="majorBidi" w:hAnsiTheme="majorBidi" w:cstheme="majorBidi"/>
          <w:sz w:val="24"/>
          <w:szCs w:val="24"/>
        </w:rPr>
        <w:t>no</w:t>
      </w:r>
      <w:r w:rsidR="00AD65EA">
        <w:rPr>
          <w:rFonts w:asciiTheme="majorBidi" w:hAnsiTheme="majorBidi" w:cstheme="majorBidi"/>
          <w:sz w:val="24"/>
          <w:szCs w:val="24"/>
        </w:rPr>
        <w:t>t</w:t>
      </w:r>
      <w:r w:rsidR="00A40749">
        <w:rPr>
          <w:rFonts w:asciiTheme="majorBidi" w:hAnsiTheme="majorBidi" w:cstheme="majorBidi"/>
          <w:sz w:val="24"/>
          <w:szCs w:val="24"/>
        </w:rPr>
        <w:t xml:space="preserve"> guarantee that the person would definitely receive the next available organs</w:t>
      </w:r>
      <w:r w:rsidR="00AD65EA">
        <w:rPr>
          <w:rFonts w:asciiTheme="majorBidi" w:hAnsiTheme="majorBidi" w:cstheme="majorBidi"/>
          <w:sz w:val="24"/>
          <w:szCs w:val="24"/>
        </w:rPr>
        <w:t>; allocation depends on</w:t>
      </w:r>
      <w:r w:rsidR="002B3929">
        <w:rPr>
          <w:rFonts w:asciiTheme="majorBidi" w:hAnsiTheme="majorBidi" w:cstheme="majorBidi"/>
          <w:sz w:val="24"/>
          <w:szCs w:val="24"/>
        </w:rPr>
        <w:t xml:space="preserve"> a host of</w:t>
      </w:r>
      <w:r w:rsidR="00AD65EA">
        <w:rPr>
          <w:rFonts w:asciiTheme="majorBidi" w:hAnsiTheme="majorBidi" w:cstheme="majorBidi"/>
          <w:sz w:val="24"/>
          <w:szCs w:val="24"/>
        </w:rPr>
        <w:t xml:space="preserve"> factors, such as favourable</w:t>
      </w:r>
      <w:r w:rsidR="00A40749">
        <w:rPr>
          <w:rFonts w:asciiTheme="majorBidi" w:hAnsiTheme="majorBidi" w:cstheme="majorBidi"/>
          <w:sz w:val="24"/>
          <w:szCs w:val="24"/>
        </w:rPr>
        <w:t xml:space="preserve"> histocompatibility test results</w:t>
      </w:r>
      <w:r w:rsidR="00AD65EA">
        <w:rPr>
          <w:rFonts w:asciiTheme="majorBidi" w:hAnsiTheme="majorBidi" w:cstheme="majorBidi"/>
          <w:sz w:val="24"/>
          <w:szCs w:val="24"/>
        </w:rPr>
        <w:t xml:space="preserve"> and</w:t>
      </w:r>
      <w:r w:rsidR="00A40749">
        <w:rPr>
          <w:rFonts w:asciiTheme="majorBidi" w:hAnsiTheme="majorBidi" w:cstheme="majorBidi"/>
          <w:sz w:val="24"/>
          <w:szCs w:val="24"/>
        </w:rPr>
        <w:t xml:space="preserve"> other ethico-medical criteri</w:t>
      </w:r>
      <w:r w:rsidR="00AD65EA">
        <w:rPr>
          <w:rFonts w:asciiTheme="majorBidi" w:hAnsiTheme="majorBidi" w:cstheme="majorBidi"/>
          <w:sz w:val="24"/>
          <w:szCs w:val="24"/>
        </w:rPr>
        <w:t>a</w:t>
      </w:r>
      <w:r w:rsidR="00A40749">
        <w:rPr>
          <w:rFonts w:asciiTheme="majorBidi" w:hAnsiTheme="majorBidi" w:cstheme="majorBidi"/>
          <w:sz w:val="24"/>
          <w:szCs w:val="24"/>
        </w:rPr>
        <w:t>. Furthermore, a charge of attempt requires proof that D intended to commit the substantive offence,</w:t>
      </w:r>
      <w:r w:rsidR="00A40749">
        <w:rPr>
          <w:rStyle w:val="FootnoteReference"/>
          <w:rFonts w:asciiTheme="majorBidi" w:hAnsiTheme="majorBidi" w:cstheme="majorBidi"/>
          <w:sz w:val="24"/>
          <w:szCs w:val="24"/>
        </w:rPr>
        <w:footnoteReference w:id="111"/>
      </w:r>
      <w:r w:rsidR="00517A49">
        <w:rPr>
          <w:rFonts w:asciiTheme="majorBidi" w:hAnsiTheme="majorBidi" w:cstheme="majorBidi"/>
          <w:sz w:val="24"/>
          <w:szCs w:val="24"/>
        </w:rPr>
        <w:t xml:space="preserve"> which</w:t>
      </w:r>
      <w:r w:rsidR="004F3B0F">
        <w:rPr>
          <w:rFonts w:asciiTheme="majorBidi" w:hAnsiTheme="majorBidi" w:cstheme="majorBidi"/>
          <w:sz w:val="24"/>
          <w:szCs w:val="24"/>
        </w:rPr>
        <w:t xml:space="preserve"> is lacking in situations like the German organ sc</w:t>
      </w:r>
      <w:r w:rsidR="00255307">
        <w:rPr>
          <w:rFonts w:asciiTheme="majorBidi" w:hAnsiTheme="majorBidi" w:cstheme="majorBidi"/>
          <w:sz w:val="24"/>
          <w:szCs w:val="24"/>
        </w:rPr>
        <w:t>andal</w:t>
      </w:r>
      <w:r w:rsidR="004F3B0F">
        <w:rPr>
          <w:rFonts w:asciiTheme="majorBidi" w:hAnsiTheme="majorBidi" w:cstheme="majorBidi"/>
          <w:sz w:val="24"/>
          <w:szCs w:val="24"/>
        </w:rPr>
        <w:t>.</w:t>
      </w:r>
      <w:r w:rsidR="00A40749">
        <w:rPr>
          <w:rFonts w:asciiTheme="majorBidi" w:hAnsiTheme="majorBidi" w:cstheme="majorBidi"/>
          <w:sz w:val="24"/>
          <w:szCs w:val="24"/>
        </w:rPr>
        <w:t xml:space="preserve"> Card, Cross and Jones have argued that there can be no conviction for an attempt to commit involuntary manslaughter because the essence of the substantive offence is unintentional killing.</w:t>
      </w:r>
      <w:r w:rsidR="00A40749">
        <w:rPr>
          <w:rStyle w:val="FootnoteReference"/>
          <w:rFonts w:asciiTheme="majorBidi" w:hAnsiTheme="majorBidi" w:cstheme="majorBidi"/>
          <w:sz w:val="24"/>
          <w:szCs w:val="24"/>
        </w:rPr>
        <w:footnoteReference w:id="112"/>
      </w:r>
      <w:r w:rsidR="004F3B0F">
        <w:rPr>
          <w:rFonts w:asciiTheme="majorBidi" w:hAnsiTheme="majorBidi" w:cstheme="majorBidi"/>
          <w:sz w:val="24"/>
          <w:szCs w:val="24"/>
        </w:rPr>
        <w:t xml:space="preserve"> </w:t>
      </w:r>
      <w:r w:rsidR="002B3929">
        <w:rPr>
          <w:rFonts w:asciiTheme="majorBidi" w:hAnsiTheme="majorBidi" w:cstheme="majorBidi"/>
          <w:sz w:val="24"/>
          <w:szCs w:val="24"/>
        </w:rPr>
        <w:t xml:space="preserve">While disputing </w:t>
      </w:r>
      <w:r w:rsidR="004F3B0F">
        <w:rPr>
          <w:rFonts w:asciiTheme="majorBidi" w:hAnsiTheme="majorBidi" w:cstheme="majorBidi"/>
          <w:sz w:val="24"/>
          <w:szCs w:val="24"/>
        </w:rPr>
        <w:t>this</w:t>
      </w:r>
      <w:r w:rsidR="002B3929">
        <w:rPr>
          <w:rFonts w:asciiTheme="majorBidi" w:hAnsiTheme="majorBidi" w:cstheme="majorBidi"/>
          <w:sz w:val="24"/>
          <w:szCs w:val="24"/>
        </w:rPr>
        <w:t xml:space="preserve"> bald proposition,</w:t>
      </w:r>
      <w:r w:rsidR="004F3B0F">
        <w:rPr>
          <w:rFonts w:asciiTheme="majorBidi" w:hAnsiTheme="majorBidi" w:cstheme="majorBidi"/>
          <w:sz w:val="24"/>
          <w:szCs w:val="24"/>
        </w:rPr>
        <w:t xml:space="preserve"> </w:t>
      </w:r>
      <w:r w:rsidR="00A40749">
        <w:rPr>
          <w:rFonts w:asciiTheme="majorBidi" w:hAnsiTheme="majorBidi" w:cstheme="majorBidi"/>
          <w:sz w:val="24"/>
          <w:szCs w:val="24"/>
        </w:rPr>
        <w:t>Simester and colleagues</w:t>
      </w:r>
      <w:r w:rsidR="002B3929">
        <w:rPr>
          <w:rFonts w:asciiTheme="majorBidi" w:hAnsiTheme="majorBidi" w:cstheme="majorBidi"/>
          <w:sz w:val="24"/>
          <w:szCs w:val="24"/>
        </w:rPr>
        <w:t xml:space="preserve"> have observed</w:t>
      </w:r>
      <w:r w:rsidR="00A40749">
        <w:rPr>
          <w:rFonts w:asciiTheme="majorBidi" w:hAnsiTheme="majorBidi" w:cstheme="majorBidi"/>
          <w:sz w:val="24"/>
          <w:szCs w:val="24"/>
        </w:rPr>
        <w:t xml:space="preserve"> that a charge of attempted manslaughter ‘must be proved by evidence which establishes an intent to kill’.</w:t>
      </w:r>
      <w:r w:rsidR="00A40749">
        <w:rPr>
          <w:rStyle w:val="FootnoteReference"/>
          <w:rFonts w:asciiTheme="majorBidi" w:hAnsiTheme="majorBidi" w:cstheme="majorBidi"/>
          <w:sz w:val="24"/>
          <w:szCs w:val="24"/>
        </w:rPr>
        <w:footnoteReference w:id="113"/>
      </w:r>
      <w:r w:rsidR="00A40749">
        <w:rPr>
          <w:rFonts w:asciiTheme="majorBidi" w:hAnsiTheme="majorBidi" w:cstheme="majorBidi"/>
          <w:sz w:val="24"/>
          <w:szCs w:val="24"/>
        </w:rPr>
        <w:t xml:space="preserve"> </w:t>
      </w:r>
      <w:r w:rsidR="00A40749" w:rsidRPr="00241F31">
        <w:rPr>
          <w:rFonts w:asciiTheme="majorBidi" w:hAnsiTheme="majorBidi" w:cstheme="majorBidi"/>
          <w:i/>
          <w:iCs/>
          <w:sz w:val="24"/>
          <w:szCs w:val="24"/>
        </w:rPr>
        <w:t>Morrison</w:t>
      </w:r>
      <w:r w:rsidR="002B3929">
        <w:rPr>
          <w:rFonts w:asciiTheme="majorBidi" w:hAnsiTheme="majorBidi" w:cstheme="majorBidi"/>
          <w:sz w:val="24"/>
          <w:szCs w:val="24"/>
        </w:rPr>
        <w:t>,</w:t>
      </w:r>
      <w:r w:rsidR="004F3B0F">
        <w:rPr>
          <w:rStyle w:val="FootnoteReference"/>
          <w:rFonts w:asciiTheme="majorBidi" w:hAnsiTheme="majorBidi" w:cstheme="majorBidi"/>
          <w:i/>
          <w:iCs/>
          <w:sz w:val="24"/>
          <w:szCs w:val="24"/>
        </w:rPr>
        <w:footnoteReference w:id="114"/>
      </w:r>
      <w:r w:rsidR="00A40749">
        <w:rPr>
          <w:rFonts w:asciiTheme="majorBidi" w:hAnsiTheme="majorBidi" w:cstheme="majorBidi"/>
          <w:sz w:val="24"/>
          <w:szCs w:val="24"/>
        </w:rPr>
        <w:t xml:space="preserve"> and Smith and Hogan </w:t>
      </w:r>
      <w:r w:rsidR="004F3B0F">
        <w:rPr>
          <w:rFonts w:asciiTheme="majorBidi" w:hAnsiTheme="majorBidi" w:cstheme="majorBidi"/>
          <w:sz w:val="24"/>
          <w:szCs w:val="24"/>
        </w:rPr>
        <w:t>s</w:t>
      </w:r>
      <w:r w:rsidR="00A40749">
        <w:rPr>
          <w:rFonts w:asciiTheme="majorBidi" w:hAnsiTheme="majorBidi" w:cstheme="majorBidi"/>
          <w:sz w:val="24"/>
          <w:szCs w:val="24"/>
        </w:rPr>
        <w:t>upport this</w:t>
      </w:r>
      <w:r w:rsidR="004F3B0F">
        <w:rPr>
          <w:rFonts w:asciiTheme="majorBidi" w:hAnsiTheme="majorBidi" w:cstheme="majorBidi"/>
          <w:sz w:val="24"/>
          <w:szCs w:val="24"/>
        </w:rPr>
        <w:t xml:space="preserve"> latter</w:t>
      </w:r>
      <w:r w:rsidR="00A40749">
        <w:rPr>
          <w:rFonts w:asciiTheme="majorBidi" w:hAnsiTheme="majorBidi" w:cstheme="majorBidi"/>
          <w:sz w:val="24"/>
          <w:szCs w:val="24"/>
        </w:rPr>
        <w:t xml:space="preserve"> view.</w:t>
      </w:r>
      <w:r w:rsidR="00A40749">
        <w:rPr>
          <w:rStyle w:val="FootnoteReference"/>
          <w:rFonts w:asciiTheme="majorBidi" w:hAnsiTheme="majorBidi" w:cstheme="majorBidi"/>
          <w:sz w:val="24"/>
          <w:szCs w:val="24"/>
        </w:rPr>
        <w:footnoteReference w:id="115"/>
      </w:r>
      <w:r w:rsidR="00A40749">
        <w:rPr>
          <w:rFonts w:asciiTheme="majorBidi" w:hAnsiTheme="majorBidi" w:cstheme="majorBidi"/>
          <w:sz w:val="24"/>
          <w:szCs w:val="24"/>
        </w:rPr>
        <w:t xml:space="preserve"> </w:t>
      </w:r>
      <w:r w:rsidR="004F3B0F">
        <w:rPr>
          <w:rFonts w:asciiTheme="majorBidi" w:hAnsiTheme="majorBidi" w:cstheme="majorBidi"/>
          <w:sz w:val="24"/>
          <w:szCs w:val="24"/>
        </w:rPr>
        <w:t>Transposing these principles to the</w:t>
      </w:r>
      <w:r w:rsidR="00A40749">
        <w:rPr>
          <w:rFonts w:asciiTheme="majorBidi" w:hAnsiTheme="majorBidi" w:cstheme="majorBidi"/>
          <w:sz w:val="24"/>
          <w:szCs w:val="24"/>
        </w:rPr>
        <w:t xml:space="preserve"> German</w:t>
      </w:r>
      <w:r w:rsidR="00E82C58">
        <w:rPr>
          <w:rFonts w:asciiTheme="majorBidi" w:hAnsiTheme="majorBidi" w:cstheme="majorBidi"/>
          <w:sz w:val="24"/>
          <w:szCs w:val="24"/>
        </w:rPr>
        <w:t xml:space="preserve"> organ scenario</w:t>
      </w:r>
      <w:r w:rsidR="00A40749">
        <w:rPr>
          <w:rFonts w:asciiTheme="majorBidi" w:hAnsiTheme="majorBidi" w:cstheme="majorBidi"/>
          <w:sz w:val="24"/>
          <w:szCs w:val="24"/>
        </w:rPr>
        <w:t>,</w:t>
      </w:r>
      <w:r w:rsidR="00E82C58">
        <w:rPr>
          <w:rFonts w:asciiTheme="majorBidi" w:hAnsiTheme="majorBidi" w:cstheme="majorBidi"/>
          <w:sz w:val="24"/>
          <w:szCs w:val="24"/>
        </w:rPr>
        <w:t xml:space="preserve"> it is</w:t>
      </w:r>
      <w:r w:rsidR="002B3929">
        <w:rPr>
          <w:rFonts w:asciiTheme="majorBidi" w:hAnsiTheme="majorBidi" w:cstheme="majorBidi"/>
          <w:sz w:val="24"/>
          <w:szCs w:val="24"/>
        </w:rPr>
        <w:t xml:space="preserve"> obvious</w:t>
      </w:r>
      <w:r w:rsidR="00E82C58">
        <w:rPr>
          <w:rFonts w:asciiTheme="majorBidi" w:hAnsiTheme="majorBidi" w:cstheme="majorBidi"/>
          <w:sz w:val="24"/>
          <w:szCs w:val="24"/>
        </w:rPr>
        <w:t xml:space="preserve"> that</w:t>
      </w:r>
      <w:r w:rsidR="00A40749">
        <w:rPr>
          <w:rFonts w:asciiTheme="majorBidi" w:hAnsiTheme="majorBidi" w:cstheme="majorBidi"/>
          <w:sz w:val="24"/>
          <w:szCs w:val="24"/>
        </w:rPr>
        <w:t xml:space="preserve"> </w:t>
      </w:r>
      <w:r w:rsidR="00E82C58">
        <w:rPr>
          <w:rFonts w:asciiTheme="majorBidi" w:hAnsiTheme="majorBidi" w:cstheme="majorBidi"/>
          <w:sz w:val="24"/>
          <w:szCs w:val="24"/>
        </w:rPr>
        <w:t>Mr</w:t>
      </w:r>
      <w:r w:rsidR="00A40749">
        <w:rPr>
          <w:rFonts w:asciiTheme="majorBidi" w:hAnsiTheme="majorBidi" w:cstheme="majorBidi"/>
          <w:sz w:val="24"/>
          <w:szCs w:val="24"/>
        </w:rPr>
        <w:t xml:space="preserve"> Aiman did not intend to kill the</w:t>
      </w:r>
      <w:r w:rsidR="00E82C58">
        <w:rPr>
          <w:rFonts w:asciiTheme="majorBidi" w:hAnsiTheme="majorBidi" w:cstheme="majorBidi"/>
          <w:sz w:val="24"/>
          <w:szCs w:val="24"/>
        </w:rPr>
        <w:t xml:space="preserve"> bypassed</w:t>
      </w:r>
      <w:r w:rsidR="00A40749">
        <w:rPr>
          <w:rFonts w:asciiTheme="majorBidi" w:hAnsiTheme="majorBidi" w:cstheme="majorBidi"/>
          <w:sz w:val="24"/>
          <w:szCs w:val="24"/>
        </w:rPr>
        <w:t xml:space="preserve"> patients; he </w:t>
      </w:r>
      <w:r w:rsidR="002B3929">
        <w:rPr>
          <w:rFonts w:asciiTheme="majorBidi" w:hAnsiTheme="majorBidi" w:cstheme="majorBidi"/>
          <w:sz w:val="24"/>
          <w:szCs w:val="24"/>
        </w:rPr>
        <w:t xml:space="preserve">simply or </w:t>
      </w:r>
      <w:r w:rsidR="00E82C58">
        <w:rPr>
          <w:rFonts w:asciiTheme="majorBidi" w:hAnsiTheme="majorBidi" w:cstheme="majorBidi"/>
          <w:sz w:val="24"/>
          <w:szCs w:val="24"/>
        </w:rPr>
        <w:t>primarily wanted</w:t>
      </w:r>
      <w:r w:rsidR="00A40749">
        <w:rPr>
          <w:rFonts w:asciiTheme="majorBidi" w:hAnsiTheme="majorBidi" w:cstheme="majorBidi"/>
          <w:sz w:val="24"/>
          <w:szCs w:val="24"/>
        </w:rPr>
        <w:t xml:space="preserve"> to accelerate the transplant treatment of his own patients. Also,</w:t>
      </w:r>
      <w:r w:rsidR="00E82C58">
        <w:rPr>
          <w:rFonts w:asciiTheme="majorBidi" w:hAnsiTheme="majorBidi" w:cstheme="majorBidi"/>
          <w:sz w:val="24"/>
          <w:szCs w:val="24"/>
        </w:rPr>
        <w:t xml:space="preserve"> absent evidence that bypassing those patients rendered their deaths </w:t>
      </w:r>
      <w:r w:rsidR="00A40749">
        <w:rPr>
          <w:rFonts w:asciiTheme="majorBidi" w:hAnsiTheme="majorBidi" w:cstheme="majorBidi"/>
          <w:sz w:val="24"/>
          <w:szCs w:val="24"/>
        </w:rPr>
        <w:t>a virtual certainty</w:t>
      </w:r>
      <w:r w:rsidR="00E82C58">
        <w:rPr>
          <w:rFonts w:asciiTheme="majorBidi" w:hAnsiTheme="majorBidi" w:cstheme="majorBidi"/>
          <w:sz w:val="24"/>
          <w:szCs w:val="24"/>
        </w:rPr>
        <w:t>, it is not likely that Mr Aiman would have been convicted o</w:t>
      </w:r>
      <w:r w:rsidR="002B3929">
        <w:rPr>
          <w:rFonts w:asciiTheme="majorBidi" w:hAnsiTheme="majorBidi" w:cstheme="majorBidi"/>
          <w:sz w:val="24"/>
          <w:szCs w:val="24"/>
        </w:rPr>
        <w:t>n</w:t>
      </w:r>
      <w:r w:rsidR="00E82C58">
        <w:rPr>
          <w:rFonts w:asciiTheme="majorBidi" w:hAnsiTheme="majorBidi" w:cstheme="majorBidi"/>
          <w:sz w:val="24"/>
          <w:szCs w:val="24"/>
        </w:rPr>
        <w:t xml:space="preserve"> a similar</w:t>
      </w:r>
      <w:r w:rsidR="002B3929">
        <w:rPr>
          <w:rFonts w:asciiTheme="majorBidi" w:hAnsiTheme="majorBidi" w:cstheme="majorBidi"/>
          <w:sz w:val="24"/>
          <w:szCs w:val="24"/>
        </w:rPr>
        <w:t xml:space="preserve"> charge</w:t>
      </w:r>
      <w:r w:rsidR="00E82C58">
        <w:rPr>
          <w:rFonts w:asciiTheme="majorBidi" w:hAnsiTheme="majorBidi" w:cstheme="majorBidi"/>
          <w:sz w:val="24"/>
          <w:szCs w:val="24"/>
        </w:rPr>
        <w:t xml:space="preserve"> in England and Wales.</w:t>
      </w:r>
    </w:p>
    <w:p w:rsidR="00F375E1" w:rsidRDefault="00A40749" w:rsidP="00574226">
      <w:pPr>
        <w:jc w:val="both"/>
        <w:rPr>
          <w:rFonts w:asciiTheme="majorBidi" w:hAnsiTheme="majorBidi" w:cstheme="majorBidi"/>
          <w:sz w:val="24"/>
          <w:szCs w:val="24"/>
        </w:rPr>
      </w:pPr>
      <w:r>
        <w:rPr>
          <w:rFonts w:asciiTheme="majorBidi" w:hAnsiTheme="majorBidi" w:cstheme="majorBidi"/>
          <w:sz w:val="24"/>
          <w:szCs w:val="24"/>
        </w:rPr>
        <w:tab/>
      </w:r>
      <w:r w:rsidR="008D162B">
        <w:rPr>
          <w:rFonts w:asciiTheme="majorBidi" w:hAnsiTheme="majorBidi" w:cstheme="majorBidi"/>
          <w:sz w:val="24"/>
          <w:szCs w:val="24"/>
        </w:rPr>
        <w:t>The regulatory difficulties presented by a</w:t>
      </w:r>
      <w:r>
        <w:rPr>
          <w:rFonts w:asciiTheme="majorBidi" w:hAnsiTheme="majorBidi" w:cstheme="majorBidi"/>
          <w:sz w:val="24"/>
          <w:szCs w:val="24"/>
        </w:rPr>
        <w:t xml:space="preserve"> German-type scandal</w:t>
      </w:r>
      <w:r w:rsidR="008D162B">
        <w:rPr>
          <w:rFonts w:asciiTheme="majorBidi" w:hAnsiTheme="majorBidi" w:cstheme="majorBidi"/>
          <w:sz w:val="24"/>
          <w:szCs w:val="24"/>
        </w:rPr>
        <w:t xml:space="preserve"> are not limited to</w:t>
      </w:r>
      <w:r>
        <w:rPr>
          <w:rFonts w:asciiTheme="majorBidi" w:hAnsiTheme="majorBidi" w:cstheme="majorBidi"/>
          <w:sz w:val="24"/>
          <w:szCs w:val="24"/>
        </w:rPr>
        <w:t xml:space="preserve"> </w:t>
      </w:r>
      <w:r w:rsidR="00C2125F">
        <w:rPr>
          <w:rFonts w:asciiTheme="majorBidi" w:hAnsiTheme="majorBidi" w:cstheme="majorBidi"/>
          <w:sz w:val="24"/>
          <w:szCs w:val="24"/>
        </w:rPr>
        <w:t>the charge of</w:t>
      </w:r>
      <w:r w:rsidR="008D162B">
        <w:rPr>
          <w:rFonts w:asciiTheme="majorBidi" w:hAnsiTheme="majorBidi" w:cstheme="majorBidi"/>
          <w:sz w:val="24"/>
          <w:szCs w:val="24"/>
        </w:rPr>
        <w:t xml:space="preserve"> manslaughter</w:t>
      </w:r>
      <w:r>
        <w:rPr>
          <w:rFonts w:asciiTheme="majorBidi" w:hAnsiTheme="majorBidi" w:cstheme="majorBidi"/>
          <w:sz w:val="24"/>
          <w:szCs w:val="24"/>
        </w:rPr>
        <w:t>.</w:t>
      </w:r>
      <w:r w:rsidR="008D162B">
        <w:rPr>
          <w:rFonts w:asciiTheme="majorBidi" w:hAnsiTheme="majorBidi" w:cstheme="majorBidi"/>
          <w:sz w:val="24"/>
          <w:szCs w:val="24"/>
        </w:rPr>
        <w:t xml:space="preserve"> A few other relevant charges might not fare better.</w:t>
      </w:r>
      <w:r w:rsidR="00C2125F">
        <w:rPr>
          <w:rFonts w:asciiTheme="majorBidi" w:hAnsiTheme="majorBidi" w:cstheme="majorBidi"/>
          <w:sz w:val="24"/>
          <w:szCs w:val="24"/>
        </w:rPr>
        <w:t xml:space="preserve"> For instance, prosecution under the Fraud Act 2006 might be considered apposite in a German-type scandal; this arises from Mr Aiman’s alleged</w:t>
      </w:r>
      <w:r>
        <w:rPr>
          <w:rFonts w:asciiTheme="majorBidi" w:hAnsiTheme="majorBidi" w:cstheme="majorBidi"/>
          <w:sz w:val="24"/>
          <w:szCs w:val="24"/>
        </w:rPr>
        <w:t xml:space="preserve"> ‘fraudulent’ manipulation of</w:t>
      </w:r>
      <w:r w:rsidR="00C2125F">
        <w:rPr>
          <w:rFonts w:asciiTheme="majorBidi" w:hAnsiTheme="majorBidi" w:cstheme="majorBidi"/>
          <w:sz w:val="24"/>
          <w:szCs w:val="24"/>
        </w:rPr>
        <w:t xml:space="preserve"> patients’</w:t>
      </w:r>
      <w:r>
        <w:rPr>
          <w:rFonts w:asciiTheme="majorBidi" w:hAnsiTheme="majorBidi" w:cstheme="majorBidi"/>
          <w:sz w:val="24"/>
          <w:szCs w:val="24"/>
        </w:rPr>
        <w:t xml:space="preserve"> medical records and diagnostic test results in</w:t>
      </w:r>
      <w:r w:rsidR="00C2125F">
        <w:rPr>
          <w:rFonts w:asciiTheme="majorBidi" w:hAnsiTheme="majorBidi" w:cstheme="majorBidi"/>
          <w:sz w:val="24"/>
          <w:szCs w:val="24"/>
        </w:rPr>
        <w:t xml:space="preserve"> that</w:t>
      </w:r>
      <w:r>
        <w:rPr>
          <w:rFonts w:asciiTheme="majorBidi" w:hAnsiTheme="majorBidi" w:cstheme="majorBidi"/>
          <w:sz w:val="24"/>
          <w:szCs w:val="24"/>
        </w:rPr>
        <w:t xml:space="preserve"> scandal.</w:t>
      </w:r>
      <w:r w:rsidR="00C2125F">
        <w:rPr>
          <w:rFonts w:asciiTheme="majorBidi" w:hAnsiTheme="majorBidi" w:cstheme="majorBidi"/>
          <w:sz w:val="24"/>
          <w:szCs w:val="24"/>
        </w:rPr>
        <w:t xml:space="preserve"> Were that to be prosecuted under the Fraud Act 2006, section</w:t>
      </w:r>
      <w:r w:rsidR="00DD413E">
        <w:rPr>
          <w:rFonts w:asciiTheme="majorBidi" w:hAnsiTheme="majorBidi" w:cstheme="majorBidi"/>
          <w:sz w:val="24"/>
          <w:szCs w:val="24"/>
        </w:rPr>
        <w:t xml:space="preserve"> 1 establishes</w:t>
      </w:r>
      <w:r>
        <w:rPr>
          <w:rFonts w:asciiTheme="majorBidi" w:hAnsiTheme="majorBidi" w:cstheme="majorBidi"/>
          <w:sz w:val="24"/>
          <w:szCs w:val="24"/>
        </w:rPr>
        <w:t xml:space="preserve"> three ways of committing a general offence of fraud, </w:t>
      </w:r>
      <w:r w:rsidR="00DD413E">
        <w:rPr>
          <w:rFonts w:asciiTheme="majorBidi" w:hAnsiTheme="majorBidi" w:cstheme="majorBidi"/>
          <w:sz w:val="24"/>
          <w:szCs w:val="24"/>
        </w:rPr>
        <w:t>that is, by</w:t>
      </w:r>
      <w:r>
        <w:rPr>
          <w:rFonts w:asciiTheme="majorBidi" w:hAnsiTheme="majorBidi" w:cstheme="majorBidi"/>
          <w:sz w:val="24"/>
          <w:szCs w:val="24"/>
        </w:rPr>
        <w:t xml:space="preserve"> dishonest false representation</w:t>
      </w:r>
      <w:r w:rsidR="00DD413E">
        <w:rPr>
          <w:rFonts w:asciiTheme="majorBidi" w:hAnsiTheme="majorBidi" w:cstheme="majorBidi"/>
          <w:sz w:val="24"/>
          <w:szCs w:val="24"/>
        </w:rPr>
        <w:t>;</w:t>
      </w:r>
      <w:r>
        <w:rPr>
          <w:rFonts w:asciiTheme="majorBidi" w:hAnsiTheme="majorBidi" w:cstheme="majorBidi"/>
          <w:sz w:val="24"/>
          <w:szCs w:val="24"/>
        </w:rPr>
        <w:t xml:space="preserve"> failure to disclose information</w:t>
      </w:r>
      <w:r w:rsidR="00DD413E">
        <w:rPr>
          <w:rFonts w:asciiTheme="majorBidi" w:hAnsiTheme="majorBidi" w:cstheme="majorBidi"/>
          <w:sz w:val="24"/>
          <w:szCs w:val="24"/>
        </w:rPr>
        <w:t>;</w:t>
      </w:r>
      <w:r>
        <w:rPr>
          <w:rFonts w:asciiTheme="majorBidi" w:hAnsiTheme="majorBidi" w:cstheme="majorBidi"/>
          <w:sz w:val="24"/>
          <w:szCs w:val="24"/>
        </w:rPr>
        <w:t xml:space="preserve"> and abuse of position</w:t>
      </w:r>
      <w:r w:rsidR="00DD413E">
        <w:rPr>
          <w:rFonts w:asciiTheme="majorBidi" w:hAnsiTheme="majorBidi" w:cstheme="majorBidi"/>
          <w:sz w:val="24"/>
          <w:szCs w:val="24"/>
        </w:rPr>
        <w:t>.</w:t>
      </w:r>
      <w:r>
        <w:rPr>
          <w:rStyle w:val="FootnoteReference"/>
          <w:rFonts w:asciiTheme="majorBidi" w:hAnsiTheme="majorBidi" w:cstheme="majorBidi"/>
          <w:sz w:val="24"/>
          <w:szCs w:val="24"/>
        </w:rPr>
        <w:footnoteReference w:id="116"/>
      </w:r>
      <w:r>
        <w:rPr>
          <w:rFonts w:asciiTheme="majorBidi" w:hAnsiTheme="majorBidi" w:cstheme="majorBidi"/>
          <w:sz w:val="24"/>
          <w:szCs w:val="24"/>
        </w:rPr>
        <w:t xml:space="preserve"> </w:t>
      </w:r>
      <w:r w:rsidR="00DD413E">
        <w:rPr>
          <w:rFonts w:asciiTheme="majorBidi" w:hAnsiTheme="majorBidi" w:cstheme="majorBidi"/>
          <w:sz w:val="24"/>
          <w:szCs w:val="24"/>
        </w:rPr>
        <w:t xml:space="preserve">Apparently, </w:t>
      </w:r>
      <w:r>
        <w:rPr>
          <w:rFonts w:asciiTheme="majorBidi" w:hAnsiTheme="majorBidi" w:cstheme="majorBidi"/>
          <w:sz w:val="24"/>
          <w:szCs w:val="24"/>
        </w:rPr>
        <w:t>only the first</w:t>
      </w:r>
      <w:r w:rsidR="00DD413E">
        <w:rPr>
          <w:rFonts w:asciiTheme="majorBidi" w:hAnsiTheme="majorBidi" w:cstheme="majorBidi"/>
          <w:sz w:val="24"/>
          <w:szCs w:val="24"/>
        </w:rPr>
        <w:t xml:space="preserve"> route</w:t>
      </w:r>
      <w:r>
        <w:rPr>
          <w:rFonts w:asciiTheme="majorBidi" w:hAnsiTheme="majorBidi" w:cstheme="majorBidi"/>
          <w:sz w:val="24"/>
          <w:szCs w:val="24"/>
        </w:rPr>
        <w:t xml:space="preserve"> is relevant here </w:t>
      </w:r>
      <w:r w:rsidR="00DD413E">
        <w:rPr>
          <w:rFonts w:asciiTheme="majorBidi" w:hAnsiTheme="majorBidi" w:cstheme="majorBidi"/>
          <w:sz w:val="24"/>
          <w:szCs w:val="24"/>
        </w:rPr>
        <w:t>because</w:t>
      </w:r>
      <w:r>
        <w:rPr>
          <w:rFonts w:asciiTheme="majorBidi" w:hAnsiTheme="majorBidi" w:cstheme="majorBidi"/>
          <w:sz w:val="24"/>
          <w:szCs w:val="24"/>
        </w:rPr>
        <w:t xml:space="preserve"> it capture</w:t>
      </w:r>
      <w:r w:rsidR="00DD413E">
        <w:rPr>
          <w:rFonts w:asciiTheme="majorBidi" w:hAnsiTheme="majorBidi" w:cstheme="majorBidi"/>
          <w:sz w:val="24"/>
          <w:szCs w:val="24"/>
        </w:rPr>
        <w:t>s</w:t>
      </w:r>
      <w:r>
        <w:rPr>
          <w:rFonts w:asciiTheme="majorBidi" w:hAnsiTheme="majorBidi" w:cstheme="majorBidi"/>
          <w:sz w:val="24"/>
          <w:szCs w:val="24"/>
        </w:rPr>
        <w:t xml:space="preserve"> the</w:t>
      </w:r>
      <w:r w:rsidR="00DD413E">
        <w:rPr>
          <w:rFonts w:asciiTheme="majorBidi" w:hAnsiTheme="majorBidi" w:cstheme="majorBidi"/>
          <w:sz w:val="24"/>
          <w:szCs w:val="24"/>
        </w:rPr>
        <w:t xml:space="preserve"> impugned conduct of Mr Aiman.</w:t>
      </w:r>
      <w:r>
        <w:rPr>
          <w:rStyle w:val="FootnoteReference"/>
          <w:rFonts w:asciiTheme="majorBidi" w:hAnsiTheme="majorBidi" w:cstheme="majorBidi"/>
          <w:sz w:val="24"/>
          <w:szCs w:val="24"/>
        </w:rPr>
        <w:footnoteReference w:id="117"/>
      </w:r>
      <w:r>
        <w:rPr>
          <w:rFonts w:asciiTheme="majorBidi" w:hAnsiTheme="majorBidi" w:cstheme="majorBidi"/>
          <w:sz w:val="24"/>
          <w:szCs w:val="24"/>
        </w:rPr>
        <w:t xml:space="preserve"> </w:t>
      </w:r>
      <w:r w:rsidR="00DD413E">
        <w:rPr>
          <w:rFonts w:asciiTheme="majorBidi" w:hAnsiTheme="majorBidi" w:cstheme="majorBidi"/>
          <w:sz w:val="24"/>
          <w:szCs w:val="24"/>
        </w:rPr>
        <w:t xml:space="preserve">However, </w:t>
      </w:r>
      <w:r>
        <w:rPr>
          <w:rFonts w:asciiTheme="majorBidi" w:hAnsiTheme="majorBidi" w:cstheme="majorBidi"/>
          <w:sz w:val="24"/>
          <w:szCs w:val="24"/>
        </w:rPr>
        <w:t>the</w:t>
      </w:r>
      <w:r w:rsidR="00DD413E">
        <w:rPr>
          <w:rFonts w:asciiTheme="majorBidi" w:hAnsiTheme="majorBidi" w:cstheme="majorBidi"/>
          <w:sz w:val="24"/>
          <w:szCs w:val="24"/>
        </w:rPr>
        <w:t xml:space="preserve"> Act’s</w:t>
      </w:r>
      <w:r>
        <w:rPr>
          <w:rFonts w:asciiTheme="majorBidi" w:hAnsiTheme="majorBidi" w:cstheme="majorBidi"/>
          <w:sz w:val="24"/>
          <w:szCs w:val="24"/>
        </w:rPr>
        <w:t xml:space="preserve"> general offence of fraud is</w:t>
      </w:r>
      <w:r w:rsidR="00DD413E">
        <w:rPr>
          <w:rFonts w:asciiTheme="majorBidi" w:hAnsiTheme="majorBidi" w:cstheme="majorBidi"/>
          <w:sz w:val="24"/>
          <w:szCs w:val="24"/>
        </w:rPr>
        <w:t xml:space="preserve"> only</w:t>
      </w:r>
      <w:r>
        <w:rPr>
          <w:rFonts w:asciiTheme="majorBidi" w:hAnsiTheme="majorBidi" w:cstheme="majorBidi"/>
          <w:sz w:val="24"/>
          <w:szCs w:val="24"/>
        </w:rPr>
        <w:t xml:space="preserve"> ‘based on dishonest conduct against </w:t>
      </w:r>
      <w:r w:rsidRPr="007120F8">
        <w:rPr>
          <w:rFonts w:asciiTheme="majorBidi" w:hAnsiTheme="majorBidi" w:cstheme="majorBidi"/>
          <w:i/>
          <w:iCs/>
          <w:sz w:val="24"/>
          <w:szCs w:val="24"/>
        </w:rPr>
        <w:t>property</w:t>
      </w:r>
      <w:r>
        <w:rPr>
          <w:rFonts w:asciiTheme="majorBidi" w:hAnsiTheme="majorBidi" w:cstheme="majorBidi"/>
          <w:sz w:val="24"/>
          <w:szCs w:val="24"/>
        </w:rPr>
        <w:t xml:space="preserve"> </w:t>
      </w:r>
      <w:r w:rsidRPr="007120F8">
        <w:rPr>
          <w:rFonts w:asciiTheme="majorBidi" w:hAnsiTheme="majorBidi" w:cstheme="majorBidi"/>
          <w:i/>
          <w:iCs/>
          <w:sz w:val="24"/>
          <w:szCs w:val="24"/>
        </w:rPr>
        <w:t>interests</w:t>
      </w:r>
      <w:r>
        <w:rPr>
          <w:rFonts w:asciiTheme="majorBidi" w:hAnsiTheme="majorBidi" w:cstheme="majorBidi"/>
          <w:sz w:val="24"/>
          <w:szCs w:val="24"/>
        </w:rPr>
        <w:t>’.</w:t>
      </w:r>
      <w:r>
        <w:rPr>
          <w:rStyle w:val="FootnoteReference"/>
          <w:rFonts w:asciiTheme="majorBidi" w:hAnsiTheme="majorBidi" w:cstheme="majorBidi"/>
          <w:sz w:val="24"/>
          <w:szCs w:val="24"/>
        </w:rPr>
        <w:footnoteReference w:id="118"/>
      </w:r>
      <w:r>
        <w:rPr>
          <w:rFonts w:asciiTheme="majorBidi" w:hAnsiTheme="majorBidi" w:cstheme="majorBidi"/>
          <w:sz w:val="24"/>
          <w:szCs w:val="24"/>
        </w:rPr>
        <w:t xml:space="preserve"> </w:t>
      </w:r>
      <w:r w:rsidR="00DD413E">
        <w:rPr>
          <w:rFonts w:asciiTheme="majorBidi" w:hAnsiTheme="majorBidi" w:cstheme="majorBidi"/>
          <w:sz w:val="24"/>
          <w:szCs w:val="24"/>
        </w:rPr>
        <w:t>Under section</w:t>
      </w:r>
      <w:r>
        <w:rPr>
          <w:rFonts w:asciiTheme="majorBidi" w:hAnsiTheme="majorBidi" w:cstheme="majorBidi"/>
          <w:sz w:val="24"/>
          <w:szCs w:val="24"/>
        </w:rPr>
        <w:t xml:space="preserve"> 2 of the Act,</w:t>
      </w:r>
      <w:r w:rsidR="00DD413E">
        <w:rPr>
          <w:rFonts w:asciiTheme="majorBidi" w:hAnsiTheme="majorBidi" w:cstheme="majorBidi"/>
          <w:sz w:val="24"/>
          <w:szCs w:val="24"/>
        </w:rPr>
        <w:t xml:space="preserve"> therefore,</w:t>
      </w:r>
      <w:r>
        <w:rPr>
          <w:rFonts w:asciiTheme="majorBidi" w:hAnsiTheme="majorBidi" w:cstheme="majorBidi"/>
          <w:sz w:val="24"/>
          <w:szCs w:val="24"/>
        </w:rPr>
        <w:t xml:space="preserve"> a dishonest false representation by D must be intended to </w:t>
      </w:r>
      <w:r w:rsidRPr="00750B0B">
        <w:rPr>
          <w:rFonts w:asciiTheme="majorBidi" w:hAnsiTheme="majorBidi" w:cstheme="majorBidi"/>
          <w:i/>
          <w:iCs/>
          <w:sz w:val="24"/>
          <w:szCs w:val="24"/>
        </w:rPr>
        <w:t>gain</w:t>
      </w:r>
      <w:r>
        <w:rPr>
          <w:rFonts w:asciiTheme="majorBidi" w:hAnsiTheme="majorBidi" w:cstheme="majorBidi"/>
          <w:sz w:val="24"/>
          <w:szCs w:val="24"/>
        </w:rPr>
        <w:t xml:space="preserve"> property for him or herself or another, or to cause </w:t>
      </w:r>
      <w:r w:rsidRPr="00750B0B">
        <w:rPr>
          <w:rFonts w:asciiTheme="majorBidi" w:hAnsiTheme="majorBidi" w:cstheme="majorBidi"/>
          <w:i/>
          <w:iCs/>
          <w:sz w:val="24"/>
          <w:szCs w:val="24"/>
        </w:rPr>
        <w:t>loss</w:t>
      </w:r>
      <w:r>
        <w:rPr>
          <w:rFonts w:asciiTheme="majorBidi" w:hAnsiTheme="majorBidi" w:cstheme="majorBidi"/>
          <w:sz w:val="24"/>
          <w:szCs w:val="24"/>
        </w:rPr>
        <w:t xml:space="preserve"> to another or expose them to a risk of loss.</w:t>
      </w:r>
      <w:r>
        <w:rPr>
          <w:rStyle w:val="FootnoteReference"/>
          <w:rFonts w:asciiTheme="majorBidi" w:hAnsiTheme="majorBidi" w:cstheme="majorBidi"/>
          <w:sz w:val="24"/>
          <w:szCs w:val="24"/>
        </w:rPr>
        <w:footnoteReference w:id="119"/>
      </w:r>
      <w:r>
        <w:rPr>
          <w:rFonts w:asciiTheme="majorBidi" w:hAnsiTheme="majorBidi" w:cstheme="majorBidi"/>
          <w:sz w:val="24"/>
          <w:szCs w:val="24"/>
        </w:rPr>
        <w:t xml:space="preserve"> </w:t>
      </w:r>
      <w:r w:rsidR="00F56A4A">
        <w:rPr>
          <w:rFonts w:asciiTheme="majorBidi" w:hAnsiTheme="majorBidi" w:cstheme="majorBidi"/>
          <w:sz w:val="24"/>
          <w:szCs w:val="24"/>
        </w:rPr>
        <w:t>Applying these provisions to a</w:t>
      </w:r>
      <w:r>
        <w:rPr>
          <w:rFonts w:asciiTheme="majorBidi" w:hAnsiTheme="majorBidi" w:cstheme="majorBidi"/>
          <w:sz w:val="24"/>
          <w:szCs w:val="24"/>
        </w:rPr>
        <w:t xml:space="preserve"> German-type scandal, a charge</w:t>
      </w:r>
      <w:r w:rsidR="00F56A4A">
        <w:rPr>
          <w:rFonts w:asciiTheme="majorBidi" w:hAnsiTheme="majorBidi" w:cstheme="majorBidi"/>
          <w:sz w:val="24"/>
          <w:szCs w:val="24"/>
        </w:rPr>
        <w:t xml:space="preserve"> under</w:t>
      </w:r>
      <w:r>
        <w:rPr>
          <w:rFonts w:asciiTheme="majorBidi" w:hAnsiTheme="majorBidi" w:cstheme="majorBidi"/>
          <w:sz w:val="24"/>
          <w:szCs w:val="24"/>
        </w:rPr>
        <w:t xml:space="preserve"> the general offence of fraud would</w:t>
      </w:r>
      <w:r w:rsidR="00F56A4A">
        <w:rPr>
          <w:rFonts w:asciiTheme="majorBidi" w:hAnsiTheme="majorBidi" w:cstheme="majorBidi"/>
          <w:sz w:val="24"/>
          <w:szCs w:val="24"/>
        </w:rPr>
        <w:t xml:space="preserve"> raise controversial issues, such as</w:t>
      </w:r>
      <w:r>
        <w:rPr>
          <w:rFonts w:asciiTheme="majorBidi" w:hAnsiTheme="majorBidi" w:cstheme="majorBidi"/>
          <w:sz w:val="24"/>
          <w:szCs w:val="24"/>
        </w:rPr>
        <w:t xml:space="preserve"> whether organs qualify as </w:t>
      </w:r>
      <w:r w:rsidRPr="008F0357">
        <w:rPr>
          <w:rFonts w:asciiTheme="majorBidi" w:hAnsiTheme="majorBidi" w:cstheme="majorBidi"/>
          <w:i/>
          <w:iCs/>
          <w:sz w:val="24"/>
          <w:szCs w:val="24"/>
        </w:rPr>
        <w:t xml:space="preserve">property </w:t>
      </w:r>
      <w:r>
        <w:rPr>
          <w:rFonts w:asciiTheme="majorBidi" w:hAnsiTheme="majorBidi" w:cstheme="majorBidi"/>
          <w:sz w:val="24"/>
          <w:szCs w:val="24"/>
        </w:rPr>
        <w:t>whose gain or loss was intended by D</w:t>
      </w:r>
      <w:r w:rsidR="00F56A4A">
        <w:rPr>
          <w:rFonts w:asciiTheme="majorBidi" w:hAnsiTheme="majorBidi" w:cstheme="majorBidi"/>
          <w:sz w:val="24"/>
          <w:szCs w:val="24"/>
        </w:rPr>
        <w:t xml:space="preserve">. While </w:t>
      </w:r>
      <w:r w:rsidR="00F56A4A" w:rsidRPr="00F56A4A">
        <w:rPr>
          <w:rFonts w:asciiTheme="majorBidi" w:hAnsiTheme="majorBidi" w:cstheme="majorBidi"/>
          <w:i/>
          <w:iCs/>
          <w:sz w:val="24"/>
          <w:szCs w:val="24"/>
        </w:rPr>
        <w:t>Kelly</w:t>
      </w:r>
      <w:r w:rsidR="00F56A4A">
        <w:rPr>
          <w:rFonts w:asciiTheme="majorBidi" w:hAnsiTheme="majorBidi" w:cstheme="majorBidi"/>
          <w:sz w:val="24"/>
          <w:szCs w:val="24"/>
        </w:rPr>
        <w:t xml:space="preserve"> (above) raises hope that organs intended for transplantation might be considered property in the future, the current state of the law is that untransformed</w:t>
      </w:r>
      <w:r w:rsidR="00111773">
        <w:rPr>
          <w:rFonts w:asciiTheme="majorBidi" w:hAnsiTheme="majorBidi" w:cstheme="majorBidi"/>
          <w:sz w:val="24"/>
          <w:szCs w:val="24"/>
        </w:rPr>
        <w:t xml:space="preserve"> organs</w:t>
      </w:r>
      <w:r w:rsidR="00F56A4A">
        <w:rPr>
          <w:rFonts w:asciiTheme="majorBidi" w:hAnsiTheme="majorBidi" w:cstheme="majorBidi"/>
          <w:sz w:val="24"/>
          <w:szCs w:val="24"/>
        </w:rPr>
        <w:t xml:space="preserve"> do not qualify as property</w:t>
      </w:r>
      <w:r w:rsidR="00E37B8D">
        <w:rPr>
          <w:rFonts w:asciiTheme="majorBidi" w:hAnsiTheme="majorBidi" w:cstheme="majorBidi"/>
          <w:sz w:val="24"/>
          <w:szCs w:val="24"/>
        </w:rPr>
        <w:t>. Thus, it is likely that a</w:t>
      </w:r>
      <w:r>
        <w:rPr>
          <w:rFonts w:asciiTheme="majorBidi" w:hAnsiTheme="majorBidi" w:cstheme="majorBidi"/>
          <w:sz w:val="24"/>
          <w:szCs w:val="24"/>
        </w:rPr>
        <w:t xml:space="preserve"> prosecution </w:t>
      </w:r>
      <w:r w:rsidR="00E37B8D">
        <w:rPr>
          <w:rFonts w:asciiTheme="majorBidi" w:hAnsiTheme="majorBidi" w:cstheme="majorBidi"/>
          <w:sz w:val="24"/>
          <w:szCs w:val="24"/>
        </w:rPr>
        <w:t>under the</w:t>
      </w:r>
      <w:r>
        <w:rPr>
          <w:rFonts w:asciiTheme="majorBidi" w:hAnsiTheme="majorBidi" w:cstheme="majorBidi"/>
          <w:sz w:val="24"/>
          <w:szCs w:val="24"/>
        </w:rPr>
        <w:t xml:space="preserve"> general fraud offence</w:t>
      </w:r>
      <w:r w:rsidR="00E37B8D">
        <w:rPr>
          <w:rFonts w:asciiTheme="majorBidi" w:hAnsiTheme="majorBidi" w:cstheme="majorBidi"/>
          <w:sz w:val="24"/>
          <w:szCs w:val="24"/>
        </w:rPr>
        <w:t xml:space="preserve"> would not succeed. </w:t>
      </w:r>
      <w:r w:rsidR="00F375E1">
        <w:rPr>
          <w:rFonts w:asciiTheme="majorBidi" w:hAnsiTheme="majorBidi" w:cstheme="majorBidi"/>
          <w:sz w:val="24"/>
          <w:szCs w:val="24"/>
        </w:rPr>
        <w:t xml:space="preserve"> </w:t>
      </w:r>
    </w:p>
    <w:p w:rsidR="00A40749" w:rsidRDefault="00E37B8D" w:rsidP="00F375E1">
      <w:pPr>
        <w:ind w:firstLine="720"/>
        <w:jc w:val="both"/>
        <w:rPr>
          <w:rFonts w:asciiTheme="majorBidi" w:hAnsiTheme="majorBidi" w:cstheme="majorBidi"/>
          <w:sz w:val="24"/>
          <w:szCs w:val="24"/>
        </w:rPr>
      </w:pPr>
      <w:r>
        <w:rPr>
          <w:rFonts w:asciiTheme="majorBidi" w:hAnsiTheme="majorBidi" w:cstheme="majorBidi"/>
          <w:sz w:val="24"/>
          <w:szCs w:val="24"/>
        </w:rPr>
        <w:t>Nevertheless, a charge might be brought under</w:t>
      </w:r>
      <w:r w:rsidR="00A40749">
        <w:rPr>
          <w:rFonts w:asciiTheme="majorBidi" w:hAnsiTheme="majorBidi" w:cstheme="majorBidi"/>
          <w:sz w:val="24"/>
          <w:szCs w:val="24"/>
        </w:rPr>
        <w:t xml:space="preserve"> s</w:t>
      </w:r>
      <w:r>
        <w:rPr>
          <w:rFonts w:asciiTheme="majorBidi" w:hAnsiTheme="majorBidi" w:cstheme="majorBidi"/>
          <w:sz w:val="24"/>
          <w:szCs w:val="24"/>
        </w:rPr>
        <w:t>ection</w:t>
      </w:r>
      <w:r w:rsidR="00A40749">
        <w:rPr>
          <w:rFonts w:asciiTheme="majorBidi" w:hAnsiTheme="majorBidi" w:cstheme="majorBidi"/>
          <w:sz w:val="24"/>
          <w:szCs w:val="24"/>
        </w:rPr>
        <w:t xml:space="preserve"> 11</w:t>
      </w:r>
      <w:r>
        <w:rPr>
          <w:rFonts w:asciiTheme="majorBidi" w:hAnsiTheme="majorBidi" w:cstheme="majorBidi"/>
          <w:sz w:val="24"/>
          <w:szCs w:val="24"/>
        </w:rPr>
        <w:t xml:space="preserve"> of the Act which criminalises the dishonest </w:t>
      </w:r>
      <w:r w:rsidR="00A40749">
        <w:rPr>
          <w:rFonts w:asciiTheme="majorBidi" w:hAnsiTheme="majorBidi" w:cstheme="majorBidi"/>
          <w:sz w:val="24"/>
          <w:szCs w:val="24"/>
        </w:rPr>
        <w:t>obtaining</w:t>
      </w:r>
      <w:r>
        <w:rPr>
          <w:rFonts w:asciiTheme="majorBidi" w:hAnsiTheme="majorBidi" w:cstheme="majorBidi"/>
          <w:sz w:val="24"/>
          <w:szCs w:val="24"/>
        </w:rPr>
        <w:t xml:space="preserve"> of</w:t>
      </w:r>
      <w:r w:rsidR="00A40749">
        <w:rPr>
          <w:rFonts w:asciiTheme="majorBidi" w:hAnsiTheme="majorBidi" w:cstheme="majorBidi"/>
          <w:sz w:val="24"/>
          <w:szCs w:val="24"/>
        </w:rPr>
        <w:t xml:space="preserve"> services</w:t>
      </w:r>
      <w:r>
        <w:rPr>
          <w:rFonts w:asciiTheme="majorBidi" w:hAnsiTheme="majorBidi" w:cstheme="majorBidi"/>
          <w:sz w:val="24"/>
          <w:szCs w:val="24"/>
        </w:rPr>
        <w:t>. But such</w:t>
      </w:r>
      <w:r w:rsidR="00A40749">
        <w:rPr>
          <w:rFonts w:asciiTheme="majorBidi" w:hAnsiTheme="majorBidi" w:cstheme="majorBidi"/>
          <w:sz w:val="24"/>
          <w:szCs w:val="24"/>
        </w:rPr>
        <w:t xml:space="preserve"> a charge</w:t>
      </w:r>
      <w:r>
        <w:rPr>
          <w:rFonts w:asciiTheme="majorBidi" w:hAnsiTheme="majorBidi" w:cstheme="majorBidi"/>
          <w:sz w:val="24"/>
          <w:szCs w:val="24"/>
        </w:rPr>
        <w:t xml:space="preserve"> can only</w:t>
      </w:r>
      <w:r w:rsidR="00A40749">
        <w:rPr>
          <w:rFonts w:asciiTheme="majorBidi" w:hAnsiTheme="majorBidi" w:cstheme="majorBidi"/>
          <w:sz w:val="24"/>
          <w:szCs w:val="24"/>
        </w:rPr>
        <w:t xml:space="preserve"> relate to services rendered on the basis of </w:t>
      </w:r>
      <w:r>
        <w:rPr>
          <w:rFonts w:asciiTheme="majorBidi" w:hAnsiTheme="majorBidi" w:cstheme="majorBidi"/>
          <w:sz w:val="24"/>
          <w:szCs w:val="24"/>
        </w:rPr>
        <w:t xml:space="preserve">a </w:t>
      </w:r>
      <w:r w:rsidR="00A40749">
        <w:rPr>
          <w:rFonts w:asciiTheme="majorBidi" w:hAnsiTheme="majorBidi" w:cstheme="majorBidi"/>
          <w:sz w:val="24"/>
          <w:szCs w:val="24"/>
        </w:rPr>
        <w:t>payment which was not fully made or</w:t>
      </w:r>
      <w:r>
        <w:rPr>
          <w:rFonts w:asciiTheme="majorBidi" w:hAnsiTheme="majorBidi" w:cstheme="majorBidi"/>
          <w:sz w:val="24"/>
          <w:szCs w:val="24"/>
        </w:rPr>
        <w:t xml:space="preserve"> paid</w:t>
      </w:r>
      <w:r w:rsidR="00A40749">
        <w:rPr>
          <w:rFonts w:asciiTheme="majorBidi" w:hAnsiTheme="majorBidi" w:cstheme="majorBidi"/>
          <w:sz w:val="24"/>
          <w:szCs w:val="24"/>
        </w:rPr>
        <w:t xml:space="preserve"> at all. In</w:t>
      </w:r>
      <w:r>
        <w:rPr>
          <w:rFonts w:asciiTheme="majorBidi" w:hAnsiTheme="majorBidi" w:cstheme="majorBidi"/>
          <w:sz w:val="24"/>
          <w:szCs w:val="24"/>
        </w:rPr>
        <w:t xml:space="preserve"> the</w:t>
      </w:r>
      <w:r w:rsidR="00A40749">
        <w:rPr>
          <w:rFonts w:asciiTheme="majorBidi" w:hAnsiTheme="majorBidi" w:cstheme="majorBidi"/>
          <w:sz w:val="24"/>
          <w:szCs w:val="24"/>
        </w:rPr>
        <w:t xml:space="preserve"> German-type </w:t>
      </w:r>
      <w:r w:rsidR="00BA7959">
        <w:rPr>
          <w:rFonts w:asciiTheme="majorBidi" w:hAnsiTheme="majorBidi" w:cstheme="majorBidi"/>
          <w:sz w:val="24"/>
          <w:szCs w:val="24"/>
        </w:rPr>
        <w:t>case</w:t>
      </w:r>
      <w:r>
        <w:rPr>
          <w:rFonts w:asciiTheme="majorBidi" w:hAnsiTheme="majorBidi" w:cstheme="majorBidi"/>
          <w:sz w:val="24"/>
          <w:szCs w:val="24"/>
        </w:rPr>
        <w:t>, however, the complaint was not</w:t>
      </w:r>
      <w:r w:rsidR="00A40749">
        <w:rPr>
          <w:rFonts w:asciiTheme="majorBidi" w:hAnsiTheme="majorBidi" w:cstheme="majorBidi"/>
          <w:sz w:val="24"/>
          <w:szCs w:val="24"/>
        </w:rPr>
        <w:t xml:space="preserve"> that a transplant surgeon dishonestly obtained transplant services</w:t>
      </w:r>
      <w:r>
        <w:rPr>
          <w:rFonts w:asciiTheme="majorBidi" w:hAnsiTheme="majorBidi" w:cstheme="majorBidi"/>
          <w:sz w:val="24"/>
          <w:szCs w:val="24"/>
        </w:rPr>
        <w:t xml:space="preserve"> or resources</w:t>
      </w:r>
      <w:r w:rsidR="00027E71">
        <w:rPr>
          <w:rFonts w:asciiTheme="majorBidi" w:hAnsiTheme="majorBidi" w:cstheme="majorBidi"/>
          <w:sz w:val="24"/>
          <w:szCs w:val="24"/>
        </w:rPr>
        <w:t xml:space="preserve"> for his patients</w:t>
      </w:r>
      <w:r w:rsidR="00A40749">
        <w:rPr>
          <w:rFonts w:asciiTheme="majorBidi" w:hAnsiTheme="majorBidi" w:cstheme="majorBidi"/>
          <w:sz w:val="24"/>
          <w:szCs w:val="24"/>
        </w:rPr>
        <w:t xml:space="preserve"> without payment</w:t>
      </w:r>
      <w:r w:rsidR="00027E71">
        <w:rPr>
          <w:rFonts w:asciiTheme="majorBidi" w:hAnsiTheme="majorBidi" w:cstheme="majorBidi"/>
          <w:sz w:val="24"/>
          <w:szCs w:val="24"/>
        </w:rPr>
        <w:t>; rather, the complaint was that the transplant surgeon bypassed patients who had</w:t>
      </w:r>
      <w:r w:rsidR="00A40749">
        <w:rPr>
          <w:rFonts w:asciiTheme="majorBidi" w:hAnsiTheme="majorBidi" w:cstheme="majorBidi"/>
          <w:sz w:val="24"/>
          <w:szCs w:val="24"/>
        </w:rPr>
        <w:t xml:space="preserve"> priority on the waiting lis</w:t>
      </w:r>
      <w:r w:rsidR="00027E71">
        <w:rPr>
          <w:rFonts w:asciiTheme="majorBidi" w:hAnsiTheme="majorBidi" w:cstheme="majorBidi"/>
          <w:sz w:val="24"/>
          <w:szCs w:val="24"/>
        </w:rPr>
        <w:t>t</w:t>
      </w:r>
      <w:r w:rsidR="00A40749">
        <w:rPr>
          <w:rFonts w:asciiTheme="majorBidi" w:hAnsiTheme="majorBidi" w:cstheme="majorBidi"/>
          <w:sz w:val="24"/>
          <w:szCs w:val="24"/>
        </w:rPr>
        <w:t>.</w:t>
      </w:r>
      <w:r w:rsidR="00027E71">
        <w:rPr>
          <w:rFonts w:asciiTheme="majorBidi" w:hAnsiTheme="majorBidi" w:cstheme="majorBidi"/>
          <w:sz w:val="24"/>
          <w:szCs w:val="24"/>
        </w:rPr>
        <w:t xml:space="preserve"> </w:t>
      </w:r>
      <w:r w:rsidR="00BA7959">
        <w:rPr>
          <w:rFonts w:asciiTheme="majorBidi" w:hAnsiTheme="majorBidi" w:cstheme="majorBidi"/>
          <w:sz w:val="24"/>
          <w:szCs w:val="24"/>
        </w:rPr>
        <w:t>Therefore</w:t>
      </w:r>
      <w:r w:rsidR="00027E71">
        <w:rPr>
          <w:rFonts w:asciiTheme="majorBidi" w:hAnsiTheme="majorBidi" w:cstheme="majorBidi"/>
          <w:sz w:val="24"/>
          <w:szCs w:val="24"/>
        </w:rPr>
        <w:t>, a section 11 charge might fail.</w:t>
      </w:r>
      <w:r w:rsidR="00A40749">
        <w:rPr>
          <w:rFonts w:asciiTheme="majorBidi" w:hAnsiTheme="majorBidi" w:cstheme="majorBidi"/>
          <w:sz w:val="24"/>
          <w:szCs w:val="24"/>
        </w:rPr>
        <w:t xml:space="preserve"> </w:t>
      </w:r>
      <w:r w:rsidR="00EB1DF5">
        <w:rPr>
          <w:rFonts w:asciiTheme="majorBidi" w:hAnsiTheme="majorBidi" w:cstheme="majorBidi"/>
          <w:sz w:val="24"/>
          <w:szCs w:val="24"/>
        </w:rPr>
        <w:t>More generally, the</w:t>
      </w:r>
      <w:r w:rsidR="00A40749">
        <w:rPr>
          <w:rFonts w:asciiTheme="majorBidi" w:hAnsiTheme="majorBidi" w:cstheme="majorBidi"/>
          <w:sz w:val="24"/>
          <w:szCs w:val="24"/>
        </w:rPr>
        <w:t xml:space="preserve"> focus</w:t>
      </w:r>
      <w:r w:rsidR="00EB1DF5">
        <w:rPr>
          <w:rFonts w:asciiTheme="majorBidi" w:hAnsiTheme="majorBidi" w:cstheme="majorBidi"/>
          <w:sz w:val="24"/>
          <w:szCs w:val="24"/>
        </w:rPr>
        <w:t xml:space="preserve"> of fraud</w:t>
      </w:r>
      <w:r w:rsidR="00A40749">
        <w:rPr>
          <w:rFonts w:asciiTheme="majorBidi" w:hAnsiTheme="majorBidi" w:cstheme="majorBidi"/>
          <w:sz w:val="24"/>
          <w:szCs w:val="24"/>
        </w:rPr>
        <w:t xml:space="preserve"> on the economic interests of others</w:t>
      </w:r>
      <w:r w:rsidR="00EB1DF5">
        <w:rPr>
          <w:rFonts w:asciiTheme="majorBidi" w:hAnsiTheme="majorBidi" w:cstheme="majorBidi"/>
          <w:sz w:val="24"/>
          <w:szCs w:val="24"/>
        </w:rPr>
        <w:t xml:space="preserve"> means that it</w:t>
      </w:r>
      <w:r w:rsidR="00487C88">
        <w:rPr>
          <w:rFonts w:asciiTheme="majorBidi" w:hAnsiTheme="majorBidi" w:cstheme="majorBidi"/>
          <w:sz w:val="24"/>
          <w:szCs w:val="24"/>
        </w:rPr>
        <w:t xml:space="preserve"> is</w:t>
      </w:r>
      <w:r w:rsidR="00EB1DF5">
        <w:rPr>
          <w:rFonts w:asciiTheme="majorBidi" w:hAnsiTheme="majorBidi" w:cstheme="majorBidi"/>
          <w:sz w:val="24"/>
          <w:szCs w:val="24"/>
        </w:rPr>
        <w:t xml:space="preserve"> inapt </w:t>
      </w:r>
      <w:r w:rsidR="00A40749">
        <w:rPr>
          <w:rFonts w:asciiTheme="majorBidi" w:hAnsiTheme="majorBidi" w:cstheme="majorBidi"/>
          <w:sz w:val="24"/>
          <w:szCs w:val="24"/>
        </w:rPr>
        <w:t>for a German-type scanda</w:t>
      </w:r>
      <w:r w:rsidR="007165D4">
        <w:rPr>
          <w:rFonts w:asciiTheme="majorBidi" w:hAnsiTheme="majorBidi" w:cstheme="majorBidi"/>
          <w:sz w:val="24"/>
          <w:szCs w:val="24"/>
        </w:rPr>
        <w:t>l.</w:t>
      </w:r>
      <w:r w:rsidR="00A40749">
        <w:rPr>
          <w:rStyle w:val="FootnoteReference"/>
          <w:rFonts w:asciiTheme="majorBidi" w:hAnsiTheme="majorBidi" w:cstheme="majorBidi"/>
          <w:sz w:val="24"/>
          <w:szCs w:val="24"/>
        </w:rPr>
        <w:footnoteReference w:id="120"/>
      </w:r>
      <w:r w:rsidR="00A40749">
        <w:rPr>
          <w:rFonts w:asciiTheme="majorBidi" w:hAnsiTheme="majorBidi" w:cstheme="majorBidi"/>
          <w:sz w:val="24"/>
          <w:szCs w:val="24"/>
        </w:rPr>
        <w:t xml:space="preserve"> </w:t>
      </w:r>
      <w:r w:rsidR="007165D4">
        <w:rPr>
          <w:rFonts w:asciiTheme="majorBidi" w:hAnsiTheme="majorBidi" w:cstheme="majorBidi"/>
          <w:sz w:val="24"/>
          <w:szCs w:val="24"/>
        </w:rPr>
        <w:t xml:space="preserve">Unethical or unlawful </w:t>
      </w:r>
      <w:r w:rsidR="00A40749">
        <w:rPr>
          <w:rFonts w:asciiTheme="majorBidi" w:hAnsiTheme="majorBidi" w:cstheme="majorBidi"/>
          <w:sz w:val="24"/>
          <w:szCs w:val="24"/>
        </w:rPr>
        <w:t xml:space="preserve">manipulation of </w:t>
      </w:r>
      <w:r w:rsidR="00574226">
        <w:rPr>
          <w:rFonts w:asciiTheme="majorBidi" w:hAnsiTheme="majorBidi" w:cstheme="majorBidi"/>
          <w:sz w:val="24"/>
          <w:szCs w:val="24"/>
        </w:rPr>
        <w:t>a transplant</w:t>
      </w:r>
      <w:r w:rsidR="00A40749">
        <w:rPr>
          <w:rFonts w:asciiTheme="majorBidi" w:hAnsiTheme="majorBidi" w:cstheme="majorBidi"/>
          <w:sz w:val="24"/>
          <w:szCs w:val="24"/>
        </w:rPr>
        <w:t xml:space="preserve"> waiting list,</w:t>
      </w:r>
      <w:r w:rsidR="008D568F">
        <w:rPr>
          <w:rFonts w:asciiTheme="majorBidi" w:hAnsiTheme="majorBidi" w:cstheme="majorBidi"/>
          <w:sz w:val="24"/>
          <w:szCs w:val="24"/>
        </w:rPr>
        <w:t xml:space="preserve"> as in the German scandal, does not directly</w:t>
      </w:r>
      <w:r w:rsidR="00A40749">
        <w:rPr>
          <w:rFonts w:asciiTheme="majorBidi" w:hAnsiTheme="majorBidi" w:cstheme="majorBidi"/>
          <w:sz w:val="24"/>
          <w:szCs w:val="24"/>
        </w:rPr>
        <w:t xml:space="preserve"> impair the economic interests of the victims</w:t>
      </w:r>
      <w:r w:rsidR="008D568F">
        <w:rPr>
          <w:rFonts w:asciiTheme="majorBidi" w:hAnsiTheme="majorBidi" w:cstheme="majorBidi"/>
          <w:sz w:val="24"/>
          <w:szCs w:val="24"/>
        </w:rPr>
        <w:t xml:space="preserve"> because</w:t>
      </w:r>
      <w:r w:rsidR="00A40749">
        <w:rPr>
          <w:rFonts w:asciiTheme="majorBidi" w:hAnsiTheme="majorBidi" w:cstheme="majorBidi"/>
          <w:sz w:val="24"/>
          <w:szCs w:val="24"/>
        </w:rPr>
        <w:t xml:space="preserve"> their interest is purely therapeutic</w:t>
      </w:r>
      <w:r w:rsidR="008D568F">
        <w:rPr>
          <w:rFonts w:asciiTheme="majorBidi" w:hAnsiTheme="majorBidi" w:cstheme="majorBidi"/>
          <w:sz w:val="24"/>
          <w:szCs w:val="24"/>
        </w:rPr>
        <w:t>;</w:t>
      </w:r>
      <w:r w:rsidR="00A40749">
        <w:rPr>
          <w:rFonts w:asciiTheme="majorBidi" w:hAnsiTheme="majorBidi" w:cstheme="majorBidi"/>
          <w:sz w:val="24"/>
          <w:szCs w:val="24"/>
        </w:rPr>
        <w:t xml:space="preserve"> nor</w:t>
      </w:r>
      <w:r w:rsidR="008D568F">
        <w:rPr>
          <w:rFonts w:asciiTheme="majorBidi" w:hAnsiTheme="majorBidi" w:cstheme="majorBidi"/>
          <w:sz w:val="24"/>
          <w:szCs w:val="24"/>
        </w:rPr>
        <w:t xml:space="preserve"> does it impair</w:t>
      </w:r>
      <w:r w:rsidR="00A40749">
        <w:rPr>
          <w:rFonts w:asciiTheme="majorBidi" w:hAnsiTheme="majorBidi" w:cstheme="majorBidi"/>
          <w:sz w:val="24"/>
          <w:szCs w:val="24"/>
        </w:rPr>
        <w:t xml:space="preserve"> the economic interest of Eurotransplant</w:t>
      </w:r>
      <w:r w:rsidR="00574226">
        <w:rPr>
          <w:rFonts w:asciiTheme="majorBidi" w:hAnsiTheme="majorBidi" w:cstheme="majorBidi"/>
          <w:sz w:val="24"/>
          <w:szCs w:val="24"/>
        </w:rPr>
        <w:t>,</w:t>
      </w:r>
      <w:r w:rsidR="008D568F">
        <w:rPr>
          <w:rFonts w:asciiTheme="majorBidi" w:hAnsiTheme="majorBidi" w:cstheme="majorBidi"/>
          <w:sz w:val="24"/>
          <w:szCs w:val="24"/>
        </w:rPr>
        <w:t xml:space="preserve"> because Eurotransplant’s primary interest</w:t>
      </w:r>
      <w:r w:rsidR="00A40749">
        <w:rPr>
          <w:rFonts w:asciiTheme="majorBidi" w:hAnsiTheme="majorBidi" w:cstheme="majorBidi"/>
          <w:sz w:val="24"/>
          <w:szCs w:val="24"/>
        </w:rPr>
        <w:t xml:space="preserve"> is</w:t>
      </w:r>
      <w:r w:rsidR="008D568F">
        <w:rPr>
          <w:rFonts w:asciiTheme="majorBidi" w:hAnsiTheme="majorBidi" w:cstheme="majorBidi"/>
          <w:sz w:val="24"/>
          <w:szCs w:val="24"/>
        </w:rPr>
        <w:t xml:space="preserve"> in</w:t>
      </w:r>
      <w:r w:rsidR="00A40749">
        <w:rPr>
          <w:rFonts w:asciiTheme="majorBidi" w:hAnsiTheme="majorBidi" w:cstheme="majorBidi"/>
          <w:sz w:val="24"/>
          <w:szCs w:val="24"/>
        </w:rPr>
        <w:t xml:space="preserve"> maintaining the integrity of the waiting list and</w:t>
      </w:r>
      <w:r w:rsidR="008D568F">
        <w:rPr>
          <w:rFonts w:asciiTheme="majorBidi" w:hAnsiTheme="majorBidi" w:cstheme="majorBidi"/>
          <w:sz w:val="24"/>
          <w:szCs w:val="24"/>
        </w:rPr>
        <w:t xml:space="preserve"> the</w:t>
      </w:r>
      <w:r w:rsidR="00A40749">
        <w:rPr>
          <w:rFonts w:asciiTheme="majorBidi" w:hAnsiTheme="majorBidi" w:cstheme="majorBidi"/>
          <w:sz w:val="24"/>
          <w:szCs w:val="24"/>
        </w:rPr>
        <w:t xml:space="preserve"> ethics of organ transplantation</w:t>
      </w:r>
      <w:r w:rsidR="008D568F">
        <w:rPr>
          <w:rFonts w:asciiTheme="majorBidi" w:hAnsiTheme="majorBidi" w:cstheme="majorBidi"/>
          <w:sz w:val="24"/>
          <w:szCs w:val="24"/>
        </w:rPr>
        <w:t>; thus, Eurotransplant’s interest is n</w:t>
      </w:r>
      <w:r w:rsidR="0010772E">
        <w:rPr>
          <w:rFonts w:asciiTheme="majorBidi" w:hAnsiTheme="majorBidi" w:cstheme="majorBidi"/>
          <w:sz w:val="24"/>
          <w:szCs w:val="24"/>
        </w:rPr>
        <w:t xml:space="preserve">ot </w:t>
      </w:r>
      <w:r w:rsidR="008D568F">
        <w:rPr>
          <w:rFonts w:asciiTheme="majorBidi" w:hAnsiTheme="majorBidi" w:cstheme="majorBidi"/>
          <w:sz w:val="24"/>
          <w:szCs w:val="24"/>
        </w:rPr>
        <w:t>economic. Furthermore,</w:t>
      </w:r>
      <w:r w:rsidR="00A40749">
        <w:rPr>
          <w:rFonts w:asciiTheme="majorBidi" w:hAnsiTheme="majorBidi" w:cstheme="majorBidi"/>
          <w:sz w:val="24"/>
          <w:szCs w:val="24"/>
        </w:rPr>
        <w:t xml:space="preserve"> a German-type scandal</w:t>
      </w:r>
      <w:r w:rsidR="008D568F">
        <w:rPr>
          <w:rFonts w:asciiTheme="majorBidi" w:hAnsiTheme="majorBidi" w:cstheme="majorBidi"/>
          <w:sz w:val="24"/>
          <w:szCs w:val="24"/>
        </w:rPr>
        <w:t xml:space="preserve"> might not be successfully prosecuted</w:t>
      </w:r>
      <w:r w:rsidR="00A40749">
        <w:rPr>
          <w:rFonts w:asciiTheme="majorBidi" w:hAnsiTheme="majorBidi" w:cstheme="majorBidi"/>
          <w:sz w:val="24"/>
          <w:szCs w:val="24"/>
        </w:rPr>
        <w:t xml:space="preserve"> under s</w:t>
      </w:r>
      <w:r w:rsidR="008D568F">
        <w:rPr>
          <w:rFonts w:asciiTheme="majorBidi" w:hAnsiTheme="majorBidi" w:cstheme="majorBidi"/>
          <w:sz w:val="24"/>
          <w:szCs w:val="24"/>
        </w:rPr>
        <w:t xml:space="preserve">ection </w:t>
      </w:r>
      <w:r w:rsidR="00A40749">
        <w:rPr>
          <w:rFonts w:asciiTheme="majorBidi" w:hAnsiTheme="majorBidi" w:cstheme="majorBidi"/>
          <w:sz w:val="24"/>
          <w:szCs w:val="24"/>
        </w:rPr>
        <w:t>5 of the Human Tissue Act 2004</w:t>
      </w:r>
      <w:r w:rsidR="008D568F">
        <w:rPr>
          <w:rFonts w:asciiTheme="majorBidi" w:hAnsiTheme="majorBidi" w:cstheme="majorBidi"/>
          <w:sz w:val="24"/>
          <w:szCs w:val="24"/>
        </w:rPr>
        <w:t xml:space="preserve"> which</w:t>
      </w:r>
      <w:r w:rsidR="00A40749">
        <w:rPr>
          <w:rFonts w:asciiTheme="majorBidi" w:hAnsiTheme="majorBidi" w:cstheme="majorBidi"/>
          <w:sz w:val="24"/>
          <w:szCs w:val="24"/>
        </w:rPr>
        <w:t xml:space="preserve"> criminalises non-consensual removal, storage or use of bod</w:t>
      </w:r>
      <w:r w:rsidR="00405BDB">
        <w:rPr>
          <w:rFonts w:asciiTheme="majorBidi" w:hAnsiTheme="majorBidi" w:cstheme="majorBidi"/>
          <w:sz w:val="24"/>
          <w:szCs w:val="24"/>
        </w:rPr>
        <w:t>il</w:t>
      </w:r>
      <w:r w:rsidR="00A40749">
        <w:rPr>
          <w:rFonts w:asciiTheme="majorBidi" w:hAnsiTheme="majorBidi" w:cstheme="majorBidi"/>
          <w:sz w:val="24"/>
          <w:szCs w:val="24"/>
        </w:rPr>
        <w:t>y parts</w:t>
      </w:r>
      <w:r w:rsidR="00405BDB">
        <w:rPr>
          <w:rFonts w:asciiTheme="majorBidi" w:hAnsiTheme="majorBidi" w:cstheme="majorBidi"/>
          <w:sz w:val="24"/>
          <w:szCs w:val="24"/>
        </w:rPr>
        <w:t>; this is because</w:t>
      </w:r>
      <w:r w:rsidR="00A40749">
        <w:rPr>
          <w:rFonts w:asciiTheme="majorBidi" w:hAnsiTheme="majorBidi" w:cstheme="majorBidi"/>
          <w:sz w:val="24"/>
          <w:szCs w:val="24"/>
        </w:rPr>
        <w:t xml:space="preserve"> the sting of the scandal</w:t>
      </w:r>
      <w:r w:rsidR="00405BDB">
        <w:rPr>
          <w:rFonts w:asciiTheme="majorBidi" w:hAnsiTheme="majorBidi" w:cstheme="majorBidi"/>
          <w:sz w:val="24"/>
          <w:szCs w:val="24"/>
        </w:rPr>
        <w:t xml:space="preserve"> was</w:t>
      </w:r>
      <w:r w:rsidR="00A40749">
        <w:rPr>
          <w:rFonts w:asciiTheme="majorBidi" w:hAnsiTheme="majorBidi" w:cstheme="majorBidi"/>
          <w:sz w:val="24"/>
          <w:szCs w:val="24"/>
        </w:rPr>
        <w:t xml:space="preserve"> that a transplant surgeon skewed the standard scheme of organ allocation, not that he obtained</w:t>
      </w:r>
      <w:r w:rsidR="00405BDB">
        <w:rPr>
          <w:rFonts w:asciiTheme="majorBidi" w:hAnsiTheme="majorBidi" w:cstheme="majorBidi"/>
          <w:sz w:val="24"/>
          <w:szCs w:val="24"/>
        </w:rPr>
        <w:t xml:space="preserve"> and used transplantable</w:t>
      </w:r>
      <w:r w:rsidR="00A40749">
        <w:rPr>
          <w:rFonts w:asciiTheme="majorBidi" w:hAnsiTheme="majorBidi" w:cstheme="majorBidi"/>
          <w:sz w:val="24"/>
          <w:szCs w:val="24"/>
        </w:rPr>
        <w:t xml:space="preserve"> organs for his patients without appropriate consent.  </w:t>
      </w:r>
    </w:p>
    <w:p w:rsidR="00A40749" w:rsidRDefault="00A40749" w:rsidP="006F09FC">
      <w:pPr>
        <w:jc w:val="both"/>
        <w:rPr>
          <w:rFonts w:asciiTheme="majorBidi" w:hAnsiTheme="majorBidi" w:cstheme="majorBidi"/>
          <w:sz w:val="24"/>
          <w:szCs w:val="24"/>
        </w:rPr>
      </w:pPr>
    </w:p>
    <w:p w:rsidR="005A2977" w:rsidRPr="002E1277" w:rsidRDefault="005A2977" w:rsidP="002E1277">
      <w:pPr>
        <w:pStyle w:val="ListParagraph"/>
        <w:numPr>
          <w:ilvl w:val="0"/>
          <w:numId w:val="2"/>
        </w:numPr>
        <w:jc w:val="center"/>
        <w:rPr>
          <w:rFonts w:asciiTheme="majorBidi" w:hAnsiTheme="majorBidi" w:cstheme="majorBidi"/>
          <w:bCs/>
        </w:rPr>
      </w:pPr>
      <w:r w:rsidRPr="002E1277">
        <w:rPr>
          <w:rFonts w:asciiTheme="majorBidi" w:hAnsiTheme="majorBidi" w:cstheme="majorBidi"/>
          <w:bCs/>
        </w:rPr>
        <w:t>MOVING FORWARD</w:t>
      </w:r>
    </w:p>
    <w:p w:rsidR="002E1277" w:rsidRDefault="002E1277" w:rsidP="006F09FC">
      <w:pPr>
        <w:jc w:val="both"/>
        <w:rPr>
          <w:rFonts w:asciiTheme="majorBidi" w:hAnsiTheme="majorBidi" w:cstheme="majorBidi"/>
          <w:sz w:val="24"/>
          <w:szCs w:val="24"/>
        </w:rPr>
      </w:pPr>
    </w:p>
    <w:p w:rsidR="00460ACC" w:rsidRDefault="008426CD" w:rsidP="006F09FC">
      <w:pPr>
        <w:jc w:val="both"/>
        <w:rPr>
          <w:rFonts w:asciiTheme="majorBidi" w:hAnsiTheme="majorBidi" w:cstheme="majorBidi"/>
          <w:sz w:val="24"/>
          <w:szCs w:val="24"/>
        </w:rPr>
      </w:pPr>
      <w:r w:rsidRPr="008426CD">
        <w:rPr>
          <w:rFonts w:asciiTheme="majorBidi" w:hAnsiTheme="majorBidi" w:cstheme="majorBidi"/>
          <w:sz w:val="24"/>
          <w:szCs w:val="24"/>
        </w:rPr>
        <w:t>The</w:t>
      </w:r>
      <w:r>
        <w:rPr>
          <w:rFonts w:asciiTheme="majorBidi" w:hAnsiTheme="majorBidi" w:cstheme="majorBidi"/>
          <w:sz w:val="24"/>
          <w:szCs w:val="24"/>
        </w:rPr>
        <w:t xml:space="preserve"> challenges of criminal regulation of bodily parts above should invite the reconsideration of private law solution</w:t>
      </w:r>
      <w:r w:rsidR="000903BD">
        <w:rPr>
          <w:rFonts w:asciiTheme="majorBidi" w:hAnsiTheme="majorBidi" w:cstheme="majorBidi"/>
          <w:sz w:val="24"/>
          <w:szCs w:val="24"/>
        </w:rPr>
        <w:t>s</w:t>
      </w:r>
      <w:r>
        <w:rPr>
          <w:rFonts w:asciiTheme="majorBidi" w:hAnsiTheme="majorBidi" w:cstheme="majorBidi"/>
          <w:sz w:val="24"/>
          <w:szCs w:val="24"/>
        </w:rPr>
        <w:t>. On utilitarian grounds, as seen above, criminal law has always been reluctant to intervene</w:t>
      </w:r>
      <w:r w:rsidR="00E07166">
        <w:rPr>
          <w:rFonts w:asciiTheme="majorBidi" w:hAnsiTheme="majorBidi" w:cstheme="majorBidi"/>
          <w:sz w:val="24"/>
          <w:szCs w:val="24"/>
        </w:rPr>
        <w:t xml:space="preserve"> in the biomedical utilisations of bodily parts. If the German organ prosecution was meant as a test case f</w:t>
      </w:r>
      <w:r w:rsidR="00BD4A21">
        <w:rPr>
          <w:rFonts w:asciiTheme="majorBidi" w:hAnsiTheme="majorBidi" w:cstheme="majorBidi"/>
          <w:sz w:val="24"/>
          <w:szCs w:val="24"/>
        </w:rPr>
        <w:t>or</w:t>
      </w:r>
      <w:r w:rsidR="00E07166">
        <w:rPr>
          <w:rFonts w:asciiTheme="majorBidi" w:hAnsiTheme="majorBidi" w:cstheme="majorBidi"/>
          <w:sz w:val="24"/>
          <w:szCs w:val="24"/>
        </w:rPr>
        <w:t xml:space="preserve"> the propriety of criminal regulation of bodily parts,</w:t>
      </w:r>
      <w:r w:rsidR="00BD4A21">
        <w:rPr>
          <w:rFonts w:asciiTheme="majorBidi" w:hAnsiTheme="majorBidi" w:cstheme="majorBidi"/>
          <w:sz w:val="24"/>
          <w:szCs w:val="24"/>
        </w:rPr>
        <w:t xml:space="preserve"> then</w:t>
      </w:r>
      <w:r w:rsidR="00E07166">
        <w:rPr>
          <w:rFonts w:asciiTheme="majorBidi" w:hAnsiTheme="majorBidi" w:cstheme="majorBidi"/>
          <w:sz w:val="24"/>
          <w:szCs w:val="24"/>
        </w:rPr>
        <w:t xml:space="preserve"> the result so far has not been encouraging. It could also be that the criminal approach in the German scandal reflects some dissatisfaction with the current non-proprietary remedies applied to organs.</w:t>
      </w:r>
      <w:r w:rsidR="00E205DB">
        <w:rPr>
          <w:rFonts w:asciiTheme="majorBidi" w:hAnsiTheme="majorBidi" w:cstheme="majorBidi"/>
          <w:sz w:val="24"/>
          <w:szCs w:val="24"/>
        </w:rPr>
        <w:t xml:space="preserve"> Interestingly, no property-related charge was included in the German prosecution.</w:t>
      </w:r>
      <w:r w:rsidR="00E07166">
        <w:rPr>
          <w:rFonts w:asciiTheme="majorBidi" w:hAnsiTheme="majorBidi" w:cstheme="majorBidi"/>
          <w:sz w:val="24"/>
          <w:szCs w:val="24"/>
        </w:rPr>
        <w:t xml:space="preserve"> Absent proprietary remedies, the German authorities might have considered that there was little prospect of success with a civil claim, and this might have encouraged the criminal route.</w:t>
      </w:r>
      <w:r w:rsidR="00D11D3F">
        <w:rPr>
          <w:rFonts w:asciiTheme="majorBidi" w:hAnsiTheme="majorBidi" w:cstheme="majorBidi"/>
          <w:sz w:val="24"/>
          <w:szCs w:val="24"/>
        </w:rPr>
        <w:t xml:space="preserve"> I suggest that a private law approach, undergirded with duplex thinking on bodily parts, might be helpful in redressing most </w:t>
      </w:r>
      <w:r w:rsidR="00AD1857">
        <w:rPr>
          <w:rFonts w:asciiTheme="majorBidi" w:hAnsiTheme="majorBidi" w:cstheme="majorBidi"/>
          <w:sz w:val="24"/>
          <w:szCs w:val="24"/>
        </w:rPr>
        <w:t>claims</w:t>
      </w:r>
      <w:r w:rsidR="00D11D3F">
        <w:rPr>
          <w:rFonts w:asciiTheme="majorBidi" w:hAnsiTheme="majorBidi" w:cstheme="majorBidi"/>
          <w:sz w:val="24"/>
          <w:szCs w:val="24"/>
        </w:rPr>
        <w:t xml:space="preserve"> involving unauthorised dealings with bodily parts; a duplex thinking on bodily parts would help in their conceptualisation as property</w:t>
      </w:r>
      <w:r w:rsidR="00AD1857">
        <w:rPr>
          <w:rFonts w:asciiTheme="majorBidi" w:hAnsiTheme="majorBidi" w:cstheme="majorBidi"/>
          <w:sz w:val="24"/>
          <w:szCs w:val="24"/>
        </w:rPr>
        <w:t>,</w:t>
      </w:r>
      <w:r w:rsidR="00D11D3F">
        <w:rPr>
          <w:rFonts w:asciiTheme="majorBidi" w:hAnsiTheme="majorBidi" w:cstheme="majorBidi"/>
          <w:sz w:val="24"/>
          <w:szCs w:val="24"/>
        </w:rPr>
        <w:t xml:space="preserve"> and would promote a mix of proprietary and non-proprietary remedies in litigations involving bodily parts.</w:t>
      </w:r>
    </w:p>
    <w:p w:rsidR="00AD1857" w:rsidRPr="008426CD" w:rsidRDefault="00AD1857" w:rsidP="006F09FC">
      <w:pPr>
        <w:jc w:val="both"/>
        <w:rPr>
          <w:rFonts w:asciiTheme="majorBidi" w:hAnsiTheme="majorBidi" w:cstheme="majorBidi"/>
          <w:sz w:val="24"/>
          <w:szCs w:val="24"/>
        </w:rPr>
      </w:pPr>
    </w:p>
    <w:p w:rsidR="00BB7E21" w:rsidRPr="00406679" w:rsidRDefault="00A96F44" w:rsidP="00406679">
      <w:pPr>
        <w:jc w:val="center"/>
        <w:rPr>
          <w:rFonts w:asciiTheme="majorBidi" w:hAnsiTheme="majorBidi" w:cstheme="majorBidi"/>
          <w:bCs/>
          <w:i/>
          <w:sz w:val="24"/>
          <w:szCs w:val="24"/>
        </w:rPr>
      </w:pPr>
      <w:r w:rsidRPr="00406679">
        <w:rPr>
          <w:rFonts w:asciiTheme="majorBidi" w:hAnsiTheme="majorBidi" w:cstheme="majorBidi"/>
          <w:bCs/>
          <w:i/>
          <w:sz w:val="24"/>
          <w:szCs w:val="24"/>
        </w:rPr>
        <w:t>Bod</w:t>
      </w:r>
      <w:r w:rsidR="00A35590" w:rsidRPr="00406679">
        <w:rPr>
          <w:rFonts w:asciiTheme="majorBidi" w:hAnsiTheme="majorBidi" w:cstheme="majorBidi"/>
          <w:bCs/>
          <w:i/>
          <w:sz w:val="24"/>
          <w:szCs w:val="24"/>
        </w:rPr>
        <w:t>il</w:t>
      </w:r>
      <w:r w:rsidRPr="00406679">
        <w:rPr>
          <w:rFonts w:asciiTheme="majorBidi" w:hAnsiTheme="majorBidi" w:cstheme="majorBidi"/>
          <w:bCs/>
          <w:i/>
          <w:sz w:val="24"/>
          <w:szCs w:val="24"/>
        </w:rPr>
        <w:t>y Parts</w:t>
      </w:r>
      <w:r w:rsidR="003B5B56" w:rsidRPr="00406679">
        <w:rPr>
          <w:rFonts w:asciiTheme="majorBidi" w:hAnsiTheme="majorBidi" w:cstheme="majorBidi"/>
          <w:bCs/>
          <w:i/>
          <w:sz w:val="24"/>
          <w:szCs w:val="24"/>
        </w:rPr>
        <w:t xml:space="preserve"> as a Duplex</w:t>
      </w:r>
    </w:p>
    <w:p w:rsidR="00B23361" w:rsidRDefault="00F4347E" w:rsidP="00D64220">
      <w:pPr>
        <w:jc w:val="both"/>
        <w:rPr>
          <w:rFonts w:asciiTheme="majorBidi" w:hAnsiTheme="majorBidi" w:cstheme="majorBidi"/>
          <w:sz w:val="24"/>
          <w:szCs w:val="24"/>
        </w:rPr>
      </w:pPr>
      <w:r>
        <w:rPr>
          <w:rFonts w:asciiTheme="majorBidi" w:hAnsiTheme="majorBidi" w:cstheme="majorBidi"/>
          <w:sz w:val="24"/>
          <w:szCs w:val="24"/>
        </w:rPr>
        <w:t>Kant</w:t>
      </w:r>
      <w:r w:rsidR="006913F3">
        <w:rPr>
          <w:rFonts w:asciiTheme="majorBidi" w:hAnsiTheme="majorBidi" w:cstheme="majorBidi"/>
          <w:sz w:val="24"/>
          <w:szCs w:val="24"/>
        </w:rPr>
        <w:t xml:space="preserve"> observed</w:t>
      </w:r>
      <w:r w:rsidR="00A96F44" w:rsidRPr="00A96F44">
        <w:rPr>
          <w:rFonts w:asciiTheme="majorBidi" w:hAnsiTheme="majorBidi" w:cstheme="majorBidi"/>
          <w:sz w:val="24"/>
          <w:szCs w:val="24"/>
        </w:rPr>
        <w:t xml:space="preserve"> </w:t>
      </w:r>
      <w:r w:rsidR="00A96F44">
        <w:rPr>
          <w:rFonts w:asciiTheme="majorBidi" w:hAnsiTheme="majorBidi" w:cstheme="majorBidi"/>
          <w:sz w:val="24"/>
          <w:szCs w:val="24"/>
        </w:rPr>
        <w:t xml:space="preserve">quite epigrammatically </w:t>
      </w:r>
      <w:r w:rsidR="006913F3">
        <w:rPr>
          <w:rFonts w:asciiTheme="majorBidi" w:hAnsiTheme="majorBidi" w:cstheme="majorBidi"/>
          <w:sz w:val="24"/>
          <w:szCs w:val="24"/>
        </w:rPr>
        <w:t>that ‘a person cannot be a property and so cannot be a thing which can be owned, for it is impossible to be a person and a thing, the proprietor and the property’</w:t>
      </w:r>
      <w:r w:rsidR="00A96F44">
        <w:rPr>
          <w:rFonts w:asciiTheme="majorBidi" w:hAnsiTheme="majorBidi" w:cstheme="majorBidi"/>
          <w:sz w:val="24"/>
          <w:szCs w:val="24"/>
        </w:rPr>
        <w:t>;</w:t>
      </w:r>
      <w:r w:rsidR="006913F3">
        <w:rPr>
          <w:rStyle w:val="FootnoteReference"/>
          <w:rFonts w:asciiTheme="majorBidi" w:hAnsiTheme="majorBidi" w:cstheme="majorBidi"/>
          <w:sz w:val="24"/>
          <w:szCs w:val="24"/>
        </w:rPr>
        <w:footnoteReference w:id="121"/>
      </w:r>
      <w:r w:rsidR="006913F3">
        <w:rPr>
          <w:rFonts w:asciiTheme="majorBidi" w:hAnsiTheme="majorBidi" w:cstheme="majorBidi"/>
          <w:sz w:val="24"/>
          <w:szCs w:val="24"/>
        </w:rPr>
        <w:t xml:space="preserve"> for that reason, ‘a human being is not entitled to sell his limbs for money, even if he were offered ten thousand thalers for a single finger’.</w:t>
      </w:r>
      <w:r w:rsidR="00075DA1">
        <w:rPr>
          <w:rStyle w:val="FootnoteReference"/>
          <w:rFonts w:asciiTheme="majorBidi" w:hAnsiTheme="majorBidi" w:cstheme="majorBidi"/>
          <w:sz w:val="24"/>
          <w:szCs w:val="24"/>
        </w:rPr>
        <w:footnoteReference w:id="122"/>
      </w:r>
      <w:r w:rsidR="00075DA1">
        <w:rPr>
          <w:rFonts w:asciiTheme="majorBidi" w:hAnsiTheme="majorBidi" w:cstheme="majorBidi"/>
          <w:sz w:val="24"/>
          <w:szCs w:val="24"/>
        </w:rPr>
        <w:t xml:space="preserve"> Kant, therefore,</w:t>
      </w:r>
      <w:r w:rsidR="00A96F44">
        <w:rPr>
          <w:rFonts w:asciiTheme="majorBidi" w:hAnsiTheme="majorBidi" w:cstheme="majorBidi"/>
          <w:sz w:val="24"/>
          <w:szCs w:val="24"/>
        </w:rPr>
        <w:t xml:space="preserve"> suggested that</w:t>
      </w:r>
      <w:r w:rsidR="00075DA1">
        <w:rPr>
          <w:rFonts w:asciiTheme="majorBidi" w:hAnsiTheme="majorBidi" w:cstheme="majorBidi"/>
          <w:sz w:val="24"/>
          <w:szCs w:val="24"/>
        </w:rPr>
        <w:t xml:space="preserve"> the incomparable worth of the human body and its parts consign</w:t>
      </w:r>
      <w:r w:rsidR="00A96F44">
        <w:rPr>
          <w:rFonts w:asciiTheme="majorBidi" w:hAnsiTheme="majorBidi" w:cstheme="majorBidi"/>
          <w:sz w:val="24"/>
          <w:szCs w:val="24"/>
        </w:rPr>
        <w:t>s</w:t>
      </w:r>
      <w:r w:rsidR="00075DA1">
        <w:rPr>
          <w:rFonts w:asciiTheme="majorBidi" w:hAnsiTheme="majorBidi" w:cstheme="majorBidi"/>
          <w:sz w:val="24"/>
          <w:szCs w:val="24"/>
        </w:rPr>
        <w:t xml:space="preserve"> them to the kingdom of ends rather than means</w:t>
      </w:r>
      <w:r w:rsidR="00F5698B">
        <w:rPr>
          <w:rFonts w:asciiTheme="majorBidi" w:hAnsiTheme="majorBidi" w:cstheme="majorBidi"/>
          <w:sz w:val="24"/>
          <w:szCs w:val="24"/>
        </w:rPr>
        <w:t>;</w:t>
      </w:r>
      <w:r w:rsidR="00075DA1">
        <w:rPr>
          <w:rStyle w:val="FootnoteReference"/>
          <w:rFonts w:asciiTheme="majorBidi" w:hAnsiTheme="majorBidi" w:cstheme="majorBidi"/>
          <w:sz w:val="24"/>
          <w:szCs w:val="24"/>
        </w:rPr>
        <w:footnoteReference w:id="123"/>
      </w:r>
      <w:r w:rsidR="00F5698B">
        <w:rPr>
          <w:rFonts w:asciiTheme="majorBidi" w:hAnsiTheme="majorBidi" w:cstheme="majorBidi"/>
          <w:sz w:val="24"/>
          <w:szCs w:val="24"/>
        </w:rPr>
        <w:t xml:space="preserve"> </w:t>
      </w:r>
      <w:r w:rsidR="00A96F44">
        <w:rPr>
          <w:rFonts w:asciiTheme="majorBidi" w:hAnsiTheme="majorBidi" w:cstheme="majorBidi"/>
          <w:sz w:val="24"/>
          <w:szCs w:val="24"/>
        </w:rPr>
        <w:t>thus, bod</w:t>
      </w:r>
      <w:r w:rsidR="00B814E3">
        <w:rPr>
          <w:rFonts w:asciiTheme="majorBidi" w:hAnsiTheme="majorBidi" w:cstheme="majorBidi"/>
          <w:sz w:val="24"/>
          <w:szCs w:val="24"/>
        </w:rPr>
        <w:t>il</w:t>
      </w:r>
      <w:r w:rsidR="00A96F44">
        <w:rPr>
          <w:rFonts w:asciiTheme="majorBidi" w:hAnsiTheme="majorBidi" w:cstheme="majorBidi"/>
          <w:sz w:val="24"/>
          <w:szCs w:val="24"/>
        </w:rPr>
        <w:t>y parts should be</w:t>
      </w:r>
      <w:r w:rsidR="00F5698B">
        <w:rPr>
          <w:rFonts w:asciiTheme="majorBidi" w:hAnsiTheme="majorBidi" w:cstheme="majorBidi"/>
          <w:sz w:val="24"/>
          <w:szCs w:val="24"/>
        </w:rPr>
        <w:t xml:space="preserve"> objects of veneration</w:t>
      </w:r>
      <w:r w:rsidR="007B5A45">
        <w:rPr>
          <w:rFonts w:asciiTheme="majorBidi" w:hAnsiTheme="majorBidi" w:cstheme="majorBidi"/>
          <w:sz w:val="24"/>
          <w:szCs w:val="24"/>
        </w:rPr>
        <w:t>,</w:t>
      </w:r>
      <w:r w:rsidR="00F5698B">
        <w:rPr>
          <w:rFonts w:asciiTheme="majorBidi" w:hAnsiTheme="majorBidi" w:cstheme="majorBidi"/>
          <w:sz w:val="24"/>
          <w:szCs w:val="24"/>
        </w:rPr>
        <w:t xml:space="preserve"> not for purchase</w:t>
      </w:r>
      <w:r w:rsidR="00B814E3">
        <w:rPr>
          <w:rFonts w:asciiTheme="majorBidi" w:hAnsiTheme="majorBidi" w:cstheme="majorBidi"/>
          <w:sz w:val="24"/>
          <w:szCs w:val="24"/>
        </w:rPr>
        <w:t>;</w:t>
      </w:r>
      <w:r w:rsidR="00A96F44">
        <w:rPr>
          <w:rFonts w:asciiTheme="majorBidi" w:hAnsiTheme="majorBidi" w:cstheme="majorBidi"/>
          <w:sz w:val="24"/>
          <w:szCs w:val="24"/>
        </w:rPr>
        <w:t xml:space="preserve"> they are</w:t>
      </w:r>
      <w:r w:rsidR="00F5698B">
        <w:rPr>
          <w:rFonts w:asciiTheme="majorBidi" w:hAnsiTheme="majorBidi" w:cstheme="majorBidi"/>
          <w:sz w:val="24"/>
          <w:szCs w:val="24"/>
        </w:rPr>
        <w:t xml:space="preserve"> imbued with dignity</w:t>
      </w:r>
      <w:r w:rsidR="00B814E3">
        <w:rPr>
          <w:rFonts w:asciiTheme="majorBidi" w:hAnsiTheme="majorBidi" w:cstheme="majorBidi"/>
          <w:sz w:val="24"/>
          <w:szCs w:val="24"/>
        </w:rPr>
        <w:t>, not</w:t>
      </w:r>
      <w:r w:rsidR="00F5698B">
        <w:rPr>
          <w:rFonts w:asciiTheme="majorBidi" w:hAnsiTheme="majorBidi" w:cstheme="majorBidi"/>
          <w:sz w:val="24"/>
          <w:szCs w:val="24"/>
        </w:rPr>
        <w:t xml:space="preserve"> propriety.</w:t>
      </w:r>
      <w:r w:rsidR="00F5698B">
        <w:rPr>
          <w:rStyle w:val="FootnoteReference"/>
          <w:rFonts w:asciiTheme="majorBidi" w:hAnsiTheme="majorBidi" w:cstheme="majorBidi"/>
          <w:sz w:val="24"/>
          <w:szCs w:val="24"/>
        </w:rPr>
        <w:footnoteReference w:id="124"/>
      </w:r>
      <w:r w:rsidR="0099485C">
        <w:rPr>
          <w:rFonts w:asciiTheme="majorBidi" w:hAnsiTheme="majorBidi" w:cstheme="majorBidi"/>
          <w:sz w:val="24"/>
          <w:szCs w:val="24"/>
        </w:rPr>
        <w:t xml:space="preserve"> A criticism of Kant, which abounds,</w:t>
      </w:r>
      <w:r w:rsidR="0099485C">
        <w:rPr>
          <w:rStyle w:val="FootnoteReference"/>
          <w:rFonts w:asciiTheme="majorBidi" w:hAnsiTheme="majorBidi" w:cstheme="majorBidi"/>
          <w:sz w:val="24"/>
          <w:szCs w:val="24"/>
        </w:rPr>
        <w:footnoteReference w:id="125"/>
      </w:r>
      <w:r w:rsidR="0099485C">
        <w:rPr>
          <w:rFonts w:asciiTheme="majorBidi" w:hAnsiTheme="majorBidi" w:cstheme="majorBidi"/>
          <w:sz w:val="24"/>
          <w:szCs w:val="24"/>
        </w:rPr>
        <w:t xml:space="preserve"> is not the burden of this piece</w:t>
      </w:r>
      <w:r w:rsidR="00A96F44">
        <w:rPr>
          <w:rFonts w:asciiTheme="majorBidi" w:hAnsiTheme="majorBidi" w:cstheme="majorBidi"/>
          <w:sz w:val="24"/>
          <w:szCs w:val="24"/>
        </w:rPr>
        <w:t>; however,</w:t>
      </w:r>
      <w:r w:rsidR="0099485C">
        <w:rPr>
          <w:rFonts w:asciiTheme="majorBidi" w:hAnsiTheme="majorBidi" w:cstheme="majorBidi"/>
          <w:sz w:val="24"/>
          <w:szCs w:val="24"/>
        </w:rPr>
        <w:t xml:space="preserve"> his epigram above basically denies</w:t>
      </w:r>
      <w:r w:rsidR="00961F0E">
        <w:rPr>
          <w:rFonts w:asciiTheme="majorBidi" w:hAnsiTheme="majorBidi" w:cstheme="majorBidi"/>
          <w:sz w:val="24"/>
          <w:szCs w:val="24"/>
        </w:rPr>
        <w:t xml:space="preserve"> the </w:t>
      </w:r>
      <w:r w:rsidR="00EF0E39">
        <w:rPr>
          <w:rFonts w:asciiTheme="majorBidi" w:hAnsiTheme="majorBidi" w:cstheme="majorBidi"/>
          <w:sz w:val="24"/>
          <w:szCs w:val="24"/>
        </w:rPr>
        <w:t>duplex</w:t>
      </w:r>
      <w:r w:rsidR="00B81414">
        <w:rPr>
          <w:rFonts w:asciiTheme="majorBidi" w:hAnsiTheme="majorBidi" w:cstheme="majorBidi"/>
          <w:sz w:val="24"/>
          <w:szCs w:val="24"/>
        </w:rPr>
        <w:t xml:space="preserve"> character of</w:t>
      </w:r>
      <w:r w:rsidR="00A96F44">
        <w:rPr>
          <w:rFonts w:asciiTheme="majorBidi" w:hAnsiTheme="majorBidi" w:cstheme="majorBidi"/>
          <w:sz w:val="24"/>
          <w:szCs w:val="24"/>
        </w:rPr>
        <w:t xml:space="preserve"> bod</w:t>
      </w:r>
      <w:r w:rsidR="00B814E3">
        <w:rPr>
          <w:rFonts w:asciiTheme="majorBidi" w:hAnsiTheme="majorBidi" w:cstheme="majorBidi"/>
          <w:sz w:val="24"/>
          <w:szCs w:val="24"/>
        </w:rPr>
        <w:t>il</w:t>
      </w:r>
      <w:r w:rsidR="00A96F44">
        <w:rPr>
          <w:rFonts w:asciiTheme="majorBidi" w:hAnsiTheme="majorBidi" w:cstheme="majorBidi"/>
          <w:sz w:val="24"/>
          <w:szCs w:val="24"/>
        </w:rPr>
        <w:t>y parts, that is,</w:t>
      </w:r>
      <w:r w:rsidR="00BF60E2">
        <w:rPr>
          <w:rFonts w:asciiTheme="majorBidi" w:hAnsiTheme="majorBidi" w:cstheme="majorBidi"/>
          <w:sz w:val="24"/>
          <w:szCs w:val="24"/>
        </w:rPr>
        <w:t xml:space="preserve"> </w:t>
      </w:r>
      <w:r w:rsidR="00A96F44">
        <w:rPr>
          <w:rFonts w:asciiTheme="majorBidi" w:hAnsiTheme="majorBidi" w:cstheme="majorBidi"/>
          <w:sz w:val="24"/>
          <w:szCs w:val="24"/>
        </w:rPr>
        <w:t>their</w:t>
      </w:r>
      <w:r w:rsidR="00BF60E2">
        <w:rPr>
          <w:rFonts w:asciiTheme="majorBidi" w:hAnsiTheme="majorBidi" w:cstheme="majorBidi"/>
          <w:sz w:val="24"/>
          <w:szCs w:val="24"/>
        </w:rPr>
        <w:t xml:space="preserve"> reflexivity and potential for simultaneous deployment in opposite directions</w:t>
      </w:r>
      <w:r w:rsidR="00B814E3">
        <w:rPr>
          <w:rFonts w:asciiTheme="majorBidi" w:hAnsiTheme="majorBidi" w:cstheme="majorBidi"/>
          <w:sz w:val="24"/>
          <w:szCs w:val="24"/>
        </w:rPr>
        <w:t>.</w:t>
      </w:r>
      <w:r w:rsidR="00E619D1">
        <w:rPr>
          <w:rFonts w:asciiTheme="majorBidi" w:hAnsiTheme="majorBidi" w:cstheme="majorBidi"/>
          <w:sz w:val="24"/>
          <w:szCs w:val="24"/>
        </w:rPr>
        <w:t xml:space="preserve"> I argue that this</w:t>
      </w:r>
      <w:r w:rsidR="0099485C">
        <w:rPr>
          <w:rFonts w:asciiTheme="majorBidi" w:hAnsiTheme="majorBidi" w:cstheme="majorBidi"/>
          <w:sz w:val="24"/>
          <w:szCs w:val="24"/>
        </w:rPr>
        <w:t xml:space="preserve"> duplex is the very essence of the praxis of</w:t>
      </w:r>
      <w:r w:rsidR="001F673A">
        <w:rPr>
          <w:rFonts w:asciiTheme="majorBidi" w:hAnsiTheme="majorBidi" w:cstheme="majorBidi"/>
          <w:sz w:val="24"/>
          <w:szCs w:val="24"/>
        </w:rPr>
        <w:t xml:space="preserve"> the</w:t>
      </w:r>
      <w:r w:rsidR="005064CC">
        <w:rPr>
          <w:rFonts w:asciiTheme="majorBidi" w:hAnsiTheme="majorBidi" w:cstheme="majorBidi"/>
          <w:sz w:val="24"/>
          <w:szCs w:val="24"/>
        </w:rPr>
        <w:t xml:space="preserve"> common law on bod</w:t>
      </w:r>
      <w:r w:rsidR="00B814E3">
        <w:rPr>
          <w:rFonts w:asciiTheme="majorBidi" w:hAnsiTheme="majorBidi" w:cstheme="majorBidi"/>
          <w:sz w:val="24"/>
          <w:szCs w:val="24"/>
        </w:rPr>
        <w:t>il</w:t>
      </w:r>
      <w:r w:rsidR="005064CC">
        <w:rPr>
          <w:rFonts w:asciiTheme="majorBidi" w:hAnsiTheme="majorBidi" w:cstheme="majorBidi"/>
          <w:sz w:val="24"/>
          <w:szCs w:val="24"/>
        </w:rPr>
        <w:t>y parts.</w:t>
      </w:r>
      <w:r w:rsidR="009222BF">
        <w:rPr>
          <w:rStyle w:val="FootnoteReference"/>
          <w:rFonts w:asciiTheme="majorBidi" w:hAnsiTheme="majorBidi" w:cstheme="majorBidi"/>
          <w:sz w:val="24"/>
          <w:szCs w:val="24"/>
        </w:rPr>
        <w:footnoteReference w:id="126"/>
      </w:r>
      <w:r w:rsidR="00E619D1">
        <w:rPr>
          <w:rFonts w:asciiTheme="majorBidi" w:hAnsiTheme="majorBidi" w:cstheme="majorBidi"/>
          <w:sz w:val="24"/>
          <w:szCs w:val="24"/>
        </w:rPr>
        <w:t>Notice</w:t>
      </w:r>
      <w:r w:rsidR="00110BE8">
        <w:rPr>
          <w:rFonts w:asciiTheme="majorBidi" w:hAnsiTheme="majorBidi" w:cstheme="majorBidi"/>
          <w:sz w:val="24"/>
          <w:szCs w:val="24"/>
        </w:rPr>
        <w:t xml:space="preserve">, however, that not every classical philosopher </w:t>
      </w:r>
      <w:r w:rsidR="00A232AA">
        <w:rPr>
          <w:rFonts w:asciiTheme="majorBidi" w:hAnsiTheme="majorBidi" w:cstheme="majorBidi"/>
          <w:sz w:val="24"/>
          <w:szCs w:val="24"/>
        </w:rPr>
        <w:t>accepted Kant’s unidirectional and non-paradoxical rendition of</w:t>
      </w:r>
      <w:r w:rsidR="00E619D1">
        <w:rPr>
          <w:rFonts w:asciiTheme="majorBidi" w:hAnsiTheme="majorBidi" w:cstheme="majorBidi"/>
          <w:sz w:val="24"/>
          <w:szCs w:val="24"/>
        </w:rPr>
        <w:t xml:space="preserve"> bod</w:t>
      </w:r>
      <w:r w:rsidR="00B814E3">
        <w:rPr>
          <w:rFonts w:asciiTheme="majorBidi" w:hAnsiTheme="majorBidi" w:cstheme="majorBidi"/>
          <w:sz w:val="24"/>
          <w:szCs w:val="24"/>
        </w:rPr>
        <w:t>il</w:t>
      </w:r>
      <w:r w:rsidR="00E619D1">
        <w:rPr>
          <w:rFonts w:asciiTheme="majorBidi" w:hAnsiTheme="majorBidi" w:cstheme="majorBidi"/>
          <w:sz w:val="24"/>
          <w:szCs w:val="24"/>
        </w:rPr>
        <w:t>y parts</w:t>
      </w:r>
      <w:r w:rsidR="00A232AA">
        <w:rPr>
          <w:rFonts w:asciiTheme="majorBidi" w:hAnsiTheme="majorBidi" w:cstheme="majorBidi"/>
          <w:sz w:val="24"/>
          <w:szCs w:val="24"/>
        </w:rPr>
        <w:t>.</w:t>
      </w:r>
      <w:r w:rsidR="00E619D1">
        <w:rPr>
          <w:rFonts w:asciiTheme="majorBidi" w:hAnsiTheme="majorBidi" w:cstheme="majorBidi"/>
          <w:sz w:val="24"/>
          <w:szCs w:val="24"/>
        </w:rPr>
        <w:t xml:space="preserve"> An example is</w:t>
      </w:r>
      <w:r w:rsidR="00A232AA">
        <w:rPr>
          <w:rFonts w:asciiTheme="majorBidi" w:hAnsiTheme="majorBidi" w:cstheme="majorBidi"/>
          <w:sz w:val="24"/>
          <w:szCs w:val="24"/>
        </w:rPr>
        <w:t xml:space="preserve"> Locke</w:t>
      </w:r>
      <w:r w:rsidR="00E619D1">
        <w:rPr>
          <w:rFonts w:asciiTheme="majorBidi" w:hAnsiTheme="majorBidi" w:cstheme="majorBidi"/>
          <w:sz w:val="24"/>
          <w:szCs w:val="24"/>
        </w:rPr>
        <w:t>’s famous self-ownership thesis; he</w:t>
      </w:r>
      <w:r w:rsidR="00A232AA">
        <w:rPr>
          <w:rFonts w:asciiTheme="majorBidi" w:hAnsiTheme="majorBidi" w:cstheme="majorBidi"/>
          <w:sz w:val="24"/>
          <w:szCs w:val="24"/>
        </w:rPr>
        <w:t xml:space="preserve"> opined that </w:t>
      </w:r>
      <w:r w:rsidR="00E619D1">
        <w:rPr>
          <w:rFonts w:asciiTheme="majorBidi" w:hAnsiTheme="majorBidi" w:cstheme="majorBidi"/>
          <w:sz w:val="24"/>
          <w:szCs w:val="24"/>
        </w:rPr>
        <w:t>every</w:t>
      </w:r>
      <w:r w:rsidR="00A232AA">
        <w:rPr>
          <w:rFonts w:asciiTheme="majorBidi" w:hAnsiTheme="majorBidi" w:cstheme="majorBidi"/>
          <w:sz w:val="24"/>
          <w:szCs w:val="24"/>
        </w:rPr>
        <w:t xml:space="preserve"> individual own</w:t>
      </w:r>
      <w:r w:rsidR="00943016">
        <w:rPr>
          <w:rFonts w:asciiTheme="majorBidi" w:hAnsiTheme="majorBidi" w:cstheme="majorBidi"/>
          <w:sz w:val="24"/>
          <w:szCs w:val="24"/>
        </w:rPr>
        <w:t>s</w:t>
      </w:r>
      <w:r w:rsidR="00A232AA">
        <w:rPr>
          <w:rFonts w:asciiTheme="majorBidi" w:hAnsiTheme="majorBidi" w:cstheme="majorBidi"/>
          <w:sz w:val="24"/>
          <w:szCs w:val="24"/>
        </w:rPr>
        <w:t xml:space="preserve"> him or herself </w:t>
      </w:r>
      <w:r w:rsidR="0041034B">
        <w:rPr>
          <w:rFonts w:asciiTheme="majorBidi" w:hAnsiTheme="majorBidi" w:cstheme="majorBidi"/>
          <w:sz w:val="24"/>
          <w:szCs w:val="24"/>
        </w:rPr>
        <w:t>and</w:t>
      </w:r>
      <w:r w:rsidR="00E619D1">
        <w:rPr>
          <w:rFonts w:asciiTheme="majorBidi" w:hAnsiTheme="majorBidi" w:cstheme="majorBidi"/>
          <w:sz w:val="24"/>
          <w:szCs w:val="24"/>
        </w:rPr>
        <w:t>, as a result, they own</w:t>
      </w:r>
      <w:r w:rsidR="00A232AA">
        <w:rPr>
          <w:rFonts w:asciiTheme="majorBidi" w:hAnsiTheme="majorBidi" w:cstheme="majorBidi"/>
          <w:sz w:val="24"/>
          <w:szCs w:val="24"/>
        </w:rPr>
        <w:t xml:space="preserve"> their labour and</w:t>
      </w:r>
      <w:r w:rsidR="00E619D1">
        <w:rPr>
          <w:rFonts w:asciiTheme="majorBidi" w:hAnsiTheme="majorBidi" w:cstheme="majorBidi"/>
          <w:sz w:val="24"/>
          <w:szCs w:val="24"/>
        </w:rPr>
        <w:t xml:space="preserve"> any</w:t>
      </w:r>
      <w:r w:rsidR="0041034B">
        <w:rPr>
          <w:rFonts w:asciiTheme="majorBidi" w:hAnsiTheme="majorBidi" w:cstheme="majorBidi"/>
          <w:sz w:val="24"/>
          <w:szCs w:val="24"/>
        </w:rPr>
        <w:t xml:space="preserve"> unowned thing over which they mixed</w:t>
      </w:r>
      <w:r w:rsidR="00E619D1">
        <w:rPr>
          <w:rFonts w:asciiTheme="majorBidi" w:hAnsiTheme="majorBidi" w:cstheme="majorBidi"/>
          <w:sz w:val="24"/>
          <w:szCs w:val="24"/>
        </w:rPr>
        <w:t xml:space="preserve"> with</w:t>
      </w:r>
      <w:r w:rsidR="009A07FA">
        <w:rPr>
          <w:rFonts w:asciiTheme="majorBidi" w:hAnsiTheme="majorBidi" w:cstheme="majorBidi"/>
          <w:sz w:val="24"/>
          <w:szCs w:val="24"/>
        </w:rPr>
        <w:t xml:space="preserve"> their labour.</w:t>
      </w:r>
      <w:r w:rsidR="0041034B">
        <w:rPr>
          <w:rStyle w:val="FootnoteReference"/>
          <w:rFonts w:asciiTheme="majorBidi" w:hAnsiTheme="majorBidi" w:cstheme="majorBidi"/>
          <w:sz w:val="24"/>
          <w:szCs w:val="24"/>
        </w:rPr>
        <w:footnoteReference w:id="127"/>
      </w:r>
      <w:r w:rsidR="0041034B">
        <w:rPr>
          <w:rFonts w:asciiTheme="majorBidi" w:hAnsiTheme="majorBidi" w:cstheme="majorBidi"/>
          <w:sz w:val="24"/>
          <w:szCs w:val="24"/>
        </w:rPr>
        <w:t xml:space="preserve"> </w:t>
      </w:r>
      <w:r w:rsidR="009A07FA">
        <w:rPr>
          <w:rFonts w:asciiTheme="majorBidi" w:hAnsiTheme="majorBidi" w:cstheme="majorBidi"/>
          <w:sz w:val="24"/>
          <w:szCs w:val="24"/>
        </w:rPr>
        <w:t>The</w:t>
      </w:r>
      <w:r w:rsidR="003A0CDE">
        <w:rPr>
          <w:rFonts w:asciiTheme="majorBidi" w:hAnsiTheme="majorBidi" w:cstheme="majorBidi"/>
          <w:sz w:val="24"/>
          <w:szCs w:val="24"/>
        </w:rPr>
        <w:t xml:space="preserve"> Lockean</w:t>
      </w:r>
      <w:r w:rsidR="0041034B">
        <w:rPr>
          <w:rFonts w:asciiTheme="majorBidi" w:hAnsiTheme="majorBidi" w:cstheme="majorBidi"/>
          <w:sz w:val="24"/>
          <w:szCs w:val="24"/>
        </w:rPr>
        <w:t xml:space="preserve"> person</w:t>
      </w:r>
      <w:r w:rsidR="009A07FA">
        <w:rPr>
          <w:rFonts w:asciiTheme="majorBidi" w:hAnsiTheme="majorBidi" w:cstheme="majorBidi"/>
          <w:sz w:val="24"/>
          <w:szCs w:val="24"/>
        </w:rPr>
        <w:t>, therefore,</w:t>
      </w:r>
      <w:r w:rsidR="0041034B">
        <w:rPr>
          <w:rFonts w:asciiTheme="majorBidi" w:hAnsiTheme="majorBidi" w:cstheme="majorBidi"/>
          <w:sz w:val="24"/>
          <w:szCs w:val="24"/>
        </w:rPr>
        <w:t xml:space="preserve"> is both </w:t>
      </w:r>
      <w:r w:rsidR="00A64917">
        <w:rPr>
          <w:rFonts w:asciiTheme="majorBidi" w:hAnsiTheme="majorBidi" w:cstheme="majorBidi"/>
          <w:sz w:val="24"/>
          <w:szCs w:val="24"/>
        </w:rPr>
        <w:t>the</w:t>
      </w:r>
      <w:r w:rsidR="0041034B">
        <w:rPr>
          <w:rFonts w:asciiTheme="majorBidi" w:hAnsiTheme="majorBidi" w:cstheme="majorBidi"/>
          <w:sz w:val="24"/>
          <w:szCs w:val="24"/>
        </w:rPr>
        <w:t xml:space="preserve"> owner (</w:t>
      </w:r>
      <w:r w:rsidR="009A07FA">
        <w:rPr>
          <w:rFonts w:asciiTheme="majorBidi" w:hAnsiTheme="majorBidi" w:cstheme="majorBidi"/>
          <w:sz w:val="24"/>
          <w:szCs w:val="24"/>
        </w:rPr>
        <w:t xml:space="preserve">the </w:t>
      </w:r>
      <w:r w:rsidR="0041034B">
        <w:rPr>
          <w:rFonts w:asciiTheme="majorBidi" w:hAnsiTheme="majorBidi" w:cstheme="majorBidi"/>
          <w:sz w:val="24"/>
          <w:szCs w:val="24"/>
        </w:rPr>
        <w:t>self-proprietor) and</w:t>
      </w:r>
      <w:r w:rsidR="009A07FA">
        <w:rPr>
          <w:rFonts w:asciiTheme="majorBidi" w:hAnsiTheme="majorBidi" w:cstheme="majorBidi"/>
          <w:sz w:val="24"/>
          <w:szCs w:val="24"/>
        </w:rPr>
        <w:t xml:space="preserve"> the owned</w:t>
      </w:r>
      <w:r w:rsidR="0041034B">
        <w:rPr>
          <w:rFonts w:asciiTheme="majorBidi" w:hAnsiTheme="majorBidi" w:cstheme="majorBidi"/>
          <w:sz w:val="24"/>
          <w:szCs w:val="24"/>
        </w:rPr>
        <w:t xml:space="preserve"> </w:t>
      </w:r>
      <w:r w:rsidR="009A07FA">
        <w:rPr>
          <w:rFonts w:asciiTheme="majorBidi" w:hAnsiTheme="majorBidi" w:cstheme="majorBidi"/>
          <w:sz w:val="24"/>
          <w:szCs w:val="24"/>
        </w:rPr>
        <w:t xml:space="preserve">(the </w:t>
      </w:r>
      <w:r w:rsidR="0041034B">
        <w:rPr>
          <w:rFonts w:asciiTheme="majorBidi" w:hAnsiTheme="majorBidi" w:cstheme="majorBidi"/>
          <w:sz w:val="24"/>
          <w:szCs w:val="24"/>
        </w:rPr>
        <w:t>property</w:t>
      </w:r>
      <w:r w:rsidR="009A07FA">
        <w:rPr>
          <w:rFonts w:asciiTheme="majorBidi" w:hAnsiTheme="majorBidi" w:cstheme="majorBidi"/>
          <w:sz w:val="24"/>
          <w:szCs w:val="24"/>
        </w:rPr>
        <w:t xml:space="preserve">). Davies and Naffine however </w:t>
      </w:r>
      <w:r w:rsidR="003A1A89">
        <w:rPr>
          <w:rFonts w:asciiTheme="majorBidi" w:hAnsiTheme="majorBidi" w:cstheme="majorBidi"/>
          <w:sz w:val="24"/>
          <w:szCs w:val="24"/>
        </w:rPr>
        <w:t>warned</w:t>
      </w:r>
      <w:r w:rsidR="009A07FA">
        <w:rPr>
          <w:rFonts w:asciiTheme="majorBidi" w:hAnsiTheme="majorBidi" w:cstheme="majorBidi"/>
          <w:sz w:val="24"/>
          <w:szCs w:val="24"/>
        </w:rPr>
        <w:t xml:space="preserve"> that the Lockean ‘self-ownership’</w:t>
      </w:r>
      <w:r w:rsidR="003A0CDE">
        <w:rPr>
          <w:rFonts w:asciiTheme="majorBidi" w:hAnsiTheme="majorBidi" w:cstheme="majorBidi"/>
          <w:sz w:val="24"/>
          <w:szCs w:val="24"/>
        </w:rPr>
        <w:t xml:space="preserve"> was</w:t>
      </w:r>
      <w:r w:rsidR="009A07FA">
        <w:rPr>
          <w:rFonts w:asciiTheme="majorBidi" w:hAnsiTheme="majorBidi" w:cstheme="majorBidi"/>
          <w:sz w:val="24"/>
          <w:szCs w:val="24"/>
        </w:rPr>
        <w:t xml:space="preserve"> just a</w:t>
      </w:r>
      <w:r w:rsidR="003A0CDE">
        <w:rPr>
          <w:rFonts w:asciiTheme="majorBidi" w:hAnsiTheme="majorBidi" w:cstheme="majorBidi"/>
          <w:sz w:val="24"/>
          <w:szCs w:val="24"/>
        </w:rPr>
        <w:t xml:space="preserve"> rhetorical </w:t>
      </w:r>
      <w:r w:rsidR="00163A9F">
        <w:rPr>
          <w:rFonts w:asciiTheme="majorBidi" w:hAnsiTheme="majorBidi" w:cstheme="majorBidi"/>
          <w:sz w:val="24"/>
          <w:szCs w:val="24"/>
        </w:rPr>
        <w:t>figure</w:t>
      </w:r>
      <w:r w:rsidR="009A07FA">
        <w:rPr>
          <w:rFonts w:asciiTheme="majorBidi" w:hAnsiTheme="majorBidi" w:cstheme="majorBidi"/>
          <w:sz w:val="24"/>
          <w:szCs w:val="24"/>
        </w:rPr>
        <w:t xml:space="preserve"> deployed to</w:t>
      </w:r>
      <w:r w:rsidR="00BE4617">
        <w:rPr>
          <w:rFonts w:asciiTheme="majorBidi" w:hAnsiTheme="majorBidi" w:cstheme="majorBidi"/>
          <w:sz w:val="24"/>
          <w:szCs w:val="24"/>
        </w:rPr>
        <w:t xml:space="preserve"> invok</w:t>
      </w:r>
      <w:r w:rsidR="009A07FA">
        <w:rPr>
          <w:rFonts w:asciiTheme="majorBidi" w:hAnsiTheme="majorBidi" w:cstheme="majorBidi"/>
          <w:sz w:val="24"/>
          <w:szCs w:val="24"/>
        </w:rPr>
        <w:t>e</w:t>
      </w:r>
      <w:r w:rsidR="00BE4617">
        <w:rPr>
          <w:rFonts w:asciiTheme="majorBidi" w:hAnsiTheme="majorBidi" w:cstheme="majorBidi"/>
          <w:sz w:val="24"/>
          <w:szCs w:val="24"/>
        </w:rPr>
        <w:t xml:space="preserve"> or reinforc</w:t>
      </w:r>
      <w:r w:rsidR="009A07FA">
        <w:rPr>
          <w:rFonts w:asciiTheme="majorBidi" w:hAnsiTheme="majorBidi" w:cstheme="majorBidi"/>
          <w:sz w:val="24"/>
          <w:szCs w:val="24"/>
        </w:rPr>
        <w:t>e</w:t>
      </w:r>
      <w:r w:rsidR="00A64917">
        <w:rPr>
          <w:rFonts w:asciiTheme="majorBidi" w:hAnsiTheme="majorBidi" w:cstheme="majorBidi"/>
          <w:sz w:val="24"/>
          <w:szCs w:val="24"/>
        </w:rPr>
        <w:t xml:space="preserve"> the</w:t>
      </w:r>
      <w:r w:rsidR="009A07FA">
        <w:rPr>
          <w:rFonts w:asciiTheme="majorBidi" w:hAnsiTheme="majorBidi" w:cstheme="majorBidi"/>
          <w:sz w:val="24"/>
          <w:szCs w:val="24"/>
        </w:rPr>
        <w:t xml:space="preserve"> political freedoms and</w:t>
      </w:r>
      <w:r w:rsidR="00747C88">
        <w:rPr>
          <w:rFonts w:asciiTheme="majorBidi" w:hAnsiTheme="majorBidi" w:cstheme="majorBidi"/>
          <w:sz w:val="24"/>
          <w:szCs w:val="24"/>
        </w:rPr>
        <w:t xml:space="preserve"> entitlements </w:t>
      </w:r>
      <w:r w:rsidR="00A64917">
        <w:rPr>
          <w:rFonts w:asciiTheme="majorBidi" w:hAnsiTheme="majorBidi" w:cstheme="majorBidi"/>
          <w:sz w:val="24"/>
          <w:szCs w:val="24"/>
        </w:rPr>
        <w:t xml:space="preserve">of </w:t>
      </w:r>
      <w:r w:rsidR="009A07FA">
        <w:rPr>
          <w:rFonts w:asciiTheme="majorBidi" w:hAnsiTheme="majorBidi" w:cstheme="majorBidi"/>
          <w:sz w:val="24"/>
          <w:szCs w:val="24"/>
        </w:rPr>
        <w:t>the</w:t>
      </w:r>
      <w:r w:rsidR="00747C88">
        <w:rPr>
          <w:rFonts w:asciiTheme="majorBidi" w:hAnsiTheme="majorBidi" w:cstheme="majorBidi"/>
          <w:sz w:val="24"/>
          <w:szCs w:val="24"/>
        </w:rPr>
        <w:t xml:space="preserve"> liberal person</w:t>
      </w:r>
      <w:r w:rsidR="0041034B">
        <w:rPr>
          <w:rFonts w:asciiTheme="majorBidi" w:hAnsiTheme="majorBidi" w:cstheme="majorBidi"/>
          <w:sz w:val="24"/>
          <w:szCs w:val="24"/>
        </w:rPr>
        <w:t>.</w:t>
      </w:r>
      <w:r w:rsidR="00A64917">
        <w:rPr>
          <w:rStyle w:val="FootnoteReference"/>
          <w:rFonts w:asciiTheme="majorBidi" w:hAnsiTheme="majorBidi" w:cstheme="majorBidi"/>
          <w:sz w:val="24"/>
          <w:szCs w:val="24"/>
        </w:rPr>
        <w:footnoteReference w:id="128"/>
      </w:r>
      <w:r w:rsidR="003A0CDE">
        <w:rPr>
          <w:rFonts w:asciiTheme="majorBidi" w:hAnsiTheme="majorBidi" w:cstheme="majorBidi"/>
          <w:sz w:val="24"/>
          <w:szCs w:val="24"/>
        </w:rPr>
        <w:t xml:space="preserve"> Similarly, Hegel argued that</w:t>
      </w:r>
      <w:r w:rsidR="00011392">
        <w:rPr>
          <w:rFonts w:asciiTheme="majorBidi" w:hAnsiTheme="majorBidi" w:cstheme="majorBidi"/>
          <w:sz w:val="24"/>
          <w:szCs w:val="24"/>
        </w:rPr>
        <w:t xml:space="preserve"> the</w:t>
      </w:r>
      <w:r w:rsidR="003A0CDE">
        <w:rPr>
          <w:rFonts w:asciiTheme="majorBidi" w:hAnsiTheme="majorBidi" w:cstheme="majorBidi"/>
          <w:sz w:val="24"/>
          <w:szCs w:val="24"/>
        </w:rPr>
        <w:t xml:space="preserve"> completion of subjectivity and proper moral self-development required the embodiment of a will in an external object, thus bridging the subject</w:t>
      </w:r>
      <w:r w:rsidR="00011392">
        <w:rPr>
          <w:rFonts w:asciiTheme="majorBidi" w:hAnsiTheme="majorBidi" w:cstheme="majorBidi"/>
          <w:sz w:val="24"/>
          <w:szCs w:val="24"/>
        </w:rPr>
        <w:t>-object gap and letting subjectivity to manifest in objectivity.</w:t>
      </w:r>
      <w:r w:rsidR="00011392">
        <w:rPr>
          <w:rStyle w:val="FootnoteReference"/>
          <w:rFonts w:asciiTheme="majorBidi" w:hAnsiTheme="majorBidi" w:cstheme="majorBidi"/>
          <w:sz w:val="24"/>
          <w:szCs w:val="24"/>
        </w:rPr>
        <w:footnoteReference w:id="129"/>
      </w:r>
      <w:r w:rsidR="00011392">
        <w:rPr>
          <w:rFonts w:asciiTheme="majorBidi" w:hAnsiTheme="majorBidi" w:cstheme="majorBidi"/>
          <w:sz w:val="24"/>
          <w:szCs w:val="24"/>
        </w:rPr>
        <w:t xml:space="preserve"> In Hegelian terms, therefore, an individual is at once a person and property</w:t>
      </w:r>
      <w:r w:rsidR="00B814E3">
        <w:rPr>
          <w:rFonts w:asciiTheme="majorBidi" w:hAnsiTheme="majorBidi" w:cstheme="majorBidi"/>
          <w:sz w:val="24"/>
          <w:szCs w:val="24"/>
        </w:rPr>
        <w:t>.</w:t>
      </w:r>
      <w:r w:rsidR="00011392">
        <w:rPr>
          <w:rFonts w:asciiTheme="majorBidi" w:hAnsiTheme="majorBidi" w:cstheme="majorBidi"/>
          <w:sz w:val="24"/>
          <w:szCs w:val="24"/>
        </w:rPr>
        <w:t xml:space="preserve"> </w:t>
      </w:r>
      <w:r w:rsidR="00B814E3">
        <w:rPr>
          <w:rFonts w:asciiTheme="majorBidi" w:hAnsiTheme="majorBidi" w:cstheme="majorBidi"/>
          <w:sz w:val="24"/>
          <w:szCs w:val="24"/>
        </w:rPr>
        <w:t>I</w:t>
      </w:r>
      <w:r w:rsidR="00011392">
        <w:rPr>
          <w:rFonts w:asciiTheme="majorBidi" w:hAnsiTheme="majorBidi" w:cstheme="majorBidi"/>
          <w:sz w:val="24"/>
          <w:szCs w:val="24"/>
        </w:rPr>
        <w:t>n western liberal thought</w:t>
      </w:r>
      <w:r w:rsidR="00B814E3">
        <w:rPr>
          <w:rFonts w:asciiTheme="majorBidi" w:hAnsiTheme="majorBidi" w:cstheme="majorBidi"/>
          <w:sz w:val="24"/>
          <w:szCs w:val="24"/>
        </w:rPr>
        <w:t>,</w:t>
      </w:r>
      <w:r w:rsidR="00C41DBF">
        <w:rPr>
          <w:rFonts w:asciiTheme="majorBidi" w:hAnsiTheme="majorBidi" w:cstheme="majorBidi"/>
          <w:sz w:val="24"/>
          <w:szCs w:val="24"/>
        </w:rPr>
        <w:t xml:space="preserve"> </w:t>
      </w:r>
      <w:r w:rsidR="00011392">
        <w:rPr>
          <w:rFonts w:asciiTheme="majorBidi" w:hAnsiTheme="majorBidi" w:cstheme="majorBidi"/>
          <w:sz w:val="24"/>
          <w:szCs w:val="24"/>
        </w:rPr>
        <w:t>Macpherson identifie</w:t>
      </w:r>
      <w:r w:rsidR="00C41DBF">
        <w:rPr>
          <w:rFonts w:asciiTheme="majorBidi" w:hAnsiTheme="majorBidi" w:cstheme="majorBidi"/>
          <w:sz w:val="24"/>
          <w:szCs w:val="24"/>
        </w:rPr>
        <w:t>d</w:t>
      </w:r>
      <w:r w:rsidR="00CC3B83">
        <w:rPr>
          <w:rFonts w:asciiTheme="majorBidi" w:hAnsiTheme="majorBidi" w:cstheme="majorBidi"/>
          <w:sz w:val="24"/>
          <w:szCs w:val="24"/>
        </w:rPr>
        <w:t xml:space="preserve"> this</w:t>
      </w:r>
      <w:r w:rsidR="00011392">
        <w:rPr>
          <w:rFonts w:asciiTheme="majorBidi" w:hAnsiTheme="majorBidi" w:cstheme="majorBidi"/>
          <w:sz w:val="24"/>
          <w:szCs w:val="24"/>
        </w:rPr>
        <w:t xml:space="preserve"> </w:t>
      </w:r>
      <w:r w:rsidR="00CC3B83">
        <w:rPr>
          <w:rFonts w:asciiTheme="majorBidi" w:hAnsiTheme="majorBidi" w:cstheme="majorBidi"/>
          <w:sz w:val="24"/>
          <w:szCs w:val="24"/>
        </w:rPr>
        <w:t xml:space="preserve">phenomenon </w:t>
      </w:r>
      <w:r w:rsidR="00011392">
        <w:rPr>
          <w:rFonts w:asciiTheme="majorBidi" w:hAnsiTheme="majorBidi" w:cstheme="majorBidi"/>
          <w:sz w:val="24"/>
          <w:szCs w:val="24"/>
        </w:rPr>
        <w:t xml:space="preserve">as </w:t>
      </w:r>
      <w:r w:rsidR="00011392" w:rsidRPr="00C41DBF">
        <w:rPr>
          <w:rFonts w:asciiTheme="majorBidi" w:hAnsiTheme="majorBidi" w:cstheme="majorBidi"/>
          <w:i/>
          <w:iCs/>
          <w:sz w:val="24"/>
          <w:szCs w:val="24"/>
        </w:rPr>
        <w:t>possessive individualism</w:t>
      </w:r>
      <w:r w:rsidR="00011392">
        <w:rPr>
          <w:rFonts w:asciiTheme="majorBidi" w:hAnsiTheme="majorBidi" w:cstheme="majorBidi"/>
          <w:sz w:val="24"/>
          <w:szCs w:val="24"/>
        </w:rPr>
        <w:t>.</w:t>
      </w:r>
      <w:r w:rsidR="00011392">
        <w:rPr>
          <w:rStyle w:val="FootnoteReference"/>
          <w:rFonts w:asciiTheme="majorBidi" w:hAnsiTheme="majorBidi" w:cstheme="majorBidi"/>
          <w:sz w:val="24"/>
          <w:szCs w:val="24"/>
        </w:rPr>
        <w:footnoteReference w:id="130"/>
      </w:r>
      <w:r w:rsidR="00EF0E39">
        <w:rPr>
          <w:rFonts w:asciiTheme="majorBidi" w:hAnsiTheme="majorBidi" w:cstheme="majorBidi"/>
          <w:sz w:val="24"/>
          <w:szCs w:val="24"/>
        </w:rPr>
        <w:t xml:space="preserve"> </w:t>
      </w:r>
      <w:r w:rsidR="00011ABE">
        <w:rPr>
          <w:rFonts w:asciiTheme="majorBidi" w:hAnsiTheme="majorBidi" w:cstheme="majorBidi"/>
          <w:sz w:val="24"/>
          <w:szCs w:val="24"/>
        </w:rPr>
        <w:t>T</w:t>
      </w:r>
      <w:r w:rsidR="00EF0E39">
        <w:rPr>
          <w:rFonts w:asciiTheme="majorBidi" w:hAnsiTheme="majorBidi" w:cstheme="majorBidi"/>
          <w:sz w:val="24"/>
          <w:szCs w:val="24"/>
        </w:rPr>
        <w:t>h</w:t>
      </w:r>
      <w:r w:rsidR="00CC3B83">
        <w:rPr>
          <w:rFonts w:asciiTheme="majorBidi" w:hAnsiTheme="majorBidi" w:cstheme="majorBidi"/>
          <w:sz w:val="24"/>
          <w:szCs w:val="24"/>
        </w:rPr>
        <w:t>is</w:t>
      </w:r>
      <w:r w:rsidR="00C41DBF">
        <w:rPr>
          <w:rFonts w:asciiTheme="majorBidi" w:hAnsiTheme="majorBidi" w:cstheme="majorBidi"/>
          <w:sz w:val="24"/>
          <w:szCs w:val="24"/>
        </w:rPr>
        <w:t xml:space="preserve"> sort of duplex thinking</w:t>
      </w:r>
      <w:r w:rsidR="00CC3B83">
        <w:rPr>
          <w:rFonts w:asciiTheme="majorBidi" w:hAnsiTheme="majorBidi" w:cstheme="majorBidi"/>
          <w:sz w:val="24"/>
          <w:szCs w:val="24"/>
        </w:rPr>
        <w:t xml:space="preserve"> about the body inherent</w:t>
      </w:r>
      <w:r w:rsidR="00C41DBF">
        <w:rPr>
          <w:rFonts w:asciiTheme="majorBidi" w:hAnsiTheme="majorBidi" w:cstheme="majorBidi"/>
          <w:sz w:val="24"/>
          <w:szCs w:val="24"/>
        </w:rPr>
        <w:t xml:space="preserve"> in Lockean</w:t>
      </w:r>
      <w:r w:rsidR="00163A9F">
        <w:rPr>
          <w:rFonts w:asciiTheme="majorBidi" w:hAnsiTheme="majorBidi" w:cstheme="majorBidi"/>
          <w:sz w:val="24"/>
          <w:szCs w:val="24"/>
        </w:rPr>
        <w:t>,</w:t>
      </w:r>
      <w:r w:rsidR="00C41DBF">
        <w:rPr>
          <w:rFonts w:asciiTheme="majorBidi" w:hAnsiTheme="majorBidi" w:cstheme="majorBidi"/>
          <w:sz w:val="24"/>
          <w:szCs w:val="24"/>
        </w:rPr>
        <w:t xml:space="preserve"> Hegelian</w:t>
      </w:r>
      <w:r w:rsidR="00163A9F">
        <w:rPr>
          <w:rFonts w:asciiTheme="majorBidi" w:hAnsiTheme="majorBidi" w:cstheme="majorBidi"/>
          <w:sz w:val="24"/>
          <w:szCs w:val="24"/>
        </w:rPr>
        <w:t xml:space="preserve"> and Macphersonian</w:t>
      </w:r>
      <w:r w:rsidR="00C41DBF">
        <w:rPr>
          <w:rFonts w:asciiTheme="majorBidi" w:hAnsiTheme="majorBidi" w:cstheme="majorBidi"/>
          <w:sz w:val="24"/>
          <w:szCs w:val="24"/>
        </w:rPr>
        <w:t xml:space="preserve"> frameworks was brought into bold relief in the anthropolog</w:t>
      </w:r>
      <w:r w:rsidR="00D57219">
        <w:rPr>
          <w:rFonts w:asciiTheme="majorBidi" w:hAnsiTheme="majorBidi" w:cstheme="majorBidi"/>
          <w:sz w:val="24"/>
          <w:szCs w:val="24"/>
        </w:rPr>
        <w:t>ical sphere by</w:t>
      </w:r>
      <w:r w:rsidR="00CC3B83" w:rsidRPr="00CC3B83">
        <w:rPr>
          <w:rFonts w:asciiTheme="majorBidi" w:hAnsiTheme="majorBidi" w:cstheme="majorBidi"/>
          <w:sz w:val="24"/>
          <w:szCs w:val="24"/>
        </w:rPr>
        <w:t xml:space="preserve"> </w:t>
      </w:r>
      <w:r w:rsidR="00CC3B83">
        <w:rPr>
          <w:rFonts w:asciiTheme="majorBidi" w:hAnsiTheme="majorBidi" w:cstheme="majorBidi"/>
          <w:sz w:val="24"/>
          <w:szCs w:val="24"/>
        </w:rPr>
        <w:t>Strathern,</w:t>
      </w:r>
      <w:r w:rsidR="00C41DBF">
        <w:rPr>
          <w:rFonts w:asciiTheme="majorBidi" w:hAnsiTheme="majorBidi" w:cstheme="majorBidi"/>
          <w:sz w:val="24"/>
          <w:szCs w:val="24"/>
        </w:rPr>
        <w:t xml:space="preserve"> the </w:t>
      </w:r>
      <w:r w:rsidR="00D40019">
        <w:rPr>
          <w:rFonts w:asciiTheme="majorBidi" w:hAnsiTheme="majorBidi" w:cstheme="majorBidi"/>
          <w:sz w:val="24"/>
          <w:szCs w:val="24"/>
        </w:rPr>
        <w:t>eminent</w:t>
      </w:r>
      <w:r w:rsidR="001F673A">
        <w:rPr>
          <w:rFonts w:asciiTheme="majorBidi" w:hAnsiTheme="majorBidi" w:cstheme="majorBidi"/>
          <w:sz w:val="24"/>
          <w:szCs w:val="24"/>
        </w:rPr>
        <w:t xml:space="preserve"> social</w:t>
      </w:r>
      <w:r w:rsidR="00EF0E39">
        <w:rPr>
          <w:rFonts w:asciiTheme="majorBidi" w:hAnsiTheme="majorBidi" w:cstheme="majorBidi"/>
          <w:sz w:val="24"/>
          <w:szCs w:val="24"/>
        </w:rPr>
        <w:t xml:space="preserve"> anthropologist</w:t>
      </w:r>
      <w:r w:rsidR="00CC3B83">
        <w:rPr>
          <w:rFonts w:asciiTheme="majorBidi" w:hAnsiTheme="majorBidi" w:cstheme="majorBidi"/>
          <w:sz w:val="24"/>
          <w:szCs w:val="24"/>
        </w:rPr>
        <w:t>.</w:t>
      </w:r>
      <w:r w:rsidR="00EF0E39">
        <w:rPr>
          <w:rFonts w:asciiTheme="majorBidi" w:hAnsiTheme="majorBidi" w:cstheme="majorBidi"/>
          <w:sz w:val="24"/>
          <w:szCs w:val="24"/>
        </w:rPr>
        <w:t xml:space="preserve"> </w:t>
      </w:r>
      <w:r w:rsidR="00CC3B83">
        <w:rPr>
          <w:rFonts w:asciiTheme="majorBidi" w:hAnsiTheme="majorBidi" w:cstheme="majorBidi"/>
          <w:sz w:val="24"/>
          <w:szCs w:val="24"/>
        </w:rPr>
        <w:t xml:space="preserve">Projecting </w:t>
      </w:r>
      <w:r w:rsidR="00CC3B83" w:rsidRPr="00EF0E39">
        <w:rPr>
          <w:rFonts w:asciiTheme="majorBidi" w:hAnsiTheme="majorBidi" w:cstheme="majorBidi"/>
          <w:i/>
          <w:iCs/>
          <w:sz w:val="24"/>
          <w:szCs w:val="24"/>
        </w:rPr>
        <w:t>relationship</w:t>
      </w:r>
      <w:r w:rsidR="00CC3B83">
        <w:rPr>
          <w:rFonts w:asciiTheme="majorBidi" w:hAnsiTheme="majorBidi" w:cstheme="majorBidi"/>
          <w:sz w:val="24"/>
          <w:szCs w:val="24"/>
        </w:rPr>
        <w:t xml:space="preserve"> as a duplex,</w:t>
      </w:r>
      <w:r w:rsidR="005C09AF" w:rsidRPr="005C09AF">
        <w:rPr>
          <w:rFonts w:asciiTheme="majorBidi" w:hAnsiTheme="majorBidi" w:cstheme="majorBidi"/>
          <w:sz w:val="24"/>
          <w:szCs w:val="24"/>
        </w:rPr>
        <w:t xml:space="preserve"> </w:t>
      </w:r>
      <w:r w:rsidR="005C09AF">
        <w:rPr>
          <w:rFonts w:asciiTheme="majorBidi" w:hAnsiTheme="majorBidi" w:cstheme="majorBidi"/>
          <w:sz w:val="24"/>
          <w:szCs w:val="24"/>
        </w:rPr>
        <w:t>that is, having the paradoxical characters of the interpersonal and the conceptual,</w:t>
      </w:r>
      <w:r w:rsidR="00CC3B83">
        <w:rPr>
          <w:rFonts w:asciiTheme="majorBidi" w:hAnsiTheme="majorBidi" w:cstheme="majorBidi"/>
          <w:sz w:val="24"/>
          <w:szCs w:val="24"/>
        </w:rPr>
        <w:t xml:space="preserve"> </w:t>
      </w:r>
      <w:r w:rsidR="00EF0E39">
        <w:rPr>
          <w:rFonts w:asciiTheme="majorBidi" w:hAnsiTheme="majorBidi" w:cstheme="majorBidi"/>
          <w:sz w:val="24"/>
          <w:szCs w:val="24"/>
        </w:rPr>
        <w:t>Strathern</w:t>
      </w:r>
      <w:r w:rsidR="00CC3B83">
        <w:rPr>
          <w:rFonts w:asciiTheme="majorBidi" w:hAnsiTheme="majorBidi" w:cstheme="majorBidi"/>
          <w:sz w:val="24"/>
          <w:szCs w:val="24"/>
        </w:rPr>
        <w:t xml:space="preserve"> </w:t>
      </w:r>
      <w:r w:rsidR="00EF0E39">
        <w:rPr>
          <w:rFonts w:asciiTheme="majorBidi" w:hAnsiTheme="majorBidi" w:cstheme="majorBidi"/>
          <w:sz w:val="24"/>
          <w:szCs w:val="24"/>
        </w:rPr>
        <w:t>deployed</w:t>
      </w:r>
      <w:r w:rsidR="00CC3B83">
        <w:rPr>
          <w:rFonts w:asciiTheme="majorBidi" w:hAnsiTheme="majorBidi" w:cstheme="majorBidi"/>
          <w:sz w:val="24"/>
          <w:szCs w:val="24"/>
        </w:rPr>
        <w:t xml:space="preserve"> it</w:t>
      </w:r>
      <w:r w:rsidR="00EF0E39">
        <w:rPr>
          <w:rFonts w:asciiTheme="majorBidi" w:hAnsiTheme="majorBidi" w:cstheme="majorBidi"/>
          <w:sz w:val="24"/>
          <w:szCs w:val="24"/>
        </w:rPr>
        <w:t xml:space="preserve"> as a</w:t>
      </w:r>
      <w:r w:rsidR="005C09AF">
        <w:rPr>
          <w:rFonts w:asciiTheme="majorBidi" w:hAnsiTheme="majorBidi" w:cstheme="majorBidi"/>
          <w:sz w:val="24"/>
          <w:szCs w:val="24"/>
        </w:rPr>
        <w:t>n analytical</w:t>
      </w:r>
      <w:r w:rsidR="00EF0E39">
        <w:rPr>
          <w:rFonts w:asciiTheme="majorBidi" w:hAnsiTheme="majorBidi" w:cstheme="majorBidi"/>
          <w:sz w:val="24"/>
          <w:szCs w:val="24"/>
        </w:rPr>
        <w:t xml:space="preserve"> tool for examining </w:t>
      </w:r>
      <w:r w:rsidR="00011ABE">
        <w:rPr>
          <w:rFonts w:asciiTheme="majorBidi" w:hAnsiTheme="majorBidi" w:cstheme="majorBidi"/>
          <w:sz w:val="24"/>
          <w:szCs w:val="24"/>
        </w:rPr>
        <w:t>some</w:t>
      </w:r>
      <w:r w:rsidR="005C09AF">
        <w:rPr>
          <w:rFonts w:asciiTheme="majorBidi" w:hAnsiTheme="majorBidi" w:cstheme="majorBidi"/>
          <w:sz w:val="24"/>
          <w:szCs w:val="24"/>
        </w:rPr>
        <w:t xml:space="preserve"> of the issues that arise from</w:t>
      </w:r>
      <w:r w:rsidR="00EF0E39">
        <w:rPr>
          <w:rFonts w:asciiTheme="majorBidi" w:hAnsiTheme="majorBidi" w:cstheme="majorBidi"/>
          <w:sz w:val="24"/>
          <w:szCs w:val="24"/>
        </w:rPr>
        <w:t xml:space="preserve"> biotechnological </w:t>
      </w:r>
      <w:r w:rsidR="00011ABE">
        <w:rPr>
          <w:rFonts w:asciiTheme="majorBidi" w:hAnsiTheme="majorBidi" w:cstheme="majorBidi"/>
          <w:sz w:val="24"/>
          <w:szCs w:val="24"/>
        </w:rPr>
        <w:t>applications on</w:t>
      </w:r>
      <w:r w:rsidR="00232025">
        <w:rPr>
          <w:rFonts w:asciiTheme="majorBidi" w:hAnsiTheme="majorBidi" w:cstheme="majorBidi"/>
          <w:sz w:val="24"/>
          <w:szCs w:val="24"/>
        </w:rPr>
        <w:t xml:space="preserve"> the human</w:t>
      </w:r>
      <w:r w:rsidR="00011ABE">
        <w:rPr>
          <w:rFonts w:asciiTheme="majorBidi" w:hAnsiTheme="majorBidi" w:cstheme="majorBidi"/>
          <w:sz w:val="24"/>
          <w:szCs w:val="24"/>
        </w:rPr>
        <w:t xml:space="preserve"> body</w:t>
      </w:r>
      <w:r w:rsidR="00C41DBF">
        <w:rPr>
          <w:rFonts w:asciiTheme="majorBidi" w:hAnsiTheme="majorBidi" w:cstheme="majorBidi"/>
          <w:sz w:val="24"/>
          <w:szCs w:val="24"/>
        </w:rPr>
        <w:t xml:space="preserve"> and its</w:t>
      </w:r>
      <w:r w:rsidR="00EF0E39">
        <w:rPr>
          <w:rFonts w:asciiTheme="majorBidi" w:hAnsiTheme="majorBidi" w:cstheme="majorBidi"/>
          <w:sz w:val="24"/>
          <w:szCs w:val="24"/>
        </w:rPr>
        <w:t xml:space="preserve"> parts</w:t>
      </w:r>
      <w:r w:rsidR="005C09AF">
        <w:rPr>
          <w:rFonts w:asciiTheme="majorBidi" w:hAnsiTheme="majorBidi" w:cstheme="majorBidi"/>
          <w:sz w:val="24"/>
          <w:szCs w:val="24"/>
        </w:rPr>
        <w:t>; particularly,</w:t>
      </w:r>
      <w:r w:rsidR="00011ABE">
        <w:rPr>
          <w:rFonts w:asciiTheme="majorBidi" w:hAnsiTheme="majorBidi" w:cstheme="majorBidi"/>
          <w:sz w:val="24"/>
          <w:szCs w:val="24"/>
        </w:rPr>
        <w:t xml:space="preserve"> the social and cultural implications</w:t>
      </w:r>
      <w:r w:rsidR="00C41DBF">
        <w:rPr>
          <w:rFonts w:asciiTheme="majorBidi" w:hAnsiTheme="majorBidi" w:cstheme="majorBidi"/>
          <w:sz w:val="24"/>
          <w:szCs w:val="24"/>
        </w:rPr>
        <w:t xml:space="preserve"> of</w:t>
      </w:r>
      <w:r w:rsidR="005C09AF">
        <w:rPr>
          <w:rFonts w:asciiTheme="majorBidi" w:hAnsiTheme="majorBidi" w:cstheme="majorBidi"/>
          <w:sz w:val="24"/>
          <w:szCs w:val="24"/>
        </w:rPr>
        <w:t xml:space="preserve"> bio</w:t>
      </w:r>
      <w:r w:rsidR="00C41DBF">
        <w:rPr>
          <w:rFonts w:asciiTheme="majorBidi" w:hAnsiTheme="majorBidi" w:cstheme="majorBidi"/>
          <w:sz w:val="24"/>
          <w:szCs w:val="24"/>
        </w:rPr>
        <w:t>technology</w:t>
      </w:r>
      <w:r w:rsidR="00011ABE">
        <w:rPr>
          <w:rFonts w:asciiTheme="majorBidi" w:hAnsiTheme="majorBidi" w:cstheme="majorBidi"/>
          <w:sz w:val="24"/>
          <w:szCs w:val="24"/>
        </w:rPr>
        <w:t xml:space="preserve"> for kinship</w:t>
      </w:r>
      <w:r w:rsidR="00232025">
        <w:rPr>
          <w:rFonts w:asciiTheme="majorBidi" w:hAnsiTheme="majorBidi" w:cstheme="majorBidi"/>
          <w:sz w:val="24"/>
          <w:szCs w:val="24"/>
        </w:rPr>
        <w:t xml:space="preserve"> and</w:t>
      </w:r>
      <w:r w:rsidR="00011ABE">
        <w:rPr>
          <w:rFonts w:asciiTheme="majorBidi" w:hAnsiTheme="majorBidi" w:cstheme="majorBidi"/>
          <w:sz w:val="24"/>
          <w:szCs w:val="24"/>
        </w:rPr>
        <w:t xml:space="preserve"> the constellations and recompositions of knowledge</w:t>
      </w:r>
      <w:r w:rsidR="005C09AF">
        <w:rPr>
          <w:rFonts w:asciiTheme="majorBidi" w:hAnsiTheme="majorBidi" w:cstheme="majorBidi"/>
          <w:sz w:val="24"/>
          <w:szCs w:val="24"/>
        </w:rPr>
        <w:t xml:space="preserve"> which are</w:t>
      </w:r>
      <w:r w:rsidR="00232025">
        <w:rPr>
          <w:rFonts w:asciiTheme="majorBidi" w:hAnsiTheme="majorBidi" w:cstheme="majorBidi"/>
          <w:sz w:val="24"/>
          <w:szCs w:val="24"/>
        </w:rPr>
        <w:t xml:space="preserve"> engendered by</w:t>
      </w:r>
      <w:r w:rsidR="00112A65">
        <w:rPr>
          <w:rFonts w:asciiTheme="majorBidi" w:hAnsiTheme="majorBidi" w:cstheme="majorBidi"/>
          <w:sz w:val="24"/>
          <w:szCs w:val="24"/>
        </w:rPr>
        <w:t xml:space="preserve"> </w:t>
      </w:r>
      <w:r w:rsidR="005C09AF">
        <w:rPr>
          <w:rFonts w:asciiTheme="majorBidi" w:hAnsiTheme="majorBidi" w:cstheme="majorBidi"/>
          <w:sz w:val="24"/>
          <w:szCs w:val="24"/>
        </w:rPr>
        <w:t>bio</w:t>
      </w:r>
      <w:r w:rsidR="00112A65">
        <w:rPr>
          <w:rFonts w:asciiTheme="majorBidi" w:hAnsiTheme="majorBidi" w:cstheme="majorBidi"/>
          <w:sz w:val="24"/>
          <w:szCs w:val="24"/>
        </w:rPr>
        <w:t>t</w:t>
      </w:r>
      <w:r w:rsidR="00232025">
        <w:rPr>
          <w:rFonts w:asciiTheme="majorBidi" w:hAnsiTheme="majorBidi" w:cstheme="majorBidi"/>
          <w:sz w:val="24"/>
          <w:szCs w:val="24"/>
        </w:rPr>
        <w:t>echnology</w:t>
      </w:r>
      <w:r w:rsidR="00EF0E39">
        <w:rPr>
          <w:rFonts w:asciiTheme="majorBidi" w:hAnsiTheme="majorBidi" w:cstheme="majorBidi"/>
          <w:sz w:val="24"/>
          <w:szCs w:val="24"/>
        </w:rPr>
        <w:t>.</w:t>
      </w:r>
      <w:r w:rsidR="00EF0E39">
        <w:rPr>
          <w:rStyle w:val="FootnoteReference"/>
          <w:rFonts w:asciiTheme="majorBidi" w:hAnsiTheme="majorBidi" w:cstheme="majorBidi"/>
          <w:sz w:val="24"/>
          <w:szCs w:val="24"/>
        </w:rPr>
        <w:footnoteReference w:id="131"/>
      </w:r>
      <w:r w:rsidR="00232025">
        <w:rPr>
          <w:rFonts w:asciiTheme="majorBidi" w:hAnsiTheme="majorBidi" w:cstheme="majorBidi"/>
          <w:sz w:val="24"/>
          <w:szCs w:val="24"/>
        </w:rPr>
        <w:t xml:space="preserve"> On reproductive technology</w:t>
      </w:r>
      <w:r w:rsidR="005C09AF">
        <w:rPr>
          <w:rFonts w:asciiTheme="majorBidi" w:hAnsiTheme="majorBidi" w:cstheme="majorBidi"/>
          <w:sz w:val="24"/>
          <w:szCs w:val="24"/>
        </w:rPr>
        <w:t xml:space="preserve"> specifically</w:t>
      </w:r>
      <w:r w:rsidR="00232025">
        <w:rPr>
          <w:rFonts w:asciiTheme="majorBidi" w:hAnsiTheme="majorBidi" w:cstheme="majorBidi"/>
          <w:sz w:val="24"/>
          <w:szCs w:val="24"/>
        </w:rPr>
        <w:t>, Strathern</w:t>
      </w:r>
      <w:r w:rsidR="00931C9E">
        <w:rPr>
          <w:rFonts w:asciiTheme="majorBidi" w:hAnsiTheme="majorBidi" w:cstheme="majorBidi"/>
          <w:sz w:val="24"/>
          <w:szCs w:val="24"/>
        </w:rPr>
        <w:t xml:space="preserve"> juxtaposed</w:t>
      </w:r>
      <w:r w:rsidR="00232025">
        <w:rPr>
          <w:rFonts w:asciiTheme="majorBidi" w:hAnsiTheme="majorBidi" w:cstheme="majorBidi"/>
          <w:sz w:val="24"/>
          <w:szCs w:val="24"/>
        </w:rPr>
        <w:t xml:space="preserve"> the interpersonal connections that genetic manipulations help to unfold</w:t>
      </w:r>
      <w:r w:rsidR="00931C9E">
        <w:rPr>
          <w:rFonts w:asciiTheme="majorBidi" w:hAnsiTheme="majorBidi" w:cstheme="majorBidi"/>
          <w:sz w:val="24"/>
          <w:szCs w:val="24"/>
        </w:rPr>
        <w:t xml:space="preserve"> with </w:t>
      </w:r>
      <w:r w:rsidR="00232025">
        <w:rPr>
          <w:rFonts w:asciiTheme="majorBidi" w:hAnsiTheme="majorBidi" w:cstheme="majorBidi"/>
          <w:sz w:val="24"/>
          <w:szCs w:val="24"/>
        </w:rPr>
        <w:t>the conceptual and epistemological recombinations that reproductive technology</w:t>
      </w:r>
      <w:r w:rsidR="00B23361">
        <w:rPr>
          <w:rFonts w:asciiTheme="majorBidi" w:hAnsiTheme="majorBidi" w:cstheme="majorBidi"/>
          <w:sz w:val="24"/>
          <w:szCs w:val="24"/>
        </w:rPr>
        <w:t xml:space="preserve"> help to create</w:t>
      </w:r>
      <w:r w:rsidR="00232025">
        <w:rPr>
          <w:rFonts w:asciiTheme="majorBidi" w:hAnsiTheme="majorBidi" w:cstheme="majorBidi"/>
          <w:sz w:val="24"/>
          <w:szCs w:val="24"/>
        </w:rPr>
        <w:t>.</w:t>
      </w:r>
      <w:r w:rsidR="00232025">
        <w:rPr>
          <w:rStyle w:val="FootnoteReference"/>
          <w:rFonts w:asciiTheme="majorBidi" w:hAnsiTheme="majorBidi" w:cstheme="majorBidi"/>
          <w:sz w:val="24"/>
          <w:szCs w:val="24"/>
        </w:rPr>
        <w:footnoteReference w:id="132"/>
      </w:r>
      <w:r w:rsidR="00B23361">
        <w:rPr>
          <w:rFonts w:asciiTheme="majorBidi" w:hAnsiTheme="majorBidi" w:cstheme="majorBidi"/>
          <w:sz w:val="24"/>
          <w:szCs w:val="24"/>
        </w:rPr>
        <w:t xml:space="preserve"> Thus</w:t>
      </w:r>
      <w:r w:rsidR="00A51499">
        <w:rPr>
          <w:rFonts w:asciiTheme="majorBidi" w:hAnsiTheme="majorBidi" w:cstheme="majorBidi"/>
          <w:sz w:val="24"/>
          <w:szCs w:val="24"/>
        </w:rPr>
        <w:t>, Strathern observed that</w:t>
      </w:r>
      <w:r w:rsidR="00504C21">
        <w:rPr>
          <w:rFonts w:asciiTheme="majorBidi" w:hAnsiTheme="majorBidi" w:cstheme="majorBidi"/>
          <w:sz w:val="24"/>
          <w:szCs w:val="24"/>
        </w:rPr>
        <w:t xml:space="preserve"> the</w:t>
      </w:r>
      <w:r w:rsidR="00A51499">
        <w:rPr>
          <w:rFonts w:asciiTheme="majorBidi" w:hAnsiTheme="majorBidi" w:cstheme="majorBidi"/>
          <w:sz w:val="24"/>
          <w:szCs w:val="24"/>
        </w:rPr>
        <w:t xml:space="preserve"> </w:t>
      </w:r>
      <w:r w:rsidR="00504C21">
        <w:rPr>
          <w:rFonts w:asciiTheme="majorBidi" w:hAnsiTheme="majorBidi" w:cstheme="majorBidi"/>
          <w:sz w:val="24"/>
          <w:szCs w:val="24"/>
        </w:rPr>
        <w:t>‘</w:t>
      </w:r>
      <w:r w:rsidR="00A51499">
        <w:rPr>
          <w:rFonts w:asciiTheme="majorBidi" w:hAnsiTheme="majorBidi" w:cstheme="majorBidi"/>
          <w:sz w:val="24"/>
          <w:szCs w:val="24"/>
        </w:rPr>
        <w:t>duplex</w:t>
      </w:r>
      <w:r w:rsidR="00504C21">
        <w:rPr>
          <w:rFonts w:asciiTheme="majorBidi" w:hAnsiTheme="majorBidi" w:cstheme="majorBidi"/>
          <w:sz w:val="24"/>
          <w:szCs w:val="24"/>
        </w:rPr>
        <w:t xml:space="preserve"> </w:t>
      </w:r>
      <w:r w:rsidR="00A51499">
        <w:rPr>
          <w:rFonts w:asciiTheme="majorBidi" w:hAnsiTheme="majorBidi" w:cstheme="majorBidi"/>
          <w:sz w:val="24"/>
          <w:szCs w:val="24"/>
        </w:rPr>
        <w:t>works in a… world simultaneously</w:t>
      </w:r>
      <w:r w:rsidR="00504C21">
        <w:rPr>
          <w:rFonts w:asciiTheme="majorBidi" w:hAnsiTheme="majorBidi" w:cstheme="majorBidi"/>
          <w:sz w:val="24"/>
          <w:szCs w:val="24"/>
        </w:rPr>
        <w:t xml:space="preserve"> perceptible from different viewpoints’</w:t>
      </w:r>
      <w:r w:rsidR="00B23361">
        <w:rPr>
          <w:rFonts w:asciiTheme="majorBidi" w:hAnsiTheme="majorBidi" w:cstheme="majorBidi"/>
          <w:sz w:val="24"/>
          <w:szCs w:val="24"/>
        </w:rPr>
        <w:t>,</w:t>
      </w:r>
      <w:r w:rsidR="00504C21">
        <w:rPr>
          <w:rFonts w:asciiTheme="majorBidi" w:hAnsiTheme="majorBidi" w:cstheme="majorBidi"/>
          <w:sz w:val="24"/>
          <w:szCs w:val="24"/>
        </w:rPr>
        <w:t xml:space="preserve"> and</w:t>
      </w:r>
      <w:r w:rsidR="00B23361">
        <w:rPr>
          <w:rFonts w:asciiTheme="majorBidi" w:hAnsiTheme="majorBidi" w:cstheme="majorBidi"/>
          <w:sz w:val="24"/>
          <w:szCs w:val="24"/>
        </w:rPr>
        <w:t xml:space="preserve"> being</w:t>
      </w:r>
      <w:r w:rsidR="00504C21">
        <w:rPr>
          <w:rFonts w:asciiTheme="majorBidi" w:hAnsiTheme="majorBidi" w:cstheme="majorBidi"/>
          <w:sz w:val="24"/>
          <w:szCs w:val="24"/>
        </w:rPr>
        <w:t xml:space="preserve"> capable of ‘switching back and forth…between categories and individuals, offers positions that anticipate each other’.</w:t>
      </w:r>
      <w:r w:rsidR="00504C21">
        <w:rPr>
          <w:rStyle w:val="FootnoteReference"/>
          <w:rFonts w:asciiTheme="majorBidi" w:hAnsiTheme="majorBidi" w:cstheme="majorBidi"/>
          <w:sz w:val="24"/>
          <w:szCs w:val="24"/>
        </w:rPr>
        <w:footnoteReference w:id="133"/>
      </w:r>
      <w:r w:rsidR="00504C21">
        <w:rPr>
          <w:rFonts w:asciiTheme="majorBidi" w:hAnsiTheme="majorBidi" w:cstheme="majorBidi"/>
          <w:sz w:val="24"/>
          <w:szCs w:val="24"/>
        </w:rPr>
        <w:t xml:space="preserve"> </w:t>
      </w:r>
      <w:r w:rsidR="00E33B7E">
        <w:rPr>
          <w:rFonts w:asciiTheme="majorBidi" w:hAnsiTheme="majorBidi" w:cstheme="majorBidi"/>
          <w:sz w:val="24"/>
          <w:szCs w:val="24"/>
        </w:rPr>
        <w:t>Drawing on Strathern</w:t>
      </w:r>
      <w:r w:rsidR="00504C21">
        <w:rPr>
          <w:rFonts w:asciiTheme="majorBidi" w:hAnsiTheme="majorBidi" w:cstheme="majorBidi"/>
          <w:sz w:val="24"/>
          <w:szCs w:val="24"/>
        </w:rPr>
        <w:t>, Riles observed that ‘a “duplex character”… has two possible directions to it, and hence it is possible, “switching back and forth”, to occupy two different positions at once’.</w:t>
      </w:r>
      <w:r w:rsidR="00504C21">
        <w:rPr>
          <w:rStyle w:val="FootnoteReference"/>
          <w:rFonts w:asciiTheme="majorBidi" w:hAnsiTheme="majorBidi" w:cstheme="majorBidi"/>
          <w:sz w:val="24"/>
          <w:szCs w:val="24"/>
        </w:rPr>
        <w:footnoteReference w:id="134"/>
      </w:r>
      <w:r w:rsidR="00893B2C">
        <w:rPr>
          <w:rFonts w:asciiTheme="majorBidi" w:hAnsiTheme="majorBidi" w:cstheme="majorBidi"/>
          <w:sz w:val="24"/>
          <w:szCs w:val="24"/>
        </w:rPr>
        <w:t xml:space="preserve"> In this article, analogically, I argue that duplex can facilitate both a descriptive and normative</w:t>
      </w:r>
      <w:r w:rsidR="00ED0EFC">
        <w:rPr>
          <w:rFonts w:asciiTheme="majorBidi" w:hAnsiTheme="majorBidi" w:cstheme="majorBidi"/>
          <w:sz w:val="24"/>
          <w:szCs w:val="24"/>
        </w:rPr>
        <w:t xml:space="preserve"> account of the paradoxical </w:t>
      </w:r>
      <w:r w:rsidR="00D64220">
        <w:rPr>
          <w:rFonts w:asciiTheme="majorBidi" w:hAnsiTheme="majorBidi" w:cstheme="majorBidi"/>
          <w:sz w:val="24"/>
          <w:szCs w:val="24"/>
        </w:rPr>
        <w:t>treatment</w:t>
      </w:r>
      <w:r w:rsidR="00ED0EFC">
        <w:rPr>
          <w:rFonts w:asciiTheme="majorBidi" w:hAnsiTheme="majorBidi" w:cstheme="majorBidi"/>
          <w:sz w:val="24"/>
          <w:szCs w:val="24"/>
        </w:rPr>
        <w:t xml:space="preserve"> of bodily parts.</w:t>
      </w:r>
      <w:r w:rsidR="00504C21">
        <w:rPr>
          <w:rFonts w:asciiTheme="majorBidi" w:hAnsiTheme="majorBidi" w:cstheme="majorBidi"/>
          <w:sz w:val="24"/>
          <w:szCs w:val="24"/>
        </w:rPr>
        <w:t xml:space="preserve">  </w:t>
      </w:r>
    </w:p>
    <w:p w:rsidR="00807749" w:rsidRDefault="00651626" w:rsidP="00C476CD">
      <w:pPr>
        <w:ind w:firstLine="720"/>
        <w:jc w:val="both"/>
        <w:rPr>
          <w:rFonts w:asciiTheme="majorBidi" w:hAnsiTheme="majorBidi" w:cstheme="majorBidi"/>
          <w:sz w:val="24"/>
          <w:szCs w:val="24"/>
        </w:rPr>
      </w:pPr>
      <w:r>
        <w:rPr>
          <w:rFonts w:asciiTheme="majorBidi" w:hAnsiTheme="majorBidi" w:cstheme="majorBidi"/>
          <w:sz w:val="24"/>
          <w:szCs w:val="24"/>
        </w:rPr>
        <w:t>I suggest that</w:t>
      </w:r>
      <w:r w:rsidR="00B23361">
        <w:rPr>
          <w:rFonts w:asciiTheme="majorBidi" w:hAnsiTheme="majorBidi" w:cstheme="majorBidi"/>
          <w:sz w:val="24"/>
          <w:szCs w:val="24"/>
        </w:rPr>
        <w:t xml:space="preserve"> it is possible to </w:t>
      </w:r>
      <w:r>
        <w:rPr>
          <w:rFonts w:asciiTheme="majorBidi" w:hAnsiTheme="majorBidi" w:cstheme="majorBidi"/>
          <w:sz w:val="24"/>
          <w:szCs w:val="24"/>
        </w:rPr>
        <w:t>understand the</w:t>
      </w:r>
      <w:r w:rsidR="00B23361">
        <w:rPr>
          <w:rFonts w:asciiTheme="majorBidi" w:hAnsiTheme="majorBidi" w:cstheme="majorBidi"/>
          <w:sz w:val="24"/>
          <w:szCs w:val="24"/>
        </w:rPr>
        <w:t xml:space="preserve"> human body </w:t>
      </w:r>
      <w:r w:rsidR="00C47DBB">
        <w:rPr>
          <w:rFonts w:asciiTheme="majorBidi" w:hAnsiTheme="majorBidi" w:cstheme="majorBidi"/>
          <w:sz w:val="24"/>
          <w:szCs w:val="24"/>
        </w:rPr>
        <w:t>and</w:t>
      </w:r>
      <w:r w:rsidR="00B23361">
        <w:rPr>
          <w:rFonts w:asciiTheme="majorBidi" w:hAnsiTheme="majorBidi" w:cstheme="majorBidi"/>
          <w:sz w:val="24"/>
          <w:szCs w:val="24"/>
        </w:rPr>
        <w:t xml:space="preserve"> its parts </w:t>
      </w:r>
      <w:r>
        <w:rPr>
          <w:rFonts w:asciiTheme="majorBidi" w:hAnsiTheme="majorBidi" w:cstheme="majorBidi"/>
          <w:sz w:val="24"/>
          <w:szCs w:val="24"/>
        </w:rPr>
        <w:t>as a duplex</w:t>
      </w:r>
      <w:r w:rsidR="00B23361">
        <w:rPr>
          <w:rFonts w:asciiTheme="majorBidi" w:hAnsiTheme="majorBidi" w:cstheme="majorBidi"/>
          <w:sz w:val="24"/>
          <w:szCs w:val="24"/>
        </w:rPr>
        <w:t>;</w:t>
      </w:r>
      <w:r w:rsidR="00C47DBB">
        <w:rPr>
          <w:rFonts w:asciiTheme="majorBidi" w:hAnsiTheme="majorBidi" w:cstheme="majorBidi"/>
          <w:sz w:val="24"/>
          <w:szCs w:val="24"/>
        </w:rPr>
        <w:t xml:space="preserve"> this, as noted above, involves an epistemological reification in which bodily parts become the referent of duplex.</w:t>
      </w:r>
      <w:r w:rsidR="00B23361">
        <w:rPr>
          <w:rFonts w:asciiTheme="majorBidi" w:hAnsiTheme="majorBidi" w:cstheme="majorBidi"/>
          <w:sz w:val="24"/>
          <w:szCs w:val="24"/>
        </w:rPr>
        <w:t xml:space="preserve"> </w:t>
      </w:r>
      <w:r w:rsidR="00C47DBB">
        <w:rPr>
          <w:rFonts w:asciiTheme="majorBidi" w:hAnsiTheme="majorBidi" w:cstheme="majorBidi"/>
          <w:sz w:val="24"/>
          <w:szCs w:val="24"/>
        </w:rPr>
        <w:t xml:space="preserve">A duplex </w:t>
      </w:r>
      <w:r w:rsidR="00B23361">
        <w:rPr>
          <w:rFonts w:asciiTheme="majorBidi" w:hAnsiTheme="majorBidi" w:cstheme="majorBidi"/>
          <w:sz w:val="24"/>
          <w:szCs w:val="24"/>
        </w:rPr>
        <w:t>perspective</w:t>
      </w:r>
      <w:r w:rsidR="00C47DBB">
        <w:rPr>
          <w:rFonts w:asciiTheme="majorBidi" w:hAnsiTheme="majorBidi" w:cstheme="majorBidi"/>
          <w:sz w:val="24"/>
          <w:szCs w:val="24"/>
        </w:rPr>
        <w:t xml:space="preserve"> on bodily</w:t>
      </w:r>
      <w:r w:rsidR="00EF7A53">
        <w:rPr>
          <w:rFonts w:asciiTheme="majorBidi" w:hAnsiTheme="majorBidi" w:cstheme="majorBidi"/>
          <w:sz w:val="24"/>
          <w:szCs w:val="24"/>
        </w:rPr>
        <w:t xml:space="preserve"> parts</w:t>
      </w:r>
      <w:r w:rsidR="00B23361">
        <w:rPr>
          <w:rFonts w:asciiTheme="majorBidi" w:hAnsiTheme="majorBidi" w:cstheme="majorBidi"/>
          <w:sz w:val="24"/>
          <w:szCs w:val="24"/>
        </w:rPr>
        <w:t xml:space="preserve"> should help</w:t>
      </w:r>
      <w:r>
        <w:rPr>
          <w:rFonts w:asciiTheme="majorBidi" w:hAnsiTheme="majorBidi" w:cstheme="majorBidi"/>
          <w:sz w:val="24"/>
          <w:szCs w:val="24"/>
        </w:rPr>
        <w:t xml:space="preserve"> to unpack</w:t>
      </w:r>
      <w:r w:rsidR="00B23361">
        <w:rPr>
          <w:rFonts w:asciiTheme="majorBidi" w:hAnsiTheme="majorBidi" w:cstheme="majorBidi"/>
          <w:sz w:val="24"/>
          <w:szCs w:val="24"/>
        </w:rPr>
        <w:t xml:space="preserve"> not only</w:t>
      </w:r>
      <w:r>
        <w:rPr>
          <w:rFonts w:asciiTheme="majorBidi" w:hAnsiTheme="majorBidi" w:cstheme="majorBidi"/>
          <w:sz w:val="24"/>
          <w:szCs w:val="24"/>
        </w:rPr>
        <w:t xml:space="preserve"> the contradiction</w:t>
      </w:r>
      <w:r w:rsidR="00B23361">
        <w:rPr>
          <w:rFonts w:asciiTheme="majorBidi" w:hAnsiTheme="majorBidi" w:cstheme="majorBidi"/>
          <w:sz w:val="24"/>
          <w:szCs w:val="24"/>
        </w:rPr>
        <w:t xml:space="preserve"> on the human body opposed by Kant above; but also,</w:t>
      </w:r>
      <w:r w:rsidR="00193C81">
        <w:rPr>
          <w:rFonts w:asciiTheme="majorBidi" w:hAnsiTheme="majorBidi" w:cstheme="majorBidi"/>
          <w:sz w:val="24"/>
          <w:szCs w:val="24"/>
        </w:rPr>
        <w:t xml:space="preserve"> </w:t>
      </w:r>
      <w:r w:rsidR="00617270">
        <w:rPr>
          <w:rFonts w:asciiTheme="majorBidi" w:hAnsiTheme="majorBidi" w:cstheme="majorBidi"/>
          <w:sz w:val="24"/>
          <w:szCs w:val="24"/>
        </w:rPr>
        <w:t>a</w:t>
      </w:r>
      <w:r w:rsidR="00ED0EFC">
        <w:rPr>
          <w:rFonts w:asciiTheme="majorBidi" w:hAnsiTheme="majorBidi" w:cstheme="majorBidi"/>
          <w:sz w:val="24"/>
          <w:szCs w:val="24"/>
        </w:rPr>
        <w:t xml:space="preserve"> duplex conceptualisation of bodily parts as having both proprietary and non-proprietary dimensions (all at once) would suggest that the proprietary claims of a tissue</w:t>
      </w:r>
      <w:r w:rsidR="00692DC8">
        <w:rPr>
          <w:rFonts w:asciiTheme="majorBidi" w:hAnsiTheme="majorBidi" w:cstheme="majorBidi"/>
          <w:sz w:val="24"/>
          <w:szCs w:val="24"/>
        </w:rPr>
        <w:t xml:space="preserve"> source</w:t>
      </w:r>
      <w:r w:rsidR="00ED0EFC">
        <w:rPr>
          <w:rFonts w:asciiTheme="majorBidi" w:hAnsiTheme="majorBidi" w:cstheme="majorBidi"/>
          <w:sz w:val="24"/>
          <w:szCs w:val="24"/>
        </w:rPr>
        <w:t xml:space="preserve"> have a legitimate normative base. Thus, it would not be sufficient to dismiss such claims simply</w:t>
      </w:r>
      <w:r w:rsidR="007000E1">
        <w:rPr>
          <w:rFonts w:asciiTheme="majorBidi" w:hAnsiTheme="majorBidi" w:cstheme="majorBidi"/>
          <w:sz w:val="24"/>
          <w:szCs w:val="24"/>
        </w:rPr>
        <w:t xml:space="preserve"> on the basis of the no-property rule, because the framework of duplex </w:t>
      </w:r>
      <w:r w:rsidR="00617270">
        <w:rPr>
          <w:rFonts w:asciiTheme="majorBidi" w:hAnsiTheme="majorBidi" w:cstheme="majorBidi"/>
          <w:sz w:val="24"/>
          <w:szCs w:val="24"/>
        </w:rPr>
        <w:t>c</w:t>
      </w:r>
      <w:r w:rsidR="007000E1">
        <w:rPr>
          <w:rFonts w:asciiTheme="majorBidi" w:hAnsiTheme="majorBidi" w:cstheme="majorBidi"/>
          <w:sz w:val="24"/>
          <w:szCs w:val="24"/>
        </w:rPr>
        <w:t>omplicate</w:t>
      </w:r>
      <w:r w:rsidR="00617270">
        <w:rPr>
          <w:rFonts w:asciiTheme="majorBidi" w:hAnsiTheme="majorBidi" w:cstheme="majorBidi"/>
          <w:sz w:val="24"/>
          <w:szCs w:val="24"/>
        </w:rPr>
        <w:t>s</w:t>
      </w:r>
      <w:r w:rsidR="007000E1">
        <w:rPr>
          <w:rFonts w:asciiTheme="majorBidi" w:hAnsiTheme="majorBidi" w:cstheme="majorBidi"/>
          <w:sz w:val="24"/>
          <w:szCs w:val="24"/>
        </w:rPr>
        <w:t xml:space="preserve"> the rule by foisting a proprietary opposite to it.</w:t>
      </w:r>
      <w:r w:rsidR="00193C81">
        <w:rPr>
          <w:rFonts w:asciiTheme="majorBidi" w:hAnsiTheme="majorBidi" w:cstheme="majorBidi"/>
          <w:sz w:val="24"/>
          <w:szCs w:val="24"/>
        </w:rPr>
        <w:t xml:space="preserve"> A duplex thinking </w:t>
      </w:r>
      <w:r w:rsidR="00EF7A53">
        <w:rPr>
          <w:rFonts w:asciiTheme="majorBidi" w:hAnsiTheme="majorBidi" w:cstheme="majorBidi"/>
          <w:sz w:val="24"/>
          <w:szCs w:val="24"/>
        </w:rPr>
        <w:t>over</w:t>
      </w:r>
      <w:r w:rsidR="00193C81">
        <w:rPr>
          <w:rFonts w:asciiTheme="majorBidi" w:hAnsiTheme="majorBidi" w:cstheme="majorBidi"/>
          <w:sz w:val="24"/>
          <w:szCs w:val="24"/>
        </w:rPr>
        <w:t xml:space="preserve"> bod</w:t>
      </w:r>
      <w:r w:rsidR="00EF7A53">
        <w:rPr>
          <w:rFonts w:asciiTheme="majorBidi" w:hAnsiTheme="majorBidi" w:cstheme="majorBidi"/>
          <w:sz w:val="24"/>
          <w:szCs w:val="24"/>
        </w:rPr>
        <w:t>il</w:t>
      </w:r>
      <w:r w:rsidR="00193C81">
        <w:rPr>
          <w:rFonts w:asciiTheme="majorBidi" w:hAnsiTheme="majorBidi" w:cstheme="majorBidi"/>
          <w:sz w:val="24"/>
          <w:szCs w:val="24"/>
        </w:rPr>
        <w:t>y part</w:t>
      </w:r>
      <w:r w:rsidR="00EF7A53">
        <w:rPr>
          <w:rFonts w:asciiTheme="majorBidi" w:hAnsiTheme="majorBidi" w:cstheme="majorBidi"/>
          <w:sz w:val="24"/>
          <w:szCs w:val="24"/>
        </w:rPr>
        <w:t>s</w:t>
      </w:r>
      <w:r w:rsidR="00756265">
        <w:rPr>
          <w:rFonts w:asciiTheme="majorBidi" w:hAnsiTheme="majorBidi" w:cstheme="majorBidi"/>
          <w:sz w:val="24"/>
          <w:szCs w:val="24"/>
        </w:rPr>
        <w:t xml:space="preserve"> carries the advantage of analytical flexibility, in that it would</w:t>
      </w:r>
      <w:r w:rsidR="005A1BFA">
        <w:rPr>
          <w:rFonts w:asciiTheme="majorBidi" w:hAnsiTheme="majorBidi" w:cstheme="majorBidi"/>
          <w:sz w:val="24"/>
          <w:szCs w:val="24"/>
        </w:rPr>
        <w:t xml:space="preserve"> accommodate multiple and divergent application</w:t>
      </w:r>
      <w:r w:rsidR="00863D7C">
        <w:rPr>
          <w:rFonts w:asciiTheme="majorBidi" w:hAnsiTheme="majorBidi" w:cstheme="majorBidi"/>
          <w:sz w:val="24"/>
          <w:szCs w:val="24"/>
        </w:rPr>
        <w:t>s</w:t>
      </w:r>
      <w:r w:rsidR="005A1BFA">
        <w:rPr>
          <w:rFonts w:asciiTheme="majorBidi" w:hAnsiTheme="majorBidi" w:cstheme="majorBidi"/>
          <w:sz w:val="24"/>
          <w:szCs w:val="24"/>
        </w:rPr>
        <w:t xml:space="preserve"> of</w:t>
      </w:r>
      <w:r w:rsidR="00863D7C">
        <w:rPr>
          <w:rFonts w:asciiTheme="majorBidi" w:hAnsiTheme="majorBidi" w:cstheme="majorBidi"/>
          <w:sz w:val="24"/>
          <w:szCs w:val="24"/>
        </w:rPr>
        <w:t xml:space="preserve"> the concept of</w:t>
      </w:r>
      <w:r w:rsidR="005A1BFA">
        <w:rPr>
          <w:rFonts w:asciiTheme="majorBidi" w:hAnsiTheme="majorBidi" w:cstheme="majorBidi"/>
          <w:sz w:val="24"/>
          <w:szCs w:val="24"/>
        </w:rPr>
        <w:t xml:space="preserve"> property to</w:t>
      </w:r>
      <w:r w:rsidR="00756265">
        <w:rPr>
          <w:rFonts w:asciiTheme="majorBidi" w:hAnsiTheme="majorBidi" w:cstheme="majorBidi"/>
          <w:sz w:val="24"/>
          <w:szCs w:val="24"/>
        </w:rPr>
        <w:t xml:space="preserve"> the human body </w:t>
      </w:r>
      <w:r w:rsidR="00EF7A53">
        <w:rPr>
          <w:rFonts w:asciiTheme="majorBidi" w:hAnsiTheme="majorBidi" w:cstheme="majorBidi"/>
          <w:sz w:val="24"/>
          <w:szCs w:val="24"/>
        </w:rPr>
        <w:t>and</w:t>
      </w:r>
      <w:r w:rsidR="005A1BFA">
        <w:rPr>
          <w:rFonts w:asciiTheme="majorBidi" w:hAnsiTheme="majorBidi" w:cstheme="majorBidi"/>
          <w:sz w:val="24"/>
          <w:szCs w:val="24"/>
        </w:rPr>
        <w:t xml:space="preserve"> bod</w:t>
      </w:r>
      <w:r w:rsidR="00756265">
        <w:rPr>
          <w:rFonts w:asciiTheme="majorBidi" w:hAnsiTheme="majorBidi" w:cstheme="majorBidi"/>
          <w:sz w:val="24"/>
          <w:szCs w:val="24"/>
        </w:rPr>
        <w:t>il</w:t>
      </w:r>
      <w:r w:rsidR="005A1BFA">
        <w:rPr>
          <w:rFonts w:asciiTheme="majorBidi" w:hAnsiTheme="majorBidi" w:cstheme="majorBidi"/>
          <w:sz w:val="24"/>
          <w:szCs w:val="24"/>
        </w:rPr>
        <w:t>y parts</w:t>
      </w:r>
      <w:r w:rsidR="00756265">
        <w:rPr>
          <w:rFonts w:asciiTheme="majorBidi" w:hAnsiTheme="majorBidi" w:cstheme="majorBidi"/>
          <w:sz w:val="24"/>
          <w:szCs w:val="24"/>
        </w:rPr>
        <w:t xml:space="preserve">; the reflexivity of duplex should also accommodate, if necessary, an alternating or simultaneous </w:t>
      </w:r>
      <w:r w:rsidR="00C83713">
        <w:rPr>
          <w:rFonts w:asciiTheme="majorBidi" w:hAnsiTheme="majorBidi" w:cstheme="majorBidi"/>
          <w:sz w:val="24"/>
          <w:szCs w:val="24"/>
        </w:rPr>
        <w:t>recognition</w:t>
      </w:r>
      <w:r w:rsidR="00756265">
        <w:rPr>
          <w:rFonts w:asciiTheme="majorBidi" w:hAnsiTheme="majorBidi" w:cstheme="majorBidi"/>
          <w:sz w:val="24"/>
          <w:szCs w:val="24"/>
        </w:rPr>
        <w:t xml:space="preserve"> of</w:t>
      </w:r>
      <w:r w:rsidR="00863D7C">
        <w:rPr>
          <w:rFonts w:asciiTheme="majorBidi" w:hAnsiTheme="majorBidi" w:cstheme="majorBidi"/>
          <w:sz w:val="24"/>
          <w:szCs w:val="24"/>
        </w:rPr>
        <w:t xml:space="preserve"> tissue sources and innovators</w:t>
      </w:r>
      <w:r w:rsidR="00756265">
        <w:rPr>
          <w:rFonts w:asciiTheme="majorBidi" w:hAnsiTheme="majorBidi" w:cstheme="majorBidi"/>
          <w:sz w:val="24"/>
          <w:szCs w:val="24"/>
        </w:rPr>
        <w:t xml:space="preserve"> as owners of bod</w:t>
      </w:r>
      <w:r w:rsidR="00EF7A53">
        <w:rPr>
          <w:rFonts w:asciiTheme="majorBidi" w:hAnsiTheme="majorBidi" w:cstheme="majorBidi"/>
          <w:sz w:val="24"/>
          <w:szCs w:val="24"/>
        </w:rPr>
        <w:t>il</w:t>
      </w:r>
      <w:r w:rsidR="00756265">
        <w:rPr>
          <w:rFonts w:asciiTheme="majorBidi" w:hAnsiTheme="majorBidi" w:cstheme="majorBidi"/>
          <w:sz w:val="24"/>
          <w:szCs w:val="24"/>
        </w:rPr>
        <w:t>y parts</w:t>
      </w:r>
      <w:r w:rsidR="005A1BFA">
        <w:rPr>
          <w:rFonts w:asciiTheme="majorBidi" w:hAnsiTheme="majorBidi" w:cstheme="majorBidi"/>
          <w:sz w:val="24"/>
          <w:szCs w:val="24"/>
        </w:rPr>
        <w:t>.</w:t>
      </w:r>
      <w:r w:rsidR="00756265">
        <w:rPr>
          <w:rFonts w:asciiTheme="majorBidi" w:hAnsiTheme="majorBidi" w:cstheme="majorBidi"/>
          <w:sz w:val="24"/>
          <w:szCs w:val="24"/>
        </w:rPr>
        <w:t xml:space="preserve"> </w:t>
      </w:r>
      <w:r w:rsidR="00B36C7A">
        <w:rPr>
          <w:rFonts w:asciiTheme="majorBidi" w:hAnsiTheme="majorBidi" w:cstheme="majorBidi"/>
          <w:sz w:val="24"/>
          <w:szCs w:val="24"/>
        </w:rPr>
        <w:t>As</w:t>
      </w:r>
      <w:r w:rsidR="00756265">
        <w:rPr>
          <w:rFonts w:asciiTheme="majorBidi" w:hAnsiTheme="majorBidi" w:cstheme="majorBidi"/>
          <w:sz w:val="24"/>
          <w:szCs w:val="24"/>
        </w:rPr>
        <w:t xml:space="preserve"> suggest</w:t>
      </w:r>
      <w:r w:rsidR="00B36C7A">
        <w:rPr>
          <w:rFonts w:asciiTheme="majorBidi" w:hAnsiTheme="majorBidi" w:cstheme="majorBidi"/>
          <w:sz w:val="24"/>
          <w:szCs w:val="24"/>
        </w:rPr>
        <w:t>ed above, and further below</w:t>
      </w:r>
      <w:r w:rsidR="004C1756">
        <w:rPr>
          <w:rFonts w:asciiTheme="majorBidi" w:hAnsiTheme="majorBidi" w:cstheme="majorBidi"/>
          <w:sz w:val="24"/>
          <w:szCs w:val="24"/>
        </w:rPr>
        <w:t>,</w:t>
      </w:r>
      <w:r w:rsidR="00756265">
        <w:rPr>
          <w:rFonts w:asciiTheme="majorBidi" w:hAnsiTheme="majorBidi" w:cstheme="majorBidi"/>
          <w:sz w:val="24"/>
          <w:szCs w:val="24"/>
        </w:rPr>
        <w:t xml:space="preserve"> the duplex sort of thinking on bod</w:t>
      </w:r>
      <w:r w:rsidR="00EF7A53">
        <w:rPr>
          <w:rFonts w:asciiTheme="majorBidi" w:hAnsiTheme="majorBidi" w:cstheme="majorBidi"/>
          <w:sz w:val="24"/>
          <w:szCs w:val="24"/>
        </w:rPr>
        <w:t>il</w:t>
      </w:r>
      <w:r w:rsidR="00756265">
        <w:rPr>
          <w:rFonts w:asciiTheme="majorBidi" w:hAnsiTheme="majorBidi" w:cstheme="majorBidi"/>
          <w:sz w:val="24"/>
          <w:szCs w:val="24"/>
        </w:rPr>
        <w:t>y parts promoted here is</w:t>
      </w:r>
      <w:r w:rsidR="00F4202E">
        <w:rPr>
          <w:rFonts w:asciiTheme="majorBidi" w:hAnsiTheme="majorBidi" w:cstheme="majorBidi"/>
          <w:sz w:val="24"/>
          <w:szCs w:val="24"/>
        </w:rPr>
        <w:t xml:space="preserve"> already evident not only in the common law’s regulation of bod</w:t>
      </w:r>
      <w:r w:rsidR="00EF7A53">
        <w:rPr>
          <w:rFonts w:asciiTheme="majorBidi" w:hAnsiTheme="majorBidi" w:cstheme="majorBidi"/>
          <w:sz w:val="24"/>
          <w:szCs w:val="24"/>
        </w:rPr>
        <w:t>il</w:t>
      </w:r>
      <w:r w:rsidR="00F4202E">
        <w:rPr>
          <w:rFonts w:asciiTheme="majorBidi" w:hAnsiTheme="majorBidi" w:cstheme="majorBidi"/>
          <w:sz w:val="24"/>
          <w:szCs w:val="24"/>
        </w:rPr>
        <w:t>y parts, but also</w:t>
      </w:r>
      <w:r w:rsidR="00C83713">
        <w:rPr>
          <w:rFonts w:asciiTheme="majorBidi" w:hAnsiTheme="majorBidi" w:cstheme="majorBidi"/>
          <w:sz w:val="24"/>
          <w:szCs w:val="24"/>
        </w:rPr>
        <w:t>,</w:t>
      </w:r>
      <w:r w:rsidR="00F4202E">
        <w:rPr>
          <w:rFonts w:asciiTheme="majorBidi" w:hAnsiTheme="majorBidi" w:cstheme="majorBidi"/>
          <w:sz w:val="24"/>
          <w:szCs w:val="24"/>
        </w:rPr>
        <w:t xml:space="preserve"> in the ordinary usages and transactions involving bod</w:t>
      </w:r>
      <w:r w:rsidR="00EF7A53">
        <w:rPr>
          <w:rFonts w:asciiTheme="majorBidi" w:hAnsiTheme="majorBidi" w:cstheme="majorBidi"/>
          <w:sz w:val="24"/>
          <w:szCs w:val="24"/>
        </w:rPr>
        <w:t>il</w:t>
      </w:r>
      <w:r w:rsidR="00F4202E">
        <w:rPr>
          <w:rFonts w:asciiTheme="majorBidi" w:hAnsiTheme="majorBidi" w:cstheme="majorBidi"/>
          <w:sz w:val="24"/>
          <w:szCs w:val="24"/>
        </w:rPr>
        <w:t>y parts.</w:t>
      </w:r>
      <w:r w:rsidR="004C1756">
        <w:rPr>
          <w:rFonts w:asciiTheme="majorBidi" w:hAnsiTheme="majorBidi" w:cstheme="majorBidi"/>
          <w:sz w:val="24"/>
          <w:szCs w:val="24"/>
        </w:rPr>
        <w:t xml:space="preserve"> </w:t>
      </w:r>
    </w:p>
    <w:p w:rsidR="008846E8" w:rsidRDefault="004C1756" w:rsidP="00C476CD">
      <w:pPr>
        <w:ind w:firstLine="720"/>
        <w:jc w:val="both"/>
        <w:rPr>
          <w:rFonts w:asciiTheme="majorBidi" w:hAnsiTheme="majorBidi" w:cstheme="majorBidi"/>
          <w:sz w:val="24"/>
          <w:szCs w:val="24"/>
        </w:rPr>
      </w:pPr>
      <w:r>
        <w:rPr>
          <w:rFonts w:asciiTheme="majorBidi" w:hAnsiTheme="majorBidi" w:cstheme="majorBidi"/>
          <w:sz w:val="24"/>
          <w:szCs w:val="24"/>
        </w:rPr>
        <w:t>I argue that duplex not only helps us to recognise and understand the phenomenology of the paradox on bodily parts, but also, it exposes the unjust operation of that paradox in favour of only the claims of tissue users and innovators. Considerations of f</w:t>
      </w:r>
      <w:r w:rsidR="0073736D">
        <w:rPr>
          <w:rFonts w:asciiTheme="majorBidi" w:hAnsiTheme="majorBidi" w:cstheme="majorBidi"/>
          <w:sz w:val="24"/>
          <w:szCs w:val="24"/>
        </w:rPr>
        <w:t>airness</w:t>
      </w:r>
      <w:r w:rsidR="00692DC8">
        <w:rPr>
          <w:rFonts w:asciiTheme="majorBidi" w:hAnsiTheme="majorBidi" w:cstheme="majorBidi"/>
          <w:sz w:val="24"/>
          <w:szCs w:val="24"/>
        </w:rPr>
        <w:t>, equality</w:t>
      </w:r>
      <w:r>
        <w:rPr>
          <w:rFonts w:asciiTheme="majorBidi" w:hAnsiTheme="majorBidi" w:cstheme="majorBidi"/>
          <w:sz w:val="24"/>
          <w:szCs w:val="24"/>
        </w:rPr>
        <w:t xml:space="preserve"> and justice for the tissue sources therefore demand a normative extension of the duplex on bodily parts to</w:t>
      </w:r>
      <w:r w:rsidR="00692DC8">
        <w:rPr>
          <w:rFonts w:asciiTheme="majorBidi" w:hAnsiTheme="majorBidi" w:cstheme="majorBidi"/>
          <w:sz w:val="24"/>
          <w:szCs w:val="24"/>
        </w:rPr>
        <w:t xml:space="preserve"> cover</w:t>
      </w:r>
      <w:r>
        <w:rPr>
          <w:rFonts w:asciiTheme="majorBidi" w:hAnsiTheme="majorBidi" w:cstheme="majorBidi"/>
          <w:sz w:val="24"/>
          <w:szCs w:val="24"/>
        </w:rPr>
        <w:t xml:space="preserve"> the claims of tissue sources. In this sense, duplex would be </w:t>
      </w:r>
      <w:r w:rsidR="00C476CD">
        <w:rPr>
          <w:rFonts w:asciiTheme="majorBidi" w:hAnsiTheme="majorBidi" w:cstheme="majorBidi"/>
          <w:sz w:val="24"/>
          <w:szCs w:val="24"/>
        </w:rPr>
        <w:t>performing</w:t>
      </w:r>
      <w:r>
        <w:rPr>
          <w:rFonts w:asciiTheme="majorBidi" w:hAnsiTheme="majorBidi" w:cstheme="majorBidi"/>
          <w:sz w:val="24"/>
          <w:szCs w:val="24"/>
        </w:rPr>
        <w:t xml:space="preserve"> both descriptive and normative role</w:t>
      </w:r>
      <w:r w:rsidR="00C476CD">
        <w:rPr>
          <w:rFonts w:asciiTheme="majorBidi" w:hAnsiTheme="majorBidi" w:cstheme="majorBidi"/>
          <w:sz w:val="24"/>
          <w:szCs w:val="24"/>
        </w:rPr>
        <w:t>s</w:t>
      </w:r>
      <w:r>
        <w:rPr>
          <w:rFonts w:asciiTheme="majorBidi" w:hAnsiTheme="majorBidi" w:cstheme="majorBidi"/>
          <w:sz w:val="24"/>
          <w:szCs w:val="24"/>
        </w:rPr>
        <w:t>.</w:t>
      </w:r>
      <w:r w:rsidR="005A1BFA">
        <w:rPr>
          <w:rFonts w:asciiTheme="majorBidi" w:hAnsiTheme="majorBidi" w:cstheme="majorBidi"/>
          <w:sz w:val="24"/>
          <w:szCs w:val="24"/>
        </w:rPr>
        <w:t xml:space="preserve"> </w:t>
      </w:r>
      <w:r w:rsidR="005064CC">
        <w:rPr>
          <w:rFonts w:asciiTheme="majorBidi" w:hAnsiTheme="majorBidi" w:cstheme="majorBidi"/>
          <w:sz w:val="24"/>
          <w:szCs w:val="24"/>
        </w:rPr>
        <w:t>Consider</w:t>
      </w:r>
      <w:r w:rsidR="00EF7A53">
        <w:rPr>
          <w:rFonts w:asciiTheme="majorBidi" w:hAnsiTheme="majorBidi" w:cstheme="majorBidi"/>
          <w:sz w:val="24"/>
          <w:szCs w:val="24"/>
        </w:rPr>
        <w:t xml:space="preserve">, </w:t>
      </w:r>
      <w:r w:rsidR="0073736D">
        <w:rPr>
          <w:rFonts w:asciiTheme="majorBidi" w:hAnsiTheme="majorBidi" w:cstheme="majorBidi"/>
          <w:sz w:val="24"/>
          <w:szCs w:val="24"/>
        </w:rPr>
        <w:t>again</w:t>
      </w:r>
      <w:r w:rsidR="00EF7A53">
        <w:rPr>
          <w:rFonts w:asciiTheme="majorBidi" w:hAnsiTheme="majorBidi" w:cstheme="majorBidi"/>
          <w:sz w:val="24"/>
          <w:szCs w:val="24"/>
        </w:rPr>
        <w:t>,</w:t>
      </w:r>
      <w:r w:rsidR="00F4202E">
        <w:rPr>
          <w:rFonts w:asciiTheme="majorBidi" w:hAnsiTheme="majorBidi" w:cstheme="majorBidi"/>
          <w:sz w:val="24"/>
          <w:szCs w:val="24"/>
        </w:rPr>
        <w:t xml:space="preserve"> </w:t>
      </w:r>
      <w:r w:rsidR="005064CC">
        <w:rPr>
          <w:rFonts w:asciiTheme="majorBidi" w:hAnsiTheme="majorBidi" w:cstheme="majorBidi"/>
          <w:sz w:val="24"/>
          <w:szCs w:val="24"/>
        </w:rPr>
        <w:t>the common law’s no-property rule for cadavers and bod</w:t>
      </w:r>
      <w:r w:rsidR="003F6616">
        <w:rPr>
          <w:rFonts w:asciiTheme="majorBidi" w:hAnsiTheme="majorBidi" w:cstheme="majorBidi"/>
          <w:sz w:val="24"/>
          <w:szCs w:val="24"/>
        </w:rPr>
        <w:t>il</w:t>
      </w:r>
      <w:r w:rsidR="005064CC">
        <w:rPr>
          <w:rFonts w:asciiTheme="majorBidi" w:hAnsiTheme="majorBidi" w:cstheme="majorBidi"/>
          <w:sz w:val="24"/>
          <w:szCs w:val="24"/>
        </w:rPr>
        <w:t>y parts</w:t>
      </w:r>
      <w:r w:rsidR="00EF7A53">
        <w:rPr>
          <w:rFonts w:asciiTheme="majorBidi" w:hAnsiTheme="majorBidi" w:cstheme="majorBidi"/>
          <w:sz w:val="24"/>
          <w:szCs w:val="24"/>
        </w:rPr>
        <w:t xml:space="preserve"> highlighted abov</w:t>
      </w:r>
      <w:r w:rsidR="00F4202E">
        <w:rPr>
          <w:rFonts w:asciiTheme="majorBidi" w:hAnsiTheme="majorBidi" w:cstheme="majorBidi"/>
          <w:sz w:val="24"/>
          <w:szCs w:val="24"/>
        </w:rPr>
        <w:t>e</w:t>
      </w:r>
      <w:r w:rsidR="005064CC">
        <w:rPr>
          <w:rFonts w:asciiTheme="majorBidi" w:hAnsiTheme="majorBidi" w:cstheme="majorBidi"/>
          <w:sz w:val="24"/>
          <w:szCs w:val="24"/>
        </w:rPr>
        <w:t>.</w:t>
      </w:r>
      <w:r w:rsidR="005064CC">
        <w:rPr>
          <w:rStyle w:val="FootnoteReference"/>
          <w:rFonts w:asciiTheme="majorBidi" w:hAnsiTheme="majorBidi" w:cstheme="majorBidi"/>
          <w:sz w:val="24"/>
          <w:szCs w:val="24"/>
        </w:rPr>
        <w:footnoteReference w:id="135"/>
      </w:r>
      <w:r w:rsidR="001620E2">
        <w:rPr>
          <w:rFonts w:asciiTheme="majorBidi" w:hAnsiTheme="majorBidi" w:cstheme="majorBidi"/>
          <w:sz w:val="24"/>
          <w:szCs w:val="24"/>
        </w:rPr>
        <w:t xml:space="preserve"> </w:t>
      </w:r>
      <w:r w:rsidR="00C83713">
        <w:rPr>
          <w:rFonts w:asciiTheme="majorBidi" w:hAnsiTheme="majorBidi" w:cstheme="majorBidi"/>
          <w:sz w:val="24"/>
          <w:szCs w:val="24"/>
        </w:rPr>
        <w:t>While the rule implies a non-proprietary approach towards the body and bod</w:t>
      </w:r>
      <w:r w:rsidR="00B67F49">
        <w:rPr>
          <w:rFonts w:asciiTheme="majorBidi" w:hAnsiTheme="majorBidi" w:cstheme="majorBidi"/>
          <w:sz w:val="24"/>
          <w:szCs w:val="24"/>
        </w:rPr>
        <w:t>il</w:t>
      </w:r>
      <w:r w:rsidR="00C83713">
        <w:rPr>
          <w:rFonts w:asciiTheme="majorBidi" w:hAnsiTheme="majorBidi" w:cstheme="majorBidi"/>
          <w:sz w:val="24"/>
          <w:szCs w:val="24"/>
        </w:rPr>
        <w:t xml:space="preserve">y parts, it </w:t>
      </w:r>
      <w:r w:rsidR="001620E2">
        <w:rPr>
          <w:rFonts w:asciiTheme="majorBidi" w:hAnsiTheme="majorBidi" w:cstheme="majorBidi"/>
          <w:sz w:val="24"/>
          <w:szCs w:val="24"/>
        </w:rPr>
        <w:t>has</w:t>
      </w:r>
      <w:r w:rsidR="00C83713">
        <w:rPr>
          <w:rFonts w:asciiTheme="majorBidi" w:hAnsiTheme="majorBidi" w:cstheme="majorBidi"/>
          <w:sz w:val="24"/>
          <w:szCs w:val="24"/>
        </w:rPr>
        <w:t xml:space="preserve"> (paradoxically)</w:t>
      </w:r>
      <w:r w:rsidR="001620E2">
        <w:rPr>
          <w:rFonts w:asciiTheme="majorBidi" w:hAnsiTheme="majorBidi" w:cstheme="majorBidi"/>
          <w:sz w:val="24"/>
          <w:szCs w:val="24"/>
        </w:rPr>
        <w:t xml:space="preserve"> always </w:t>
      </w:r>
      <w:r w:rsidR="00F11F1B">
        <w:rPr>
          <w:rFonts w:asciiTheme="majorBidi" w:hAnsiTheme="majorBidi" w:cstheme="majorBidi"/>
          <w:sz w:val="24"/>
          <w:szCs w:val="24"/>
        </w:rPr>
        <w:t>operated</w:t>
      </w:r>
      <w:r w:rsidR="001620E2">
        <w:rPr>
          <w:rFonts w:asciiTheme="majorBidi" w:hAnsiTheme="majorBidi" w:cstheme="majorBidi"/>
          <w:sz w:val="24"/>
          <w:szCs w:val="24"/>
        </w:rPr>
        <w:t xml:space="preserve"> alongside a</w:t>
      </w:r>
      <w:r w:rsidR="00D16D48">
        <w:rPr>
          <w:rFonts w:asciiTheme="majorBidi" w:hAnsiTheme="majorBidi" w:cstheme="majorBidi"/>
          <w:sz w:val="24"/>
          <w:szCs w:val="24"/>
        </w:rPr>
        <w:t xml:space="preserve"> formidable and</w:t>
      </w:r>
      <w:r w:rsidR="001620E2">
        <w:rPr>
          <w:rFonts w:asciiTheme="majorBidi" w:hAnsiTheme="majorBidi" w:cstheme="majorBidi"/>
          <w:sz w:val="24"/>
          <w:szCs w:val="24"/>
        </w:rPr>
        <w:t xml:space="preserve"> thriving medical economy on bod</w:t>
      </w:r>
      <w:r w:rsidR="00917F46">
        <w:rPr>
          <w:rFonts w:asciiTheme="majorBidi" w:hAnsiTheme="majorBidi" w:cstheme="majorBidi"/>
          <w:sz w:val="24"/>
          <w:szCs w:val="24"/>
        </w:rPr>
        <w:t>il</w:t>
      </w:r>
      <w:r w:rsidR="001620E2">
        <w:rPr>
          <w:rFonts w:asciiTheme="majorBidi" w:hAnsiTheme="majorBidi" w:cstheme="majorBidi"/>
          <w:sz w:val="24"/>
          <w:szCs w:val="24"/>
        </w:rPr>
        <w:t>y parts</w:t>
      </w:r>
      <w:r w:rsidR="00C83713">
        <w:rPr>
          <w:rFonts w:asciiTheme="majorBidi" w:hAnsiTheme="majorBidi" w:cstheme="majorBidi"/>
          <w:sz w:val="24"/>
          <w:szCs w:val="24"/>
        </w:rPr>
        <w:t>,</w:t>
      </w:r>
      <w:r w:rsidR="001620E2">
        <w:rPr>
          <w:rFonts w:asciiTheme="majorBidi" w:hAnsiTheme="majorBidi" w:cstheme="majorBidi"/>
          <w:sz w:val="24"/>
          <w:szCs w:val="24"/>
        </w:rPr>
        <w:t xml:space="preserve"> involving the fragmentation, commodification and propertisation of</w:t>
      </w:r>
      <w:r w:rsidR="00D16D48">
        <w:rPr>
          <w:rFonts w:asciiTheme="majorBidi" w:hAnsiTheme="majorBidi" w:cstheme="majorBidi"/>
          <w:sz w:val="24"/>
          <w:szCs w:val="24"/>
        </w:rPr>
        <w:t xml:space="preserve"> the</w:t>
      </w:r>
      <w:r w:rsidR="001620E2">
        <w:rPr>
          <w:rFonts w:asciiTheme="majorBidi" w:hAnsiTheme="majorBidi" w:cstheme="majorBidi"/>
          <w:sz w:val="24"/>
          <w:szCs w:val="24"/>
        </w:rPr>
        <w:t xml:space="preserve"> body</w:t>
      </w:r>
      <w:r w:rsidR="00D16D48">
        <w:rPr>
          <w:rFonts w:asciiTheme="majorBidi" w:hAnsiTheme="majorBidi" w:cstheme="majorBidi"/>
          <w:sz w:val="24"/>
          <w:szCs w:val="24"/>
        </w:rPr>
        <w:t>.</w:t>
      </w:r>
      <w:r w:rsidR="008C6DDA">
        <w:rPr>
          <w:rStyle w:val="FootnoteReference"/>
          <w:rFonts w:asciiTheme="majorBidi" w:hAnsiTheme="majorBidi" w:cstheme="majorBidi"/>
          <w:sz w:val="24"/>
          <w:szCs w:val="24"/>
        </w:rPr>
        <w:footnoteReference w:id="136"/>
      </w:r>
      <w:r w:rsidR="001620E2">
        <w:rPr>
          <w:rFonts w:asciiTheme="majorBidi" w:hAnsiTheme="majorBidi" w:cstheme="majorBidi"/>
          <w:sz w:val="24"/>
          <w:szCs w:val="24"/>
        </w:rPr>
        <w:t xml:space="preserve"> </w:t>
      </w:r>
      <w:r w:rsidR="00B67F49">
        <w:rPr>
          <w:rFonts w:asciiTheme="majorBidi" w:hAnsiTheme="majorBidi" w:cstheme="majorBidi"/>
          <w:sz w:val="24"/>
          <w:szCs w:val="24"/>
        </w:rPr>
        <w:t>As examined above, for example, corpse</w:t>
      </w:r>
      <w:r w:rsidR="001620E2">
        <w:rPr>
          <w:rFonts w:asciiTheme="majorBidi" w:hAnsiTheme="majorBidi" w:cstheme="majorBidi"/>
          <w:sz w:val="24"/>
          <w:szCs w:val="24"/>
        </w:rPr>
        <w:t xml:space="preserve"> pharmacology</w:t>
      </w:r>
      <w:r w:rsidR="00303068">
        <w:rPr>
          <w:rFonts w:asciiTheme="majorBidi" w:hAnsiTheme="majorBidi" w:cstheme="majorBidi"/>
          <w:sz w:val="24"/>
          <w:szCs w:val="24"/>
        </w:rPr>
        <w:t xml:space="preserve"> thrived up to the</w:t>
      </w:r>
      <w:r w:rsidR="001620E2">
        <w:rPr>
          <w:rFonts w:asciiTheme="majorBidi" w:hAnsiTheme="majorBidi" w:cstheme="majorBidi"/>
          <w:sz w:val="24"/>
          <w:szCs w:val="24"/>
        </w:rPr>
        <w:t xml:space="preserve"> eighteenth centur</w:t>
      </w:r>
      <w:r w:rsidR="00303068">
        <w:rPr>
          <w:rFonts w:asciiTheme="majorBidi" w:hAnsiTheme="majorBidi" w:cstheme="majorBidi"/>
          <w:sz w:val="24"/>
          <w:szCs w:val="24"/>
        </w:rPr>
        <w:t>y,</w:t>
      </w:r>
      <w:r w:rsidR="001620E2">
        <w:rPr>
          <w:rFonts w:asciiTheme="majorBidi" w:hAnsiTheme="majorBidi" w:cstheme="majorBidi"/>
          <w:sz w:val="24"/>
          <w:szCs w:val="24"/>
        </w:rPr>
        <w:t xml:space="preserve"> involv</w:t>
      </w:r>
      <w:r w:rsidR="00303068">
        <w:rPr>
          <w:rFonts w:asciiTheme="majorBidi" w:hAnsiTheme="majorBidi" w:cstheme="majorBidi"/>
          <w:sz w:val="24"/>
          <w:szCs w:val="24"/>
        </w:rPr>
        <w:t>ing</w:t>
      </w:r>
      <w:r w:rsidR="001620E2">
        <w:rPr>
          <w:rFonts w:asciiTheme="majorBidi" w:hAnsiTheme="majorBidi" w:cstheme="majorBidi"/>
          <w:sz w:val="24"/>
          <w:szCs w:val="24"/>
        </w:rPr>
        <w:t xml:space="preserve"> the recycling</w:t>
      </w:r>
      <w:r w:rsidR="00C8596D">
        <w:rPr>
          <w:rFonts w:asciiTheme="majorBidi" w:hAnsiTheme="majorBidi" w:cstheme="majorBidi"/>
          <w:sz w:val="24"/>
          <w:szCs w:val="24"/>
        </w:rPr>
        <w:t>,</w:t>
      </w:r>
      <w:r w:rsidR="001620E2">
        <w:rPr>
          <w:rFonts w:asciiTheme="majorBidi" w:hAnsiTheme="majorBidi" w:cstheme="majorBidi"/>
          <w:sz w:val="24"/>
          <w:szCs w:val="24"/>
        </w:rPr>
        <w:t xml:space="preserve"> commodification</w:t>
      </w:r>
      <w:r w:rsidR="00C8596D">
        <w:rPr>
          <w:rFonts w:asciiTheme="majorBidi" w:hAnsiTheme="majorBidi" w:cstheme="majorBidi"/>
          <w:sz w:val="24"/>
          <w:szCs w:val="24"/>
        </w:rPr>
        <w:t xml:space="preserve"> and ingestion</w:t>
      </w:r>
      <w:r w:rsidR="001620E2">
        <w:rPr>
          <w:rFonts w:asciiTheme="majorBidi" w:hAnsiTheme="majorBidi" w:cstheme="majorBidi"/>
          <w:sz w:val="24"/>
          <w:szCs w:val="24"/>
        </w:rPr>
        <w:t xml:space="preserve"> of </w:t>
      </w:r>
      <w:r w:rsidR="00B67F49">
        <w:rPr>
          <w:rFonts w:asciiTheme="majorBidi" w:hAnsiTheme="majorBidi" w:cstheme="majorBidi"/>
          <w:sz w:val="24"/>
          <w:szCs w:val="24"/>
        </w:rPr>
        <w:t>human bodily</w:t>
      </w:r>
      <w:r w:rsidR="00303068">
        <w:rPr>
          <w:rFonts w:asciiTheme="majorBidi" w:hAnsiTheme="majorBidi" w:cstheme="majorBidi"/>
          <w:sz w:val="24"/>
          <w:szCs w:val="24"/>
        </w:rPr>
        <w:t xml:space="preserve"> parts</w:t>
      </w:r>
      <w:r w:rsidR="001620E2">
        <w:rPr>
          <w:rFonts w:asciiTheme="majorBidi" w:hAnsiTheme="majorBidi" w:cstheme="majorBidi"/>
          <w:sz w:val="24"/>
          <w:szCs w:val="24"/>
        </w:rPr>
        <w:t xml:space="preserve"> as drug</w:t>
      </w:r>
      <w:r w:rsidR="00303068">
        <w:rPr>
          <w:rFonts w:asciiTheme="majorBidi" w:hAnsiTheme="majorBidi" w:cstheme="majorBidi"/>
          <w:sz w:val="24"/>
          <w:szCs w:val="24"/>
        </w:rPr>
        <w:t xml:space="preserve">s, in spite of the no-property rule. </w:t>
      </w:r>
      <w:r w:rsidR="00971589">
        <w:rPr>
          <w:rFonts w:asciiTheme="majorBidi" w:hAnsiTheme="majorBidi" w:cstheme="majorBidi"/>
          <w:sz w:val="24"/>
          <w:szCs w:val="24"/>
        </w:rPr>
        <w:t>Furthermore,</w:t>
      </w:r>
      <w:r w:rsidR="00971589" w:rsidRPr="00971589">
        <w:rPr>
          <w:rFonts w:asciiTheme="majorBidi" w:hAnsiTheme="majorBidi" w:cstheme="majorBidi"/>
          <w:sz w:val="24"/>
          <w:szCs w:val="24"/>
        </w:rPr>
        <w:t xml:space="preserve"> </w:t>
      </w:r>
      <w:r w:rsidR="00971589">
        <w:rPr>
          <w:rFonts w:asciiTheme="majorBidi" w:hAnsiTheme="majorBidi" w:cstheme="majorBidi"/>
          <w:sz w:val="24"/>
          <w:szCs w:val="24"/>
        </w:rPr>
        <w:t>in 1540 during the reign of Henry VIII, an Act of Parliament established the United Company of Barbers and Surgeons and made dissection a compulsory part of the medical training;</w:t>
      </w:r>
      <w:r w:rsidR="00971589">
        <w:rPr>
          <w:rStyle w:val="FootnoteReference"/>
          <w:rFonts w:asciiTheme="majorBidi" w:hAnsiTheme="majorBidi" w:cstheme="majorBidi"/>
          <w:sz w:val="24"/>
          <w:szCs w:val="24"/>
        </w:rPr>
        <w:footnoteReference w:id="137"/>
      </w:r>
      <w:r w:rsidR="00971589">
        <w:rPr>
          <w:rFonts w:asciiTheme="majorBidi" w:hAnsiTheme="majorBidi" w:cstheme="majorBidi"/>
          <w:sz w:val="24"/>
          <w:szCs w:val="24"/>
        </w:rPr>
        <w:t xml:space="preserve"> the Act mandated the </w:t>
      </w:r>
      <w:r w:rsidR="00971589" w:rsidRPr="00085350">
        <w:rPr>
          <w:rFonts w:asciiTheme="majorBidi" w:hAnsiTheme="majorBidi" w:cstheme="majorBidi"/>
          <w:i/>
          <w:iCs/>
          <w:sz w:val="24"/>
          <w:szCs w:val="24"/>
        </w:rPr>
        <w:t>giving</w:t>
      </w:r>
      <w:r w:rsidR="00971589">
        <w:rPr>
          <w:rFonts w:asciiTheme="majorBidi" w:hAnsiTheme="majorBidi" w:cstheme="majorBidi"/>
          <w:sz w:val="24"/>
          <w:szCs w:val="24"/>
        </w:rPr>
        <w:t xml:space="preserve"> of four executed criminals to the Company for dissection,</w:t>
      </w:r>
      <w:r w:rsidR="00971589">
        <w:rPr>
          <w:rStyle w:val="FootnoteReference"/>
          <w:rFonts w:asciiTheme="majorBidi" w:hAnsiTheme="majorBidi" w:cstheme="majorBidi"/>
          <w:sz w:val="24"/>
          <w:szCs w:val="24"/>
        </w:rPr>
        <w:footnoteReference w:id="138"/>
      </w:r>
      <w:r w:rsidR="00971589">
        <w:rPr>
          <w:rFonts w:asciiTheme="majorBidi" w:hAnsiTheme="majorBidi" w:cstheme="majorBidi"/>
          <w:sz w:val="24"/>
          <w:szCs w:val="24"/>
        </w:rPr>
        <w:t xml:space="preserve"> although the number was later increased to ten. This provision was later increased by the Murder Act of 1752, which made dissection a compulsory and additional punishment to the sentence of death. All this shows not only the existence of a market in bod</w:t>
      </w:r>
      <w:r w:rsidR="00917F46">
        <w:rPr>
          <w:rFonts w:asciiTheme="majorBidi" w:hAnsiTheme="majorBidi" w:cstheme="majorBidi"/>
          <w:sz w:val="24"/>
          <w:szCs w:val="24"/>
        </w:rPr>
        <w:t>il</w:t>
      </w:r>
      <w:r w:rsidR="00971589">
        <w:rPr>
          <w:rFonts w:asciiTheme="majorBidi" w:hAnsiTheme="majorBidi" w:cstheme="majorBidi"/>
          <w:sz w:val="24"/>
          <w:szCs w:val="24"/>
        </w:rPr>
        <w:t>y parts,</w:t>
      </w:r>
      <w:r w:rsidR="00971589">
        <w:rPr>
          <w:rStyle w:val="FootnoteReference"/>
          <w:rFonts w:asciiTheme="majorBidi" w:hAnsiTheme="majorBidi" w:cstheme="majorBidi"/>
          <w:sz w:val="24"/>
          <w:szCs w:val="24"/>
        </w:rPr>
        <w:footnoteReference w:id="139"/>
      </w:r>
      <w:r w:rsidR="00971589">
        <w:rPr>
          <w:rFonts w:asciiTheme="majorBidi" w:hAnsiTheme="majorBidi" w:cstheme="majorBidi"/>
          <w:sz w:val="24"/>
          <w:szCs w:val="24"/>
        </w:rPr>
        <w:t xml:space="preserve"> but also</w:t>
      </w:r>
      <w:r w:rsidR="009244D4">
        <w:rPr>
          <w:rFonts w:asciiTheme="majorBidi" w:hAnsiTheme="majorBidi" w:cstheme="majorBidi"/>
          <w:sz w:val="24"/>
          <w:szCs w:val="24"/>
        </w:rPr>
        <w:t>,</w:t>
      </w:r>
      <w:r w:rsidR="00971589">
        <w:rPr>
          <w:rFonts w:asciiTheme="majorBidi" w:hAnsiTheme="majorBidi" w:cstheme="majorBidi"/>
          <w:sz w:val="24"/>
          <w:szCs w:val="24"/>
        </w:rPr>
        <w:t xml:space="preserve"> the state’s conscription and assumption of property rights over the dead bodies of its citizens, contrary to the prevailing no-property rule on the human body. </w:t>
      </w:r>
      <w:r w:rsidR="00303068">
        <w:rPr>
          <w:rFonts w:asciiTheme="majorBidi" w:hAnsiTheme="majorBidi" w:cstheme="majorBidi"/>
          <w:sz w:val="24"/>
          <w:szCs w:val="24"/>
        </w:rPr>
        <w:t>After the eighteenth century,</w:t>
      </w:r>
      <w:r w:rsidR="001620E2">
        <w:rPr>
          <w:rFonts w:asciiTheme="majorBidi" w:hAnsiTheme="majorBidi" w:cstheme="majorBidi"/>
          <w:sz w:val="24"/>
          <w:szCs w:val="24"/>
        </w:rPr>
        <w:t xml:space="preserve"> anatomy and dissection</w:t>
      </w:r>
      <w:r w:rsidR="00303068">
        <w:rPr>
          <w:rFonts w:asciiTheme="majorBidi" w:hAnsiTheme="majorBidi" w:cstheme="majorBidi"/>
          <w:sz w:val="24"/>
          <w:szCs w:val="24"/>
        </w:rPr>
        <w:t xml:space="preserve"> became established as</w:t>
      </w:r>
      <w:r w:rsidR="001620E2">
        <w:rPr>
          <w:rFonts w:asciiTheme="majorBidi" w:hAnsiTheme="majorBidi" w:cstheme="majorBidi"/>
          <w:sz w:val="24"/>
          <w:szCs w:val="24"/>
        </w:rPr>
        <w:t xml:space="preserve"> standard part</w:t>
      </w:r>
      <w:r w:rsidR="00303068">
        <w:rPr>
          <w:rFonts w:asciiTheme="majorBidi" w:hAnsiTheme="majorBidi" w:cstheme="majorBidi"/>
          <w:sz w:val="24"/>
          <w:szCs w:val="24"/>
        </w:rPr>
        <w:t>s</w:t>
      </w:r>
      <w:r w:rsidR="001620E2">
        <w:rPr>
          <w:rFonts w:asciiTheme="majorBidi" w:hAnsiTheme="majorBidi" w:cstheme="majorBidi"/>
          <w:sz w:val="24"/>
          <w:szCs w:val="24"/>
        </w:rPr>
        <w:t xml:space="preserve"> of medical training</w:t>
      </w:r>
      <w:r w:rsidR="00303068">
        <w:rPr>
          <w:rFonts w:asciiTheme="majorBidi" w:hAnsiTheme="majorBidi" w:cstheme="majorBidi"/>
          <w:sz w:val="24"/>
          <w:szCs w:val="24"/>
        </w:rPr>
        <w:t xml:space="preserve"> and education; this triggered a huge demand for dead bodies</w:t>
      </w:r>
      <w:r w:rsidR="00CC1525">
        <w:rPr>
          <w:rFonts w:asciiTheme="majorBidi" w:hAnsiTheme="majorBidi" w:cstheme="majorBidi"/>
          <w:sz w:val="24"/>
          <w:szCs w:val="24"/>
        </w:rPr>
        <w:t xml:space="preserve"> often met by a black market where</w:t>
      </w:r>
      <w:r w:rsidR="00C02E49">
        <w:rPr>
          <w:rFonts w:asciiTheme="majorBidi" w:hAnsiTheme="majorBidi" w:cstheme="majorBidi"/>
          <w:sz w:val="24"/>
          <w:szCs w:val="24"/>
        </w:rPr>
        <w:t xml:space="preserve"> newly buried corpses unlawfully</w:t>
      </w:r>
      <w:r w:rsidR="00CC1525">
        <w:rPr>
          <w:rFonts w:asciiTheme="majorBidi" w:hAnsiTheme="majorBidi" w:cstheme="majorBidi"/>
          <w:sz w:val="24"/>
          <w:szCs w:val="24"/>
        </w:rPr>
        <w:t xml:space="preserve"> exhumed</w:t>
      </w:r>
      <w:r w:rsidR="00C02E49">
        <w:rPr>
          <w:rFonts w:asciiTheme="majorBidi" w:hAnsiTheme="majorBidi" w:cstheme="majorBidi"/>
          <w:sz w:val="24"/>
          <w:szCs w:val="24"/>
        </w:rPr>
        <w:t xml:space="preserve"> from their graves</w:t>
      </w:r>
      <w:r w:rsidR="00CC1525">
        <w:rPr>
          <w:rFonts w:asciiTheme="majorBidi" w:hAnsiTheme="majorBidi" w:cstheme="majorBidi"/>
          <w:sz w:val="24"/>
          <w:szCs w:val="24"/>
        </w:rPr>
        <w:t xml:space="preserve"> were bought and sold, again in</w:t>
      </w:r>
      <w:r w:rsidR="00917F46">
        <w:rPr>
          <w:rFonts w:asciiTheme="majorBidi" w:hAnsiTheme="majorBidi" w:cstheme="majorBidi"/>
          <w:sz w:val="24"/>
          <w:szCs w:val="24"/>
        </w:rPr>
        <w:t xml:space="preserve"> </w:t>
      </w:r>
      <w:r w:rsidR="00CC1525">
        <w:rPr>
          <w:rFonts w:asciiTheme="majorBidi" w:hAnsiTheme="majorBidi" w:cstheme="majorBidi"/>
          <w:sz w:val="24"/>
          <w:szCs w:val="24"/>
        </w:rPr>
        <w:t xml:space="preserve">spite of the no-property rule. </w:t>
      </w:r>
      <w:r w:rsidR="00607A87">
        <w:rPr>
          <w:rFonts w:asciiTheme="majorBidi" w:hAnsiTheme="majorBidi" w:cstheme="majorBidi"/>
          <w:sz w:val="24"/>
          <w:szCs w:val="24"/>
        </w:rPr>
        <w:t>T</w:t>
      </w:r>
      <w:r w:rsidR="00510B82">
        <w:rPr>
          <w:rFonts w:asciiTheme="majorBidi" w:hAnsiTheme="majorBidi" w:cstheme="majorBidi"/>
          <w:sz w:val="24"/>
          <w:szCs w:val="24"/>
        </w:rPr>
        <w:t xml:space="preserve">here </w:t>
      </w:r>
      <w:r w:rsidR="00B51C08">
        <w:rPr>
          <w:rFonts w:asciiTheme="majorBidi" w:hAnsiTheme="majorBidi" w:cstheme="majorBidi"/>
          <w:sz w:val="24"/>
          <w:szCs w:val="24"/>
        </w:rPr>
        <w:t>is</w:t>
      </w:r>
      <w:r w:rsidR="00510B82">
        <w:rPr>
          <w:rFonts w:asciiTheme="majorBidi" w:hAnsiTheme="majorBidi" w:cstheme="majorBidi"/>
          <w:sz w:val="24"/>
          <w:szCs w:val="24"/>
        </w:rPr>
        <w:t xml:space="preserve"> even</w:t>
      </w:r>
      <w:r w:rsidR="009244D4">
        <w:rPr>
          <w:rFonts w:asciiTheme="majorBidi" w:hAnsiTheme="majorBidi" w:cstheme="majorBidi"/>
          <w:sz w:val="24"/>
          <w:szCs w:val="24"/>
        </w:rPr>
        <w:t xml:space="preserve"> some</w:t>
      </w:r>
      <w:r w:rsidR="00510B82">
        <w:rPr>
          <w:rFonts w:asciiTheme="majorBidi" w:hAnsiTheme="majorBidi" w:cstheme="majorBidi"/>
          <w:sz w:val="24"/>
          <w:szCs w:val="24"/>
        </w:rPr>
        <w:t xml:space="preserve"> anecdotal evidence of a futures market </w:t>
      </w:r>
      <w:r w:rsidR="00EF31AD">
        <w:rPr>
          <w:rFonts w:asciiTheme="majorBidi" w:hAnsiTheme="majorBidi" w:cstheme="majorBidi"/>
          <w:sz w:val="24"/>
          <w:szCs w:val="24"/>
        </w:rPr>
        <w:t>i</w:t>
      </w:r>
      <w:r w:rsidR="00510B82">
        <w:rPr>
          <w:rFonts w:asciiTheme="majorBidi" w:hAnsiTheme="majorBidi" w:cstheme="majorBidi"/>
          <w:sz w:val="24"/>
          <w:szCs w:val="24"/>
        </w:rPr>
        <w:t xml:space="preserve">n cadavers </w:t>
      </w:r>
      <w:r w:rsidR="00D16D48">
        <w:rPr>
          <w:rFonts w:asciiTheme="majorBidi" w:hAnsiTheme="majorBidi" w:cstheme="majorBidi"/>
          <w:sz w:val="24"/>
          <w:szCs w:val="24"/>
        </w:rPr>
        <w:t>(</w:t>
      </w:r>
      <w:r w:rsidR="00510B82">
        <w:rPr>
          <w:rFonts w:asciiTheme="majorBidi" w:hAnsiTheme="majorBidi" w:cstheme="majorBidi"/>
          <w:sz w:val="24"/>
          <w:szCs w:val="24"/>
        </w:rPr>
        <w:t>for dissection</w:t>
      </w:r>
      <w:r w:rsidR="00D16D48">
        <w:rPr>
          <w:rFonts w:asciiTheme="majorBidi" w:hAnsiTheme="majorBidi" w:cstheme="majorBidi"/>
          <w:sz w:val="24"/>
          <w:szCs w:val="24"/>
        </w:rPr>
        <w:t>)</w:t>
      </w:r>
      <w:r w:rsidR="00510B82">
        <w:rPr>
          <w:rFonts w:asciiTheme="majorBidi" w:hAnsiTheme="majorBidi" w:cstheme="majorBidi"/>
          <w:sz w:val="24"/>
          <w:szCs w:val="24"/>
        </w:rPr>
        <w:t xml:space="preserve"> in the seventeenth century.</w:t>
      </w:r>
      <w:r w:rsidR="00510B82">
        <w:rPr>
          <w:rStyle w:val="FootnoteReference"/>
          <w:rFonts w:asciiTheme="majorBidi" w:hAnsiTheme="majorBidi" w:cstheme="majorBidi"/>
          <w:sz w:val="24"/>
          <w:szCs w:val="24"/>
        </w:rPr>
        <w:footnoteReference w:id="140"/>
      </w:r>
      <w:r w:rsidR="009244D4">
        <w:rPr>
          <w:rFonts w:asciiTheme="majorBidi" w:hAnsiTheme="majorBidi" w:cstheme="majorBidi"/>
          <w:sz w:val="24"/>
          <w:szCs w:val="24"/>
        </w:rPr>
        <w:t xml:space="preserve"> Thus, while the body was not property for the purpose</w:t>
      </w:r>
      <w:r w:rsidR="000F347F">
        <w:rPr>
          <w:rFonts w:asciiTheme="majorBidi" w:hAnsiTheme="majorBidi" w:cstheme="majorBidi"/>
          <w:sz w:val="24"/>
          <w:szCs w:val="24"/>
        </w:rPr>
        <w:t>s</w:t>
      </w:r>
      <w:r w:rsidR="009244D4">
        <w:rPr>
          <w:rFonts w:asciiTheme="majorBidi" w:hAnsiTheme="majorBidi" w:cstheme="majorBidi"/>
          <w:sz w:val="24"/>
          <w:szCs w:val="24"/>
        </w:rPr>
        <w:t xml:space="preserve"> of legal regulation,</w:t>
      </w:r>
      <w:r w:rsidR="00386477">
        <w:rPr>
          <w:rFonts w:asciiTheme="majorBidi" w:hAnsiTheme="majorBidi" w:cstheme="majorBidi"/>
          <w:sz w:val="24"/>
          <w:szCs w:val="24"/>
        </w:rPr>
        <w:t xml:space="preserve"> at the same time,</w:t>
      </w:r>
      <w:r w:rsidR="009244D4">
        <w:rPr>
          <w:rFonts w:asciiTheme="majorBidi" w:hAnsiTheme="majorBidi" w:cstheme="majorBidi"/>
          <w:sz w:val="24"/>
          <w:szCs w:val="24"/>
        </w:rPr>
        <w:t xml:space="preserve"> it was</w:t>
      </w:r>
      <w:r w:rsidR="000F347F">
        <w:rPr>
          <w:rFonts w:asciiTheme="majorBidi" w:hAnsiTheme="majorBidi" w:cstheme="majorBidi"/>
          <w:sz w:val="24"/>
          <w:szCs w:val="24"/>
        </w:rPr>
        <w:t xml:space="preserve"> practically treated as </w:t>
      </w:r>
      <w:r w:rsidR="009244D4">
        <w:rPr>
          <w:rFonts w:asciiTheme="majorBidi" w:hAnsiTheme="majorBidi" w:cstheme="majorBidi"/>
          <w:sz w:val="24"/>
          <w:szCs w:val="24"/>
        </w:rPr>
        <w:t>property in</w:t>
      </w:r>
      <w:r w:rsidR="000F347F">
        <w:rPr>
          <w:rFonts w:asciiTheme="majorBidi" w:hAnsiTheme="majorBidi" w:cstheme="majorBidi"/>
          <w:sz w:val="24"/>
          <w:szCs w:val="24"/>
        </w:rPr>
        <w:t xml:space="preserve"> market and</w:t>
      </w:r>
      <w:r w:rsidR="009244D4">
        <w:rPr>
          <w:rFonts w:asciiTheme="majorBidi" w:hAnsiTheme="majorBidi" w:cstheme="majorBidi"/>
          <w:sz w:val="24"/>
          <w:szCs w:val="24"/>
        </w:rPr>
        <w:t xml:space="preserve"> transactional</w:t>
      </w:r>
      <w:r w:rsidR="000F347F">
        <w:rPr>
          <w:rFonts w:asciiTheme="majorBidi" w:hAnsiTheme="majorBidi" w:cstheme="majorBidi"/>
          <w:sz w:val="24"/>
          <w:szCs w:val="24"/>
        </w:rPr>
        <w:t xml:space="preserve"> senses</w:t>
      </w:r>
      <w:r w:rsidR="009244D4">
        <w:rPr>
          <w:rFonts w:asciiTheme="majorBidi" w:hAnsiTheme="majorBidi" w:cstheme="majorBidi"/>
          <w:sz w:val="24"/>
          <w:szCs w:val="24"/>
        </w:rPr>
        <w:t>.</w:t>
      </w:r>
    </w:p>
    <w:p w:rsidR="00CF3144" w:rsidRDefault="00C02E49" w:rsidP="00A24654">
      <w:pPr>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8D6256">
        <w:rPr>
          <w:rFonts w:asciiTheme="majorBidi" w:hAnsiTheme="majorBidi" w:cstheme="majorBidi"/>
          <w:sz w:val="24"/>
          <w:szCs w:val="24"/>
        </w:rPr>
        <w:t>Re</w:t>
      </w:r>
      <w:r w:rsidR="00C042DF">
        <w:rPr>
          <w:rFonts w:asciiTheme="majorBidi" w:hAnsiTheme="majorBidi" w:cstheme="majorBidi"/>
          <w:sz w:val="24"/>
          <w:szCs w:val="24"/>
        </w:rPr>
        <w:t>flecting on</w:t>
      </w:r>
      <w:r w:rsidR="008D6256">
        <w:rPr>
          <w:rFonts w:asciiTheme="majorBidi" w:hAnsiTheme="majorBidi" w:cstheme="majorBidi"/>
          <w:sz w:val="24"/>
          <w:szCs w:val="24"/>
        </w:rPr>
        <w:t xml:space="preserve"> </w:t>
      </w:r>
      <w:r w:rsidR="00A52285">
        <w:rPr>
          <w:rFonts w:asciiTheme="majorBidi" w:hAnsiTheme="majorBidi" w:cstheme="majorBidi"/>
          <w:sz w:val="24"/>
          <w:szCs w:val="24"/>
        </w:rPr>
        <w:t>situation</w:t>
      </w:r>
      <w:r w:rsidR="00C042DF">
        <w:rPr>
          <w:rFonts w:asciiTheme="majorBidi" w:hAnsiTheme="majorBidi" w:cstheme="majorBidi"/>
          <w:sz w:val="24"/>
          <w:szCs w:val="24"/>
        </w:rPr>
        <w:t>s similar to the</w:t>
      </w:r>
      <w:r w:rsidR="00A52285">
        <w:rPr>
          <w:rFonts w:asciiTheme="majorBidi" w:hAnsiTheme="majorBidi" w:cstheme="majorBidi"/>
          <w:sz w:val="24"/>
          <w:szCs w:val="24"/>
        </w:rPr>
        <w:t xml:space="preserve"> above</w:t>
      </w:r>
      <w:r w:rsidR="008D6256">
        <w:rPr>
          <w:rFonts w:asciiTheme="majorBidi" w:hAnsiTheme="majorBidi" w:cstheme="majorBidi"/>
          <w:sz w:val="24"/>
          <w:szCs w:val="24"/>
        </w:rPr>
        <w:t>, Richardson observed that ‘this was a market economy of goods and services…the goods bought and sold were human corpses…Corpses were priced up, haggled over, negotiated for, discussed in terms of supply and demand, delivered, imported, exported, and transported’.</w:t>
      </w:r>
      <w:r w:rsidR="008D6256">
        <w:rPr>
          <w:rStyle w:val="FootnoteReference"/>
          <w:rFonts w:asciiTheme="majorBidi" w:hAnsiTheme="majorBidi" w:cstheme="majorBidi"/>
          <w:sz w:val="24"/>
          <w:szCs w:val="24"/>
        </w:rPr>
        <w:footnoteReference w:id="141"/>
      </w:r>
      <w:r w:rsidR="00E53DCA">
        <w:rPr>
          <w:rFonts w:asciiTheme="majorBidi" w:hAnsiTheme="majorBidi" w:cstheme="majorBidi"/>
          <w:sz w:val="24"/>
          <w:szCs w:val="24"/>
        </w:rPr>
        <w:t xml:space="preserve"> Things have not changed much since then;</w:t>
      </w:r>
      <w:r w:rsidR="00DB7969">
        <w:rPr>
          <w:rFonts w:asciiTheme="majorBidi" w:hAnsiTheme="majorBidi" w:cstheme="majorBidi"/>
          <w:sz w:val="24"/>
          <w:szCs w:val="24"/>
        </w:rPr>
        <w:t xml:space="preserve"> </w:t>
      </w:r>
      <w:r w:rsidR="00E53DCA">
        <w:rPr>
          <w:rFonts w:asciiTheme="majorBidi" w:hAnsiTheme="majorBidi" w:cstheme="majorBidi"/>
          <w:sz w:val="24"/>
          <w:szCs w:val="24"/>
        </w:rPr>
        <w:t>although</w:t>
      </w:r>
      <w:r w:rsidR="0069077B">
        <w:rPr>
          <w:rFonts w:asciiTheme="majorBidi" w:hAnsiTheme="majorBidi" w:cstheme="majorBidi"/>
          <w:sz w:val="24"/>
          <w:szCs w:val="24"/>
        </w:rPr>
        <w:t xml:space="preserve"> the no-property rule</w:t>
      </w:r>
      <w:r w:rsidR="00E53DCA">
        <w:rPr>
          <w:rFonts w:asciiTheme="majorBidi" w:hAnsiTheme="majorBidi" w:cstheme="majorBidi"/>
          <w:sz w:val="24"/>
          <w:szCs w:val="24"/>
        </w:rPr>
        <w:t xml:space="preserve"> is still in force in its generality and</w:t>
      </w:r>
      <w:r w:rsidR="0069077B">
        <w:rPr>
          <w:rFonts w:asciiTheme="majorBidi" w:hAnsiTheme="majorBidi" w:cstheme="majorBidi"/>
          <w:sz w:val="24"/>
          <w:szCs w:val="24"/>
        </w:rPr>
        <w:t xml:space="preserve"> remains the mantra of </w:t>
      </w:r>
      <w:r w:rsidR="00E53DCA">
        <w:rPr>
          <w:rFonts w:asciiTheme="majorBidi" w:hAnsiTheme="majorBidi" w:cstheme="majorBidi"/>
          <w:sz w:val="24"/>
          <w:szCs w:val="24"/>
        </w:rPr>
        <w:t xml:space="preserve">the </w:t>
      </w:r>
      <w:r w:rsidR="0069077B">
        <w:rPr>
          <w:rFonts w:asciiTheme="majorBidi" w:hAnsiTheme="majorBidi" w:cstheme="majorBidi"/>
          <w:sz w:val="24"/>
          <w:szCs w:val="24"/>
        </w:rPr>
        <w:t>common</w:t>
      </w:r>
      <w:r w:rsidR="00E53DCA">
        <w:rPr>
          <w:rFonts w:asciiTheme="majorBidi" w:hAnsiTheme="majorBidi" w:cstheme="majorBidi"/>
          <w:sz w:val="24"/>
          <w:szCs w:val="24"/>
        </w:rPr>
        <w:t xml:space="preserve"> law</w:t>
      </w:r>
      <w:r w:rsidR="0069077B">
        <w:rPr>
          <w:rFonts w:asciiTheme="majorBidi" w:hAnsiTheme="majorBidi" w:cstheme="majorBidi"/>
          <w:sz w:val="24"/>
          <w:szCs w:val="24"/>
        </w:rPr>
        <w:t xml:space="preserve"> on bod</w:t>
      </w:r>
      <w:r w:rsidR="00903B13">
        <w:rPr>
          <w:rFonts w:asciiTheme="majorBidi" w:hAnsiTheme="majorBidi" w:cstheme="majorBidi"/>
          <w:sz w:val="24"/>
          <w:szCs w:val="24"/>
        </w:rPr>
        <w:t>il</w:t>
      </w:r>
      <w:r w:rsidR="0069077B">
        <w:rPr>
          <w:rFonts w:asciiTheme="majorBidi" w:hAnsiTheme="majorBidi" w:cstheme="majorBidi"/>
          <w:sz w:val="24"/>
          <w:szCs w:val="24"/>
        </w:rPr>
        <w:t>y parts,</w:t>
      </w:r>
      <w:r w:rsidR="0069077B">
        <w:rPr>
          <w:rStyle w:val="FootnoteReference"/>
          <w:rFonts w:asciiTheme="majorBidi" w:hAnsiTheme="majorBidi" w:cstheme="majorBidi"/>
          <w:sz w:val="24"/>
          <w:szCs w:val="24"/>
        </w:rPr>
        <w:footnoteReference w:id="142"/>
      </w:r>
      <w:r w:rsidR="00E53DCA">
        <w:rPr>
          <w:rFonts w:asciiTheme="majorBidi" w:hAnsiTheme="majorBidi" w:cstheme="majorBidi"/>
          <w:sz w:val="24"/>
          <w:szCs w:val="24"/>
        </w:rPr>
        <w:t xml:space="preserve"> yet</w:t>
      </w:r>
      <w:r w:rsidR="0069077B">
        <w:rPr>
          <w:rFonts w:asciiTheme="majorBidi" w:hAnsiTheme="majorBidi" w:cstheme="majorBidi"/>
          <w:sz w:val="24"/>
          <w:szCs w:val="24"/>
        </w:rPr>
        <w:t xml:space="preserve"> a huge and lucrative</w:t>
      </w:r>
      <w:r w:rsidR="00431E49">
        <w:rPr>
          <w:rFonts w:asciiTheme="majorBidi" w:hAnsiTheme="majorBidi" w:cstheme="majorBidi"/>
          <w:sz w:val="24"/>
          <w:szCs w:val="24"/>
        </w:rPr>
        <w:t xml:space="preserve"> transnational</w:t>
      </w:r>
      <w:r w:rsidR="0069077B">
        <w:rPr>
          <w:rFonts w:asciiTheme="majorBidi" w:hAnsiTheme="majorBidi" w:cstheme="majorBidi"/>
          <w:sz w:val="24"/>
          <w:szCs w:val="24"/>
        </w:rPr>
        <w:t xml:space="preserve"> </w:t>
      </w:r>
      <w:r w:rsidR="00C01553">
        <w:rPr>
          <w:rFonts w:asciiTheme="majorBidi" w:hAnsiTheme="majorBidi" w:cstheme="majorBidi"/>
          <w:sz w:val="24"/>
          <w:szCs w:val="24"/>
        </w:rPr>
        <w:t>market</w:t>
      </w:r>
      <w:r w:rsidR="0069077B">
        <w:rPr>
          <w:rFonts w:asciiTheme="majorBidi" w:hAnsiTheme="majorBidi" w:cstheme="majorBidi"/>
          <w:sz w:val="24"/>
          <w:szCs w:val="24"/>
        </w:rPr>
        <w:t xml:space="preserve"> </w:t>
      </w:r>
      <w:r w:rsidR="00431E49">
        <w:rPr>
          <w:rFonts w:asciiTheme="majorBidi" w:hAnsiTheme="majorBidi" w:cstheme="majorBidi"/>
          <w:sz w:val="24"/>
          <w:szCs w:val="24"/>
        </w:rPr>
        <w:t>has developed over</w:t>
      </w:r>
      <w:r w:rsidR="0069077B">
        <w:rPr>
          <w:rFonts w:asciiTheme="majorBidi" w:hAnsiTheme="majorBidi" w:cstheme="majorBidi"/>
          <w:sz w:val="24"/>
          <w:szCs w:val="24"/>
        </w:rPr>
        <w:t xml:space="preserve"> blood and bloo</w:t>
      </w:r>
      <w:r w:rsidR="00E53DCA">
        <w:rPr>
          <w:rFonts w:asciiTheme="majorBidi" w:hAnsiTheme="majorBidi" w:cstheme="majorBidi"/>
          <w:sz w:val="24"/>
          <w:szCs w:val="24"/>
        </w:rPr>
        <w:t>d products;</w:t>
      </w:r>
      <w:r w:rsidR="0069077B">
        <w:rPr>
          <w:rStyle w:val="FootnoteReference"/>
          <w:rFonts w:asciiTheme="majorBidi" w:hAnsiTheme="majorBidi" w:cstheme="majorBidi"/>
          <w:sz w:val="24"/>
          <w:szCs w:val="24"/>
        </w:rPr>
        <w:footnoteReference w:id="143"/>
      </w:r>
      <w:r w:rsidR="00E53DCA">
        <w:rPr>
          <w:rFonts w:asciiTheme="majorBidi" w:hAnsiTheme="majorBidi" w:cstheme="majorBidi"/>
          <w:sz w:val="24"/>
          <w:szCs w:val="24"/>
        </w:rPr>
        <w:t xml:space="preserve"> there is also a huge market for</w:t>
      </w:r>
      <w:r w:rsidR="0069077B">
        <w:rPr>
          <w:rFonts w:asciiTheme="majorBidi" w:hAnsiTheme="majorBidi" w:cstheme="majorBidi"/>
          <w:sz w:val="24"/>
          <w:szCs w:val="24"/>
        </w:rPr>
        <w:t xml:space="preserve"> other tissues and bod</w:t>
      </w:r>
      <w:r w:rsidR="00903B13">
        <w:rPr>
          <w:rFonts w:asciiTheme="majorBidi" w:hAnsiTheme="majorBidi" w:cstheme="majorBidi"/>
          <w:sz w:val="24"/>
          <w:szCs w:val="24"/>
        </w:rPr>
        <w:t>il</w:t>
      </w:r>
      <w:r w:rsidR="0069077B">
        <w:rPr>
          <w:rFonts w:asciiTheme="majorBidi" w:hAnsiTheme="majorBidi" w:cstheme="majorBidi"/>
          <w:sz w:val="24"/>
          <w:szCs w:val="24"/>
        </w:rPr>
        <w:t>y parts.</w:t>
      </w:r>
      <w:r w:rsidR="0069077B">
        <w:rPr>
          <w:rStyle w:val="FootnoteReference"/>
          <w:rFonts w:asciiTheme="majorBidi" w:hAnsiTheme="majorBidi" w:cstheme="majorBidi"/>
          <w:sz w:val="24"/>
          <w:szCs w:val="24"/>
        </w:rPr>
        <w:footnoteReference w:id="144"/>
      </w:r>
      <w:r w:rsidR="002A4EA4">
        <w:rPr>
          <w:rFonts w:asciiTheme="majorBidi" w:hAnsiTheme="majorBidi" w:cstheme="majorBidi"/>
          <w:sz w:val="24"/>
          <w:szCs w:val="24"/>
        </w:rPr>
        <w:t xml:space="preserve"> Duplex is also evident in the coupling of a proprietary regime to the no-property rule, albeit under the so-called work or skill exception. As argued above, the conceptual instability of the work or skill exception suggests that it is not a sufficient justification of the duplex on bodily parts. In my view, the work or skill exception is simply a smokescreen for the</w:t>
      </w:r>
      <w:r w:rsidR="008263A4">
        <w:rPr>
          <w:rFonts w:asciiTheme="majorBidi" w:hAnsiTheme="majorBidi" w:cstheme="majorBidi"/>
          <w:sz w:val="24"/>
          <w:szCs w:val="24"/>
        </w:rPr>
        <w:t xml:space="preserve"> judicial</w:t>
      </w:r>
      <w:r w:rsidR="002A4EA4">
        <w:rPr>
          <w:rFonts w:asciiTheme="majorBidi" w:hAnsiTheme="majorBidi" w:cstheme="majorBidi"/>
          <w:sz w:val="24"/>
          <w:szCs w:val="24"/>
        </w:rPr>
        <w:t xml:space="preserve"> application</w:t>
      </w:r>
      <w:r w:rsidR="009F7991">
        <w:rPr>
          <w:rFonts w:asciiTheme="majorBidi" w:hAnsiTheme="majorBidi" w:cstheme="majorBidi"/>
          <w:sz w:val="24"/>
          <w:szCs w:val="24"/>
        </w:rPr>
        <w:t xml:space="preserve"> to bodily parts</w:t>
      </w:r>
      <w:r w:rsidR="002A4EA4">
        <w:rPr>
          <w:rFonts w:asciiTheme="majorBidi" w:hAnsiTheme="majorBidi" w:cstheme="majorBidi"/>
          <w:sz w:val="24"/>
          <w:szCs w:val="24"/>
        </w:rPr>
        <w:t xml:space="preserve"> of a duplex that is well-established in historical and market contexts</w:t>
      </w:r>
      <w:r w:rsidR="008263A4">
        <w:rPr>
          <w:rFonts w:asciiTheme="majorBidi" w:hAnsiTheme="majorBidi" w:cstheme="majorBidi"/>
          <w:sz w:val="24"/>
          <w:szCs w:val="24"/>
        </w:rPr>
        <w:t>;</w:t>
      </w:r>
      <w:r w:rsidR="002A4EA4">
        <w:rPr>
          <w:rFonts w:asciiTheme="majorBidi" w:hAnsiTheme="majorBidi" w:cstheme="majorBidi"/>
          <w:sz w:val="24"/>
          <w:szCs w:val="24"/>
        </w:rPr>
        <w:t xml:space="preserve"> just that the duplex driven by that exception is only applied to</w:t>
      </w:r>
      <w:r w:rsidR="008263A4">
        <w:rPr>
          <w:rFonts w:asciiTheme="majorBidi" w:hAnsiTheme="majorBidi" w:cstheme="majorBidi"/>
          <w:sz w:val="24"/>
          <w:szCs w:val="24"/>
        </w:rPr>
        <w:t xml:space="preserve"> the claims of</w:t>
      </w:r>
      <w:r w:rsidR="002A4EA4">
        <w:rPr>
          <w:rFonts w:asciiTheme="majorBidi" w:hAnsiTheme="majorBidi" w:cstheme="majorBidi"/>
          <w:sz w:val="24"/>
          <w:szCs w:val="24"/>
        </w:rPr>
        <w:t xml:space="preserve"> tissue users and innovators.</w:t>
      </w:r>
      <w:r w:rsidR="000517C6">
        <w:rPr>
          <w:rFonts w:asciiTheme="majorBidi" w:hAnsiTheme="majorBidi" w:cstheme="majorBidi"/>
          <w:sz w:val="24"/>
          <w:szCs w:val="24"/>
        </w:rPr>
        <w:t xml:space="preserve"> Outside the work or skill exception,</w:t>
      </w:r>
      <w:r w:rsidR="0070127D">
        <w:rPr>
          <w:rFonts w:asciiTheme="majorBidi" w:hAnsiTheme="majorBidi" w:cstheme="majorBidi"/>
          <w:sz w:val="24"/>
          <w:szCs w:val="24"/>
        </w:rPr>
        <w:t xml:space="preserve"> as highlighted above,</w:t>
      </w:r>
      <w:r w:rsidR="00510B82">
        <w:rPr>
          <w:rFonts w:asciiTheme="majorBidi" w:hAnsiTheme="majorBidi" w:cstheme="majorBidi"/>
          <w:sz w:val="24"/>
          <w:szCs w:val="24"/>
        </w:rPr>
        <w:t xml:space="preserve"> </w:t>
      </w:r>
      <w:r w:rsidR="000517C6">
        <w:rPr>
          <w:rFonts w:asciiTheme="majorBidi" w:hAnsiTheme="majorBidi" w:cstheme="majorBidi"/>
          <w:sz w:val="24"/>
          <w:szCs w:val="24"/>
        </w:rPr>
        <w:t>a</w:t>
      </w:r>
      <w:r w:rsidR="007B0193">
        <w:rPr>
          <w:rFonts w:asciiTheme="majorBidi" w:hAnsiTheme="majorBidi" w:cstheme="majorBidi"/>
          <w:sz w:val="24"/>
          <w:szCs w:val="24"/>
        </w:rPr>
        <w:t xml:space="preserve"> similar duplex could be seen in the treatment of different categories of claimants in relation</w:t>
      </w:r>
      <w:r w:rsidR="0019663E">
        <w:rPr>
          <w:rFonts w:asciiTheme="majorBidi" w:hAnsiTheme="majorBidi" w:cstheme="majorBidi"/>
          <w:sz w:val="24"/>
          <w:szCs w:val="24"/>
        </w:rPr>
        <w:t xml:space="preserve"> to the human body. For instance,</w:t>
      </w:r>
      <w:r w:rsidR="00D16D48">
        <w:rPr>
          <w:rFonts w:asciiTheme="majorBidi" w:hAnsiTheme="majorBidi" w:cstheme="majorBidi"/>
          <w:sz w:val="24"/>
          <w:szCs w:val="24"/>
        </w:rPr>
        <w:t xml:space="preserve"> while tissue sources are</w:t>
      </w:r>
      <w:r w:rsidR="0019663E">
        <w:rPr>
          <w:rFonts w:asciiTheme="majorBidi" w:hAnsiTheme="majorBidi" w:cstheme="majorBidi"/>
          <w:sz w:val="24"/>
          <w:szCs w:val="24"/>
        </w:rPr>
        <w:t xml:space="preserve"> generally</w:t>
      </w:r>
      <w:r w:rsidR="00D16D48">
        <w:rPr>
          <w:rFonts w:asciiTheme="majorBidi" w:hAnsiTheme="majorBidi" w:cstheme="majorBidi"/>
          <w:sz w:val="24"/>
          <w:szCs w:val="24"/>
        </w:rPr>
        <w:t xml:space="preserve"> denied</w:t>
      </w:r>
      <w:r w:rsidR="0019663E">
        <w:rPr>
          <w:rFonts w:asciiTheme="majorBidi" w:hAnsiTheme="majorBidi" w:cstheme="majorBidi"/>
          <w:sz w:val="24"/>
          <w:szCs w:val="24"/>
        </w:rPr>
        <w:t xml:space="preserve"> of</w:t>
      </w:r>
      <w:r w:rsidR="00D16D48">
        <w:rPr>
          <w:rFonts w:asciiTheme="majorBidi" w:hAnsiTheme="majorBidi" w:cstheme="majorBidi"/>
          <w:sz w:val="24"/>
          <w:szCs w:val="24"/>
        </w:rPr>
        <w:t xml:space="preserve"> property rights in th</w:t>
      </w:r>
      <w:r w:rsidR="0019663E">
        <w:rPr>
          <w:rFonts w:asciiTheme="majorBidi" w:hAnsiTheme="majorBidi" w:cstheme="majorBidi"/>
          <w:sz w:val="24"/>
          <w:szCs w:val="24"/>
        </w:rPr>
        <w:t>e</w:t>
      </w:r>
      <w:r w:rsidR="00F913F0">
        <w:rPr>
          <w:rFonts w:asciiTheme="majorBidi" w:hAnsiTheme="majorBidi" w:cstheme="majorBidi"/>
          <w:sz w:val="24"/>
          <w:szCs w:val="24"/>
        </w:rPr>
        <w:t xml:space="preserve"> separated</w:t>
      </w:r>
      <w:r w:rsidR="0019663E">
        <w:rPr>
          <w:rFonts w:asciiTheme="majorBidi" w:hAnsiTheme="majorBidi" w:cstheme="majorBidi"/>
          <w:sz w:val="24"/>
          <w:szCs w:val="24"/>
        </w:rPr>
        <w:t xml:space="preserve"> parts of the</w:t>
      </w:r>
      <w:r w:rsidR="005A673F">
        <w:rPr>
          <w:rFonts w:asciiTheme="majorBidi" w:hAnsiTheme="majorBidi" w:cstheme="majorBidi"/>
          <w:sz w:val="24"/>
          <w:szCs w:val="24"/>
        </w:rPr>
        <w:t>ir</w:t>
      </w:r>
      <w:r w:rsidR="0019663E">
        <w:rPr>
          <w:rFonts w:asciiTheme="majorBidi" w:hAnsiTheme="majorBidi" w:cstheme="majorBidi"/>
          <w:sz w:val="24"/>
          <w:szCs w:val="24"/>
        </w:rPr>
        <w:t xml:space="preserve"> bodies</w:t>
      </w:r>
      <w:r w:rsidR="00AE3E84">
        <w:rPr>
          <w:rFonts w:asciiTheme="majorBidi" w:hAnsiTheme="majorBidi" w:cstheme="majorBidi"/>
          <w:sz w:val="24"/>
          <w:szCs w:val="24"/>
        </w:rPr>
        <w:t xml:space="preserve"> </w:t>
      </w:r>
      <w:r w:rsidR="0019663E">
        <w:rPr>
          <w:rFonts w:asciiTheme="majorBidi" w:hAnsiTheme="majorBidi" w:cstheme="majorBidi"/>
          <w:sz w:val="24"/>
          <w:szCs w:val="24"/>
        </w:rPr>
        <w:t>(</w:t>
      </w:r>
      <w:r w:rsidR="00AE3E84">
        <w:rPr>
          <w:rFonts w:asciiTheme="majorBidi" w:hAnsiTheme="majorBidi" w:cstheme="majorBidi"/>
          <w:sz w:val="24"/>
          <w:szCs w:val="24"/>
        </w:rPr>
        <w:t>bas</w:t>
      </w:r>
      <w:r w:rsidR="0019663E">
        <w:rPr>
          <w:rFonts w:asciiTheme="majorBidi" w:hAnsiTheme="majorBidi" w:cstheme="majorBidi"/>
          <w:sz w:val="24"/>
          <w:szCs w:val="24"/>
        </w:rPr>
        <w:t>ed on</w:t>
      </w:r>
      <w:r w:rsidR="00AE3E84">
        <w:rPr>
          <w:rFonts w:asciiTheme="majorBidi" w:hAnsiTheme="majorBidi" w:cstheme="majorBidi"/>
          <w:sz w:val="24"/>
          <w:szCs w:val="24"/>
        </w:rPr>
        <w:t xml:space="preserve"> the no-property rule</w:t>
      </w:r>
      <w:r w:rsidR="0019663E">
        <w:rPr>
          <w:rFonts w:asciiTheme="majorBidi" w:hAnsiTheme="majorBidi" w:cstheme="majorBidi"/>
          <w:sz w:val="24"/>
          <w:szCs w:val="24"/>
        </w:rPr>
        <w:t>)</w:t>
      </w:r>
      <w:r w:rsidR="00D16D48">
        <w:rPr>
          <w:rFonts w:asciiTheme="majorBidi" w:hAnsiTheme="majorBidi" w:cstheme="majorBidi"/>
          <w:sz w:val="24"/>
          <w:szCs w:val="24"/>
        </w:rPr>
        <w:t>,</w:t>
      </w:r>
      <w:r w:rsidR="00AE3E84">
        <w:rPr>
          <w:rStyle w:val="FootnoteReference"/>
          <w:rFonts w:asciiTheme="majorBidi" w:hAnsiTheme="majorBidi" w:cstheme="majorBidi"/>
          <w:sz w:val="24"/>
          <w:szCs w:val="24"/>
        </w:rPr>
        <w:footnoteReference w:id="145"/>
      </w:r>
      <w:r w:rsidR="00D16D48">
        <w:rPr>
          <w:rFonts w:asciiTheme="majorBidi" w:hAnsiTheme="majorBidi" w:cstheme="majorBidi"/>
          <w:sz w:val="24"/>
          <w:szCs w:val="24"/>
        </w:rPr>
        <w:t xml:space="preserve"> tissue users and innovators</w:t>
      </w:r>
      <w:r w:rsidR="0019663E">
        <w:rPr>
          <w:rFonts w:asciiTheme="majorBidi" w:hAnsiTheme="majorBidi" w:cstheme="majorBidi"/>
          <w:sz w:val="24"/>
          <w:szCs w:val="24"/>
        </w:rPr>
        <w:t xml:space="preserve"> have (at the same time) been acknowledged to possess some</w:t>
      </w:r>
      <w:r w:rsidR="002D3BB2">
        <w:rPr>
          <w:rFonts w:asciiTheme="majorBidi" w:hAnsiTheme="majorBidi" w:cstheme="majorBidi"/>
          <w:sz w:val="24"/>
          <w:szCs w:val="24"/>
        </w:rPr>
        <w:t xml:space="preserve"> prop</w:t>
      </w:r>
      <w:r w:rsidR="009C7E65">
        <w:rPr>
          <w:rFonts w:asciiTheme="majorBidi" w:hAnsiTheme="majorBidi" w:cstheme="majorBidi"/>
          <w:sz w:val="24"/>
          <w:szCs w:val="24"/>
        </w:rPr>
        <w:t>rietary</w:t>
      </w:r>
      <w:r w:rsidR="0019663E">
        <w:rPr>
          <w:rFonts w:asciiTheme="majorBidi" w:hAnsiTheme="majorBidi" w:cstheme="majorBidi"/>
          <w:sz w:val="24"/>
          <w:szCs w:val="24"/>
        </w:rPr>
        <w:t xml:space="preserve"> interests in those tissues</w:t>
      </w:r>
      <w:r w:rsidR="00D16D48">
        <w:rPr>
          <w:rFonts w:asciiTheme="majorBidi" w:hAnsiTheme="majorBidi" w:cstheme="majorBidi"/>
          <w:sz w:val="24"/>
          <w:szCs w:val="24"/>
        </w:rPr>
        <w:t>.</w:t>
      </w:r>
      <w:r w:rsidR="002D3BB2">
        <w:rPr>
          <w:rStyle w:val="FootnoteReference"/>
          <w:rFonts w:asciiTheme="majorBidi" w:hAnsiTheme="majorBidi" w:cstheme="majorBidi"/>
          <w:sz w:val="24"/>
          <w:szCs w:val="24"/>
        </w:rPr>
        <w:footnoteReference w:id="146"/>
      </w:r>
      <w:r w:rsidR="00AD71C0">
        <w:rPr>
          <w:rFonts w:asciiTheme="majorBidi" w:hAnsiTheme="majorBidi" w:cstheme="majorBidi"/>
          <w:sz w:val="24"/>
          <w:szCs w:val="24"/>
        </w:rPr>
        <w:t xml:space="preserve"> </w:t>
      </w:r>
      <w:r w:rsidR="005E7F0D">
        <w:rPr>
          <w:rFonts w:asciiTheme="majorBidi" w:hAnsiTheme="majorBidi" w:cstheme="majorBidi"/>
          <w:sz w:val="24"/>
          <w:szCs w:val="24"/>
        </w:rPr>
        <w:t>Reputable authors have highlighted this paradoxical, and potentially unjust, treatment of tissue sources.</w:t>
      </w:r>
      <w:r w:rsidR="005E7F0D">
        <w:rPr>
          <w:rStyle w:val="FootnoteReference"/>
          <w:rFonts w:asciiTheme="majorBidi" w:hAnsiTheme="majorBidi" w:cstheme="majorBidi"/>
          <w:sz w:val="24"/>
          <w:szCs w:val="24"/>
        </w:rPr>
        <w:footnoteReference w:id="147"/>
      </w:r>
      <w:r w:rsidR="005E7F0D">
        <w:rPr>
          <w:rFonts w:asciiTheme="majorBidi" w:hAnsiTheme="majorBidi" w:cstheme="majorBidi"/>
          <w:sz w:val="24"/>
          <w:szCs w:val="24"/>
        </w:rPr>
        <w:t xml:space="preserve"> </w:t>
      </w:r>
      <w:r w:rsidR="00AD71C0">
        <w:rPr>
          <w:rFonts w:asciiTheme="majorBidi" w:hAnsiTheme="majorBidi" w:cstheme="majorBidi"/>
          <w:sz w:val="24"/>
          <w:szCs w:val="24"/>
        </w:rPr>
        <w:t>Brazier</w:t>
      </w:r>
      <w:r w:rsidR="005E7F0D">
        <w:rPr>
          <w:rFonts w:asciiTheme="majorBidi" w:hAnsiTheme="majorBidi" w:cstheme="majorBidi"/>
          <w:sz w:val="24"/>
          <w:szCs w:val="24"/>
        </w:rPr>
        <w:t>, for instance,</w:t>
      </w:r>
      <w:r w:rsidR="00761096">
        <w:rPr>
          <w:rFonts w:asciiTheme="majorBidi" w:hAnsiTheme="majorBidi" w:cstheme="majorBidi"/>
          <w:sz w:val="24"/>
          <w:szCs w:val="24"/>
        </w:rPr>
        <w:t xml:space="preserve"> observed that</w:t>
      </w:r>
      <w:r w:rsidR="00AD71C0">
        <w:rPr>
          <w:rFonts w:asciiTheme="majorBidi" w:hAnsiTheme="majorBidi" w:cstheme="majorBidi"/>
          <w:sz w:val="24"/>
          <w:szCs w:val="24"/>
        </w:rPr>
        <w:t xml:space="preserve"> though </w:t>
      </w:r>
      <w:r w:rsidR="00761096">
        <w:rPr>
          <w:rFonts w:asciiTheme="majorBidi" w:hAnsiTheme="majorBidi" w:cstheme="majorBidi"/>
          <w:sz w:val="24"/>
          <w:szCs w:val="24"/>
        </w:rPr>
        <w:t>the</w:t>
      </w:r>
      <w:r w:rsidR="00AD71C0">
        <w:rPr>
          <w:rFonts w:asciiTheme="majorBidi" w:hAnsiTheme="majorBidi" w:cstheme="majorBidi"/>
          <w:sz w:val="24"/>
          <w:szCs w:val="24"/>
        </w:rPr>
        <w:t xml:space="preserve"> deceased could not own their body, parts</w:t>
      </w:r>
      <w:r w:rsidR="00761096">
        <w:rPr>
          <w:rFonts w:asciiTheme="majorBidi" w:hAnsiTheme="majorBidi" w:cstheme="majorBidi"/>
          <w:sz w:val="24"/>
          <w:szCs w:val="24"/>
        </w:rPr>
        <w:t xml:space="preserve"> of the deceased’s body</w:t>
      </w:r>
      <w:r w:rsidR="00AD71C0">
        <w:rPr>
          <w:rFonts w:asciiTheme="majorBidi" w:hAnsiTheme="majorBidi" w:cstheme="majorBidi"/>
          <w:sz w:val="24"/>
          <w:szCs w:val="24"/>
        </w:rPr>
        <w:t xml:space="preserve"> could be ‘taken from the body without either the deceased’s or their family’s approval. Put to the uses of medicine, these body parts become, as if by magic, property, but property owned by persons unknown, for purposes unforeseen by the deceased’.</w:t>
      </w:r>
      <w:r w:rsidR="00AD71C0">
        <w:rPr>
          <w:rStyle w:val="FootnoteReference"/>
          <w:rFonts w:asciiTheme="majorBidi" w:hAnsiTheme="majorBidi" w:cstheme="majorBidi"/>
          <w:sz w:val="24"/>
          <w:szCs w:val="24"/>
        </w:rPr>
        <w:footnoteReference w:id="148"/>
      </w:r>
      <w:r w:rsidR="00D16D48">
        <w:rPr>
          <w:rFonts w:asciiTheme="majorBidi" w:hAnsiTheme="majorBidi" w:cstheme="majorBidi"/>
          <w:sz w:val="24"/>
          <w:szCs w:val="24"/>
        </w:rPr>
        <w:t xml:space="preserve"> </w:t>
      </w:r>
      <w:r w:rsidR="00761096">
        <w:rPr>
          <w:rFonts w:asciiTheme="majorBidi" w:hAnsiTheme="majorBidi" w:cstheme="majorBidi"/>
          <w:sz w:val="24"/>
          <w:szCs w:val="24"/>
        </w:rPr>
        <w:t xml:space="preserve"> This</w:t>
      </w:r>
      <w:r w:rsidR="00522E33">
        <w:rPr>
          <w:rFonts w:asciiTheme="majorBidi" w:hAnsiTheme="majorBidi" w:cstheme="majorBidi"/>
          <w:sz w:val="24"/>
          <w:szCs w:val="24"/>
        </w:rPr>
        <w:t xml:space="preserve"> clearly</w:t>
      </w:r>
      <w:r w:rsidR="00455325">
        <w:rPr>
          <w:rFonts w:asciiTheme="majorBidi" w:hAnsiTheme="majorBidi" w:cstheme="majorBidi"/>
          <w:sz w:val="24"/>
          <w:szCs w:val="24"/>
        </w:rPr>
        <w:t xml:space="preserve"> </w:t>
      </w:r>
      <w:r w:rsidR="00761096">
        <w:rPr>
          <w:rFonts w:asciiTheme="majorBidi" w:hAnsiTheme="majorBidi" w:cstheme="majorBidi"/>
          <w:sz w:val="24"/>
          <w:szCs w:val="24"/>
        </w:rPr>
        <w:t>suggests that</w:t>
      </w:r>
      <w:r w:rsidR="00510B82">
        <w:rPr>
          <w:rFonts w:asciiTheme="majorBidi" w:hAnsiTheme="majorBidi" w:cstheme="majorBidi"/>
          <w:sz w:val="24"/>
          <w:szCs w:val="24"/>
        </w:rPr>
        <w:t xml:space="preserve"> the</w:t>
      </w:r>
      <w:r w:rsidR="00327262">
        <w:rPr>
          <w:rFonts w:asciiTheme="majorBidi" w:hAnsiTheme="majorBidi" w:cstheme="majorBidi"/>
          <w:sz w:val="24"/>
          <w:szCs w:val="24"/>
        </w:rPr>
        <w:t xml:space="preserve"> common law and its praxis</w:t>
      </w:r>
      <w:r w:rsidR="00761096">
        <w:rPr>
          <w:rFonts w:asciiTheme="majorBidi" w:hAnsiTheme="majorBidi" w:cstheme="majorBidi"/>
          <w:sz w:val="24"/>
          <w:szCs w:val="24"/>
        </w:rPr>
        <w:t xml:space="preserve"> at once</w:t>
      </w:r>
      <w:r w:rsidR="00327262">
        <w:rPr>
          <w:rFonts w:asciiTheme="majorBidi" w:hAnsiTheme="majorBidi" w:cstheme="majorBidi"/>
          <w:sz w:val="24"/>
          <w:szCs w:val="24"/>
        </w:rPr>
        <w:t xml:space="preserve"> </w:t>
      </w:r>
      <w:r w:rsidR="00455325">
        <w:rPr>
          <w:rFonts w:asciiTheme="majorBidi" w:hAnsiTheme="majorBidi" w:cstheme="majorBidi"/>
          <w:sz w:val="24"/>
          <w:szCs w:val="24"/>
        </w:rPr>
        <w:t>treat</w:t>
      </w:r>
      <w:r w:rsidR="00327262">
        <w:rPr>
          <w:rFonts w:asciiTheme="majorBidi" w:hAnsiTheme="majorBidi" w:cstheme="majorBidi"/>
          <w:sz w:val="24"/>
          <w:szCs w:val="24"/>
        </w:rPr>
        <w:t xml:space="preserve"> the</w:t>
      </w:r>
      <w:r w:rsidR="00510B82">
        <w:rPr>
          <w:rFonts w:asciiTheme="majorBidi" w:hAnsiTheme="majorBidi" w:cstheme="majorBidi"/>
          <w:sz w:val="24"/>
          <w:szCs w:val="24"/>
        </w:rPr>
        <w:t xml:space="preserve"> human body as property and no</w:t>
      </w:r>
      <w:r w:rsidR="00522E33">
        <w:rPr>
          <w:rFonts w:asciiTheme="majorBidi" w:hAnsiTheme="majorBidi" w:cstheme="majorBidi"/>
          <w:sz w:val="24"/>
          <w:szCs w:val="24"/>
        </w:rPr>
        <w:t>n</w:t>
      </w:r>
      <w:r w:rsidR="00761096">
        <w:rPr>
          <w:rFonts w:asciiTheme="majorBidi" w:hAnsiTheme="majorBidi" w:cstheme="majorBidi"/>
          <w:sz w:val="24"/>
          <w:szCs w:val="24"/>
        </w:rPr>
        <w:t>-</w:t>
      </w:r>
      <w:r w:rsidR="00510B82">
        <w:rPr>
          <w:rFonts w:asciiTheme="majorBidi" w:hAnsiTheme="majorBidi" w:cstheme="majorBidi"/>
          <w:sz w:val="24"/>
          <w:szCs w:val="24"/>
        </w:rPr>
        <w:t>property</w:t>
      </w:r>
      <w:r w:rsidR="00761096">
        <w:rPr>
          <w:rFonts w:asciiTheme="majorBidi" w:hAnsiTheme="majorBidi" w:cstheme="majorBidi"/>
          <w:sz w:val="24"/>
          <w:szCs w:val="24"/>
        </w:rPr>
        <w:t>; this should, as suggested here,</w:t>
      </w:r>
      <w:r w:rsidR="00BC0097">
        <w:rPr>
          <w:rFonts w:asciiTheme="majorBidi" w:hAnsiTheme="majorBidi" w:cstheme="majorBidi"/>
          <w:sz w:val="24"/>
          <w:szCs w:val="24"/>
        </w:rPr>
        <w:t xml:space="preserve"> inspir</w:t>
      </w:r>
      <w:r w:rsidR="00761096">
        <w:rPr>
          <w:rFonts w:asciiTheme="majorBidi" w:hAnsiTheme="majorBidi" w:cstheme="majorBidi"/>
          <w:sz w:val="24"/>
          <w:szCs w:val="24"/>
        </w:rPr>
        <w:t>e</w:t>
      </w:r>
      <w:r w:rsidR="00BC0097">
        <w:rPr>
          <w:rFonts w:asciiTheme="majorBidi" w:hAnsiTheme="majorBidi" w:cstheme="majorBidi"/>
          <w:sz w:val="24"/>
          <w:szCs w:val="24"/>
        </w:rPr>
        <w:t xml:space="preserve"> a potentially helpful reflexivity on</w:t>
      </w:r>
      <w:r w:rsidR="00761096">
        <w:rPr>
          <w:rFonts w:asciiTheme="majorBidi" w:hAnsiTheme="majorBidi" w:cstheme="majorBidi"/>
          <w:sz w:val="24"/>
          <w:szCs w:val="24"/>
        </w:rPr>
        <w:t xml:space="preserve"> bod</w:t>
      </w:r>
      <w:r w:rsidR="005A673F">
        <w:rPr>
          <w:rFonts w:asciiTheme="majorBidi" w:hAnsiTheme="majorBidi" w:cstheme="majorBidi"/>
          <w:sz w:val="24"/>
          <w:szCs w:val="24"/>
        </w:rPr>
        <w:t>il</w:t>
      </w:r>
      <w:r w:rsidR="00761096">
        <w:rPr>
          <w:rFonts w:asciiTheme="majorBidi" w:hAnsiTheme="majorBidi" w:cstheme="majorBidi"/>
          <w:sz w:val="24"/>
          <w:szCs w:val="24"/>
        </w:rPr>
        <w:t>y parts</w:t>
      </w:r>
      <w:r w:rsidR="00510B82">
        <w:rPr>
          <w:rFonts w:asciiTheme="majorBidi" w:hAnsiTheme="majorBidi" w:cstheme="majorBidi"/>
          <w:sz w:val="24"/>
          <w:szCs w:val="24"/>
        </w:rPr>
        <w:t>.</w:t>
      </w:r>
      <w:r w:rsidR="00A27569">
        <w:rPr>
          <w:rFonts w:asciiTheme="majorBidi" w:hAnsiTheme="majorBidi" w:cstheme="majorBidi"/>
          <w:sz w:val="24"/>
          <w:szCs w:val="24"/>
        </w:rPr>
        <w:t xml:space="preserve"> </w:t>
      </w:r>
    </w:p>
    <w:p w:rsidR="002265C1" w:rsidRDefault="00A27569" w:rsidP="00A775A8">
      <w:pPr>
        <w:ind w:firstLine="720"/>
        <w:jc w:val="both"/>
        <w:rPr>
          <w:rFonts w:asciiTheme="majorBidi" w:hAnsiTheme="majorBidi" w:cstheme="majorBidi"/>
          <w:sz w:val="24"/>
          <w:szCs w:val="24"/>
        </w:rPr>
      </w:pPr>
      <w:r>
        <w:rPr>
          <w:rFonts w:asciiTheme="majorBidi" w:hAnsiTheme="majorBidi" w:cstheme="majorBidi"/>
          <w:sz w:val="24"/>
          <w:szCs w:val="24"/>
        </w:rPr>
        <w:t>Normatively, therefore, I urge that we ought to begin to conceptualise bodily parts in the</w:t>
      </w:r>
      <w:r w:rsidR="00890239">
        <w:rPr>
          <w:rFonts w:asciiTheme="majorBidi" w:hAnsiTheme="majorBidi" w:cstheme="majorBidi"/>
          <w:sz w:val="24"/>
          <w:szCs w:val="24"/>
        </w:rPr>
        <w:t xml:space="preserve"> </w:t>
      </w:r>
      <w:r w:rsidR="007252D6">
        <w:rPr>
          <w:rFonts w:asciiTheme="majorBidi" w:hAnsiTheme="majorBidi" w:cstheme="majorBidi"/>
          <w:sz w:val="24"/>
          <w:szCs w:val="24"/>
        </w:rPr>
        <w:t>same</w:t>
      </w:r>
      <w:r>
        <w:rPr>
          <w:rFonts w:asciiTheme="majorBidi" w:hAnsiTheme="majorBidi" w:cstheme="majorBidi"/>
          <w:sz w:val="24"/>
          <w:szCs w:val="24"/>
        </w:rPr>
        <w:t xml:space="preserve"> paradoxical</w:t>
      </w:r>
      <w:r w:rsidR="00890239">
        <w:rPr>
          <w:rFonts w:asciiTheme="majorBidi" w:hAnsiTheme="majorBidi" w:cstheme="majorBidi"/>
          <w:sz w:val="24"/>
          <w:szCs w:val="24"/>
        </w:rPr>
        <w:t xml:space="preserve"> manner that they have been represented in historic</w:t>
      </w:r>
      <w:r w:rsidR="00F72BB8">
        <w:rPr>
          <w:rFonts w:asciiTheme="majorBidi" w:hAnsiTheme="majorBidi" w:cstheme="majorBidi"/>
          <w:sz w:val="24"/>
          <w:szCs w:val="24"/>
        </w:rPr>
        <w:t>al</w:t>
      </w:r>
      <w:r w:rsidR="00890239">
        <w:rPr>
          <w:rFonts w:asciiTheme="majorBidi" w:hAnsiTheme="majorBidi" w:cstheme="majorBidi"/>
          <w:sz w:val="24"/>
          <w:szCs w:val="24"/>
        </w:rPr>
        <w:t>, transactional and regulatory contexts;</w:t>
      </w:r>
      <w:r w:rsidR="0047265F">
        <w:rPr>
          <w:rFonts w:asciiTheme="majorBidi" w:hAnsiTheme="majorBidi" w:cstheme="majorBidi"/>
          <w:sz w:val="24"/>
          <w:szCs w:val="24"/>
        </w:rPr>
        <w:t xml:space="preserve"> </w:t>
      </w:r>
      <w:r w:rsidR="007252D6">
        <w:rPr>
          <w:rFonts w:asciiTheme="majorBidi" w:hAnsiTheme="majorBidi" w:cstheme="majorBidi"/>
          <w:sz w:val="24"/>
          <w:szCs w:val="24"/>
        </w:rPr>
        <w:t>in other words, our rationalisation and conceptualisation of bodily parts should be underpinned by</w:t>
      </w:r>
      <w:r w:rsidR="0047265F">
        <w:rPr>
          <w:rFonts w:asciiTheme="majorBidi" w:hAnsiTheme="majorBidi" w:cstheme="majorBidi"/>
          <w:sz w:val="24"/>
          <w:szCs w:val="24"/>
        </w:rPr>
        <w:t xml:space="preserve"> the</w:t>
      </w:r>
      <w:r w:rsidR="007252D6">
        <w:rPr>
          <w:rFonts w:asciiTheme="majorBidi" w:hAnsiTheme="majorBidi" w:cstheme="majorBidi"/>
          <w:sz w:val="24"/>
          <w:szCs w:val="24"/>
        </w:rPr>
        <w:t xml:space="preserve"> paradox </w:t>
      </w:r>
      <w:r w:rsidR="00522E33">
        <w:rPr>
          <w:rFonts w:asciiTheme="majorBidi" w:hAnsiTheme="majorBidi" w:cstheme="majorBidi"/>
          <w:sz w:val="24"/>
          <w:szCs w:val="24"/>
        </w:rPr>
        <w:t>that</w:t>
      </w:r>
      <w:r w:rsidR="007252D6">
        <w:rPr>
          <w:rFonts w:asciiTheme="majorBidi" w:hAnsiTheme="majorBidi" w:cstheme="majorBidi"/>
          <w:sz w:val="24"/>
          <w:szCs w:val="24"/>
        </w:rPr>
        <w:t xml:space="preserve">, as I </w:t>
      </w:r>
      <w:r w:rsidR="00522E33">
        <w:rPr>
          <w:rFonts w:asciiTheme="majorBidi" w:hAnsiTheme="majorBidi" w:cstheme="majorBidi"/>
          <w:sz w:val="24"/>
          <w:szCs w:val="24"/>
        </w:rPr>
        <w:t>highlighted</w:t>
      </w:r>
      <w:r w:rsidR="00FF607C">
        <w:rPr>
          <w:rFonts w:asciiTheme="majorBidi" w:hAnsiTheme="majorBidi" w:cstheme="majorBidi"/>
          <w:sz w:val="24"/>
          <w:szCs w:val="24"/>
        </w:rPr>
        <w:t xml:space="preserve"> above</w:t>
      </w:r>
      <w:r w:rsidR="007252D6">
        <w:rPr>
          <w:rFonts w:asciiTheme="majorBidi" w:hAnsiTheme="majorBidi" w:cstheme="majorBidi"/>
          <w:sz w:val="24"/>
          <w:szCs w:val="24"/>
        </w:rPr>
        <w:t>, is descriptive of bodily parts as a matter of fact</w:t>
      </w:r>
      <w:r w:rsidR="00C74BC2">
        <w:rPr>
          <w:rFonts w:asciiTheme="majorBidi" w:hAnsiTheme="majorBidi" w:cstheme="majorBidi"/>
          <w:sz w:val="24"/>
          <w:szCs w:val="24"/>
        </w:rPr>
        <w:t>. More simply put, our conception of bodily parts should reflect the reality of bodily parts, which is a paradox.</w:t>
      </w:r>
      <w:r w:rsidR="007252D6">
        <w:rPr>
          <w:rFonts w:asciiTheme="majorBidi" w:hAnsiTheme="majorBidi" w:cstheme="majorBidi"/>
          <w:sz w:val="24"/>
          <w:szCs w:val="24"/>
        </w:rPr>
        <w:t xml:space="preserve"> </w:t>
      </w:r>
      <w:r w:rsidR="00C74BC2">
        <w:rPr>
          <w:rFonts w:asciiTheme="majorBidi" w:hAnsiTheme="majorBidi" w:cstheme="majorBidi"/>
          <w:sz w:val="24"/>
          <w:szCs w:val="24"/>
        </w:rPr>
        <w:t>T</w:t>
      </w:r>
      <w:r w:rsidR="007252D6">
        <w:rPr>
          <w:rFonts w:asciiTheme="majorBidi" w:hAnsiTheme="majorBidi" w:cstheme="majorBidi"/>
          <w:sz w:val="24"/>
          <w:szCs w:val="24"/>
        </w:rPr>
        <w:t>h</w:t>
      </w:r>
      <w:r w:rsidR="00C74BC2">
        <w:rPr>
          <w:rFonts w:asciiTheme="majorBidi" w:hAnsiTheme="majorBidi" w:cstheme="majorBidi"/>
          <w:sz w:val="24"/>
          <w:szCs w:val="24"/>
        </w:rPr>
        <w:t>e</w:t>
      </w:r>
      <w:r w:rsidR="007252D6">
        <w:rPr>
          <w:rFonts w:asciiTheme="majorBidi" w:hAnsiTheme="majorBidi" w:cstheme="majorBidi"/>
          <w:sz w:val="24"/>
          <w:szCs w:val="24"/>
        </w:rPr>
        <w:t xml:space="preserve"> normative move</w:t>
      </w:r>
      <w:r w:rsidR="00522E33">
        <w:rPr>
          <w:rFonts w:asciiTheme="majorBidi" w:hAnsiTheme="majorBidi" w:cstheme="majorBidi"/>
          <w:sz w:val="24"/>
          <w:szCs w:val="24"/>
        </w:rPr>
        <w:t xml:space="preserve"> suggested</w:t>
      </w:r>
      <w:r w:rsidR="00C74BC2">
        <w:rPr>
          <w:rFonts w:asciiTheme="majorBidi" w:hAnsiTheme="majorBidi" w:cstheme="majorBidi"/>
          <w:sz w:val="24"/>
          <w:szCs w:val="24"/>
        </w:rPr>
        <w:t xml:space="preserve"> above</w:t>
      </w:r>
      <w:r w:rsidR="007252D6">
        <w:rPr>
          <w:rFonts w:asciiTheme="majorBidi" w:hAnsiTheme="majorBidi" w:cstheme="majorBidi"/>
          <w:sz w:val="24"/>
          <w:szCs w:val="24"/>
        </w:rPr>
        <w:t xml:space="preserve"> is, in my opinion, justified by considerations of justice</w:t>
      </w:r>
      <w:r w:rsidR="00522E33">
        <w:rPr>
          <w:rFonts w:asciiTheme="majorBidi" w:hAnsiTheme="majorBidi" w:cstheme="majorBidi"/>
          <w:sz w:val="24"/>
          <w:szCs w:val="24"/>
        </w:rPr>
        <w:t>, equality</w:t>
      </w:r>
      <w:r w:rsidR="007252D6">
        <w:rPr>
          <w:rFonts w:asciiTheme="majorBidi" w:hAnsiTheme="majorBidi" w:cstheme="majorBidi"/>
          <w:sz w:val="24"/>
          <w:szCs w:val="24"/>
        </w:rPr>
        <w:t xml:space="preserve"> and fairness</w:t>
      </w:r>
      <w:r w:rsidR="00522E33">
        <w:rPr>
          <w:rFonts w:asciiTheme="majorBidi" w:hAnsiTheme="majorBidi" w:cstheme="majorBidi"/>
          <w:sz w:val="24"/>
          <w:szCs w:val="24"/>
        </w:rPr>
        <w:t>;</w:t>
      </w:r>
      <w:r w:rsidR="007252D6">
        <w:rPr>
          <w:rFonts w:asciiTheme="majorBidi" w:hAnsiTheme="majorBidi" w:cstheme="majorBidi"/>
          <w:sz w:val="24"/>
          <w:szCs w:val="24"/>
        </w:rPr>
        <w:t xml:space="preserve"> </w:t>
      </w:r>
      <w:r w:rsidR="00C74BC2">
        <w:rPr>
          <w:rFonts w:asciiTheme="majorBidi" w:hAnsiTheme="majorBidi" w:cstheme="majorBidi"/>
          <w:sz w:val="24"/>
          <w:szCs w:val="24"/>
        </w:rPr>
        <w:t>particularly</w:t>
      </w:r>
      <w:r w:rsidR="007252D6">
        <w:rPr>
          <w:rFonts w:asciiTheme="majorBidi" w:hAnsiTheme="majorBidi" w:cstheme="majorBidi"/>
          <w:sz w:val="24"/>
          <w:szCs w:val="24"/>
        </w:rPr>
        <w:t>, the need to treat the claims of tissue sources on terms similar to those of tissue users and innovators.</w:t>
      </w:r>
      <w:r w:rsidR="00F72BB8">
        <w:rPr>
          <w:rFonts w:asciiTheme="majorBidi" w:hAnsiTheme="majorBidi" w:cstheme="majorBidi"/>
          <w:sz w:val="24"/>
          <w:szCs w:val="24"/>
        </w:rPr>
        <w:t xml:space="preserve"> In the normative sense highlighted above, duplex</w:t>
      </w:r>
      <w:r w:rsidR="00241DB3">
        <w:rPr>
          <w:rFonts w:asciiTheme="majorBidi" w:hAnsiTheme="majorBidi" w:cstheme="majorBidi"/>
          <w:sz w:val="24"/>
          <w:szCs w:val="24"/>
        </w:rPr>
        <w:t xml:space="preserve"> quintessentially</w:t>
      </w:r>
      <w:r w:rsidR="00F72BB8">
        <w:rPr>
          <w:rFonts w:asciiTheme="majorBidi" w:hAnsiTheme="majorBidi" w:cstheme="majorBidi"/>
          <w:sz w:val="24"/>
          <w:szCs w:val="24"/>
        </w:rPr>
        <w:t xml:space="preserve"> perform</w:t>
      </w:r>
      <w:r w:rsidR="00241DB3">
        <w:rPr>
          <w:rFonts w:asciiTheme="majorBidi" w:hAnsiTheme="majorBidi" w:cstheme="majorBidi"/>
          <w:sz w:val="24"/>
          <w:szCs w:val="24"/>
        </w:rPr>
        <w:t>s</w:t>
      </w:r>
      <w:r w:rsidR="00F72BB8">
        <w:rPr>
          <w:rFonts w:asciiTheme="majorBidi" w:hAnsiTheme="majorBidi" w:cstheme="majorBidi"/>
          <w:sz w:val="24"/>
          <w:szCs w:val="24"/>
        </w:rPr>
        <w:t xml:space="preserve"> the work of a theory. A theory must have</w:t>
      </w:r>
      <w:r w:rsidR="00241DB3">
        <w:rPr>
          <w:rFonts w:asciiTheme="majorBidi" w:hAnsiTheme="majorBidi" w:cstheme="majorBidi"/>
          <w:sz w:val="24"/>
          <w:szCs w:val="24"/>
        </w:rPr>
        <w:t xml:space="preserve"> torque</w:t>
      </w:r>
      <w:r w:rsidR="00F72BB8">
        <w:rPr>
          <w:rFonts w:asciiTheme="majorBidi" w:hAnsiTheme="majorBidi" w:cstheme="majorBidi"/>
          <w:sz w:val="24"/>
          <w:szCs w:val="24"/>
        </w:rPr>
        <w:t xml:space="preserve"> as an explanatory metaphor</w:t>
      </w:r>
      <w:r w:rsidR="00241DB3">
        <w:rPr>
          <w:rFonts w:asciiTheme="majorBidi" w:hAnsiTheme="majorBidi" w:cstheme="majorBidi"/>
          <w:sz w:val="24"/>
          <w:szCs w:val="24"/>
        </w:rPr>
        <w:t>, for as Van Fra</w:t>
      </w:r>
      <w:r w:rsidR="00E95A2C">
        <w:rPr>
          <w:rFonts w:asciiTheme="majorBidi" w:hAnsiTheme="majorBidi" w:cstheme="majorBidi"/>
          <w:sz w:val="24"/>
          <w:szCs w:val="24"/>
        </w:rPr>
        <w:t>a</w:t>
      </w:r>
      <w:r w:rsidR="00241DB3">
        <w:rPr>
          <w:rFonts w:asciiTheme="majorBidi" w:hAnsiTheme="majorBidi" w:cstheme="majorBidi"/>
          <w:sz w:val="24"/>
          <w:szCs w:val="24"/>
        </w:rPr>
        <w:t>ssen opined, a theory is ‘also of wonderful use in unifying our account of hitherto disparate phenomena, and most of all, explanatory’.</w:t>
      </w:r>
      <w:r w:rsidR="00E95A2C">
        <w:rPr>
          <w:rStyle w:val="FootnoteReference"/>
          <w:rFonts w:asciiTheme="majorBidi" w:hAnsiTheme="majorBidi" w:cstheme="majorBidi"/>
          <w:sz w:val="24"/>
          <w:szCs w:val="24"/>
        </w:rPr>
        <w:footnoteReference w:id="149"/>
      </w:r>
      <w:r w:rsidR="00C74BC2">
        <w:rPr>
          <w:rFonts w:asciiTheme="majorBidi" w:hAnsiTheme="majorBidi" w:cstheme="majorBidi"/>
          <w:sz w:val="24"/>
          <w:szCs w:val="24"/>
        </w:rPr>
        <w:t xml:space="preserve"> </w:t>
      </w:r>
      <w:r w:rsidR="00B452A5">
        <w:rPr>
          <w:rFonts w:asciiTheme="majorBidi" w:hAnsiTheme="majorBidi" w:cstheme="majorBidi"/>
          <w:sz w:val="24"/>
          <w:szCs w:val="24"/>
        </w:rPr>
        <w:t>Similarly, Einstein observed that science is ‘the attempt at the posterior reconstruction of existence by the process of conceptualisation’,</w:t>
      </w:r>
      <w:r w:rsidR="00B452A5">
        <w:rPr>
          <w:rStyle w:val="FootnoteReference"/>
          <w:rFonts w:asciiTheme="majorBidi" w:hAnsiTheme="majorBidi" w:cstheme="majorBidi"/>
          <w:sz w:val="24"/>
          <w:szCs w:val="24"/>
        </w:rPr>
        <w:footnoteReference w:id="150"/>
      </w:r>
      <w:r w:rsidR="00B452A5">
        <w:rPr>
          <w:rFonts w:asciiTheme="majorBidi" w:hAnsiTheme="majorBidi" w:cstheme="majorBidi"/>
          <w:sz w:val="24"/>
          <w:szCs w:val="24"/>
        </w:rPr>
        <w:t xml:space="preserve"> that is, the ‘endeavor to bring together by means of systematic thought the perceptible phenomena of this world’.</w:t>
      </w:r>
      <w:r w:rsidR="00B452A5">
        <w:rPr>
          <w:rStyle w:val="FootnoteReference"/>
          <w:rFonts w:asciiTheme="majorBidi" w:hAnsiTheme="majorBidi" w:cstheme="majorBidi"/>
          <w:sz w:val="24"/>
          <w:szCs w:val="24"/>
        </w:rPr>
        <w:footnoteReference w:id="151"/>
      </w:r>
      <w:r w:rsidR="00B452A5">
        <w:rPr>
          <w:rFonts w:asciiTheme="majorBidi" w:hAnsiTheme="majorBidi" w:cstheme="majorBidi"/>
          <w:sz w:val="24"/>
          <w:szCs w:val="24"/>
        </w:rPr>
        <w:t xml:space="preserve"> As indicated above, duplex perform</w:t>
      </w:r>
      <w:r w:rsidR="00EA46EE">
        <w:rPr>
          <w:rFonts w:asciiTheme="majorBidi" w:hAnsiTheme="majorBidi" w:cstheme="majorBidi"/>
          <w:sz w:val="24"/>
          <w:szCs w:val="24"/>
        </w:rPr>
        <w:t>s</w:t>
      </w:r>
      <w:r w:rsidR="00B452A5">
        <w:rPr>
          <w:rFonts w:asciiTheme="majorBidi" w:hAnsiTheme="majorBidi" w:cstheme="majorBidi"/>
          <w:sz w:val="24"/>
          <w:szCs w:val="24"/>
        </w:rPr>
        <w:t xml:space="preserve"> this function creditably. </w:t>
      </w:r>
      <w:r w:rsidR="00240877">
        <w:rPr>
          <w:rFonts w:asciiTheme="majorBidi" w:hAnsiTheme="majorBidi" w:cstheme="majorBidi"/>
          <w:sz w:val="24"/>
          <w:szCs w:val="24"/>
        </w:rPr>
        <w:t xml:space="preserve">Therefore, </w:t>
      </w:r>
      <w:r w:rsidR="00A24654">
        <w:rPr>
          <w:rFonts w:asciiTheme="majorBidi" w:hAnsiTheme="majorBidi" w:cstheme="majorBidi"/>
          <w:sz w:val="24"/>
          <w:szCs w:val="24"/>
        </w:rPr>
        <w:t>since</w:t>
      </w:r>
      <w:r w:rsidR="00C74BC2">
        <w:rPr>
          <w:rFonts w:asciiTheme="majorBidi" w:hAnsiTheme="majorBidi" w:cstheme="majorBidi"/>
          <w:sz w:val="24"/>
          <w:szCs w:val="24"/>
        </w:rPr>
        <w:t xml:space="preserve"> duplex </w:t>
      </w:r>
      <w:r w:rsidR="00240877">
        <w:rPr>
          <w:rFonts w:asciiTheme="majorBidi" w:hAnsiTheme="majorBidi" w:cstheme="majorBidi"/>
          <w:sz w:val="24"/>
          <w:szCs w:val="24"/>
        </w:rPr>
        <w:t>encourages</w:t>
      </w:r>
      <w:r w:rsidR="00C74BC2">
        <w:rPr>
          <w:rFonts w:asciiTheme="majorBidi" w:hAnsiTheme="majorBidi" w:cstheme="majorBidi"/>
          <w:sz w:val="24"/>
          <w:szCs w:val="24"/>
        </w:rPr>
        <w:t xml:space="preserve"> us to think</w:t>
      </w:r>
      <w:r w:rsidR="00A13945">
        <w:rPr>
          <w:rFonts w:asciiTheme="majorBidi" w:hAnsiTheme="majorBidi" w:cstheme="majorBidi"/>
          <w:sz w:val="24"/>
          <w:szCs w:val="24"/>
        </w:rPr>
        <w:t xml:space="preserve"> divergent</w:t>
      </w:r>
      <w:r w:rsidR="00C74BC2">
        <w:rPr>
          <w:rFonts w:asciiTheme="majorBidi" w:hAnsiTheme="majorBidi" w:cstheme="majorBidi"/>
          <w:sz w:val="24"/>
          <w:szCs w:val="24"/>
        </w:rPr>
        <w:t>ly</w:t>
      </w:r>
      <w:r w:rsidR="00A13945">
        <w:rPr>
          <w:rFonts w:asciiTheme="majorBidi" w:hAnsiTheme="majorBidi" w:cstheme="majorBidi"/>
          <w:sz w:val="24"/>
          <w:szCs w:val="24"/>
        </w:rPr>
        <w:t xml:space="preserve"> on bod</w:t>
      </w:r>
      <w:r w:rsidR="005A673F">
        <w:rPr>
          <w:rFonts w:asciiTheme="majorBidi" w:hAnsiTheme="majorBidi" w:cstheme="majorBidi"/>
          <w:sz w:val="24"/>
          <w:szCs w:val="24"/>
        </w:rPr>
        <w:t>il</w:t>
      </w:r>
      <w:r w:rsidR="00A13945">
        <w:rPr>
          <w:rFonts w:asciiTheme="majorBidi" w:hAnsiTheme="majorBidi" w:cstheme="majorBidi"/>
          <w:sz w:val="24"/>
          <w:szCs w:val="24"/>
        </w:rPr>
        <w:t>y parts</w:t>
      </w:r>
      <w:r w:rsidR="00C74BC2">
        <w:rPr>
          <w:rFonts w:asciiTheme="majorBidi" w:hAnsiTheme="majorBidi" w:cstheme="majorBidi"/>
          <w:sz w:val="24"/>
          <w:szCs w:val="24"/>
        </w:rPr>
        <w:t>, as</w:t>
      </w:r>
      <w:r w:rsidR="000B2629">
        <w:rPr>
          <w:rFonts w:asciiTheme="majorBidi" w:hAnsiTheme="majorBidi" w:cstheme="majorBidi"/>
          <w:sz w:val="24"/>
          <w:szCs w:val="24"/>
        </w:rPr>
        <w:t xml:space="preserve"> being property and non-property at the same time, the framework</w:t>
      </w:r>
      <w:r w:rsidR="00761096">
        <w:rPr>
          <w:rFonts w:asciiTheme="majorBidi" w:hAnsiTheme="majorBidi" w:cstheme="majorBidi"/>
          <w:sz w:val="24"/>
          <w:szCs w:val="24"/>
        </w:rPr>
        <w:t xml:space="preserve"> should help to</w:t>
      </w:r>
      <w:r w:rsidR="00E970A1">
        <w:rPr>
          <w:rFonts w:asciiTheme="majorBidi" w:hAnsiTheme="majorBidi" w:cstheme="majorBidi"/>
          <w:sz w:val="24"/>
          <w:szCs w:val="24"/>
        </w:rPr>
        <w:t xml:space="preserve"> avoid the current</w:t>
      </w:r>
      <w:r w:rsidR="00A13945">
        <w:rPr>
          <w:rFonts w:asciiTheme="majorBidi" w:hAnsiTheme="majorBidi" w:cstheme="majorBidi"/>
          <w:sz w:val="24"/>
          <w:szCs w:val="24"/>
        </w:rPr>
        <w:t xml:space="preserve"> judicial practice</w:t>
      </w:r>
      <w:r w:rsidR="00E970A1">
        <w:rPr>
          <w:rFonts w:asciiTheme="majorBidi" w:hAnsiTheme="majorBidi" w:cstheme="majorBidi"/>
          <w:sz w:val="24"/>
          <w:szCs w:val="24"/>
        </w:rPr>
        <w:t xml:space="preserve"> on bod</w:t>
      </w:r>
      <w:r w:rsidR="005A673F">
        <w:rPr>
          <w:rFonts w:asciiTheme="majorBidi" w:hAnsiTheme="majorBidi" w:cstheme="majorBidi"/>
          <w:sz w:val="24"/>
          <w:szCs w:val="24"/>
        </w:rPr>
        <w:t>il</w:t>
      </w:r>
      <w:r w:rsidR="00E970A1">
        <w:rPr>
          <w:rFonts w:asciiTheme="majorBidi" w:hAnsiTheme="majorBidi" w:cstheme="majorBidi"/>
          <w:sz w:val="24"/>
          <w:szCs w:val="24"/>
        </w:rPr>
        <w:t>y parts</w:t>
      </w:r>
      <w:r w:rsidR="004C4ABD">
        <w:rPr>
          <w:rFonts w:asciiTheme="majorBidi" w:hAnsiTheme="majorBidi" w:cstheme="majorBidi"/>
          <w:sz w:val="24"/>
          <w:szCs w:val="24"/>
        </w:rPr>
        <w:t xml:space="preserve"> which largely </w:t>
      </w:r>
      <w:r w:rsidR="00E970A1">
        <w:rPr>
          <w:rFonts w:asciiTheme="majorBidi" w:hAnsiTheme="majorBidi" w:cstheme="majorBidi"/>
          <w:sz w:val="24"/>
          <w:szCs w:val="24"/>
        </w:rPr>
        <w:t>reflects</w:t>
      </w:r>
      <w:r w:rsidR="00A13945">
        <w:rPr>
          <w:rFonts w:asciiTheme="majorBidi" w:hAnsiTheme="majorBidi" w:cstheme="majorBidi"/>
          <w:sz w:val="24"/>
          <w:szCs w:val="24"/>
        </w:rPr>
        <w:t xml:space="preserve"> a</w:t>
      </w:r>
      <w:r w:rsidR="00F87C35">
        <w:rPr>
          <w:rFonts w:asciiTheme="majorBidi" w:hAnsiTheme="majorBidi" w:cstheme="majorBidi"/>
          <w:sz w:val="24"/>
          <w:szCs w:val="24"/>
        </w:rPr>
        <w:t xml:space="preserve"> </w:t>
      </w:r>
      <w:r w:rsidR="00A13945">
        <w:rPr>
          <w:rFonts w:asciiTheme="majorBidi" w:hAnsiTheme="majorBidi" w:cstheme="majorBidi"/>
          <w:sz w:val="24"/>
          <w:szCs w:val="24"/>
        </w:rPr>
        <w:t>singularity</w:t>
      </w:r>
      <w:r w:rsidR="00F87C35">
        <w:rPr>
          <w:rFonts w:asciiTheme="majorBidi" w:hAnsiTheme="majorBidi" w:cstheme="majorBidi"/>
          <w:sz w:val="24"/>
          <w:szCs w:val="24"/>
        </w:rPr>
        <w:t xml:space="preserve"> that</w:t>
      </w:r>
      <w:r w:rsidR="004C4ABD">
        <w:rPr>
          <w:rFonts w:asciiTheme="majorBidi" w:hAnsiTheme="majorBidi" w:cstheme="majorBidi"/>
          <w:sz w:val="24"/>
          <w:szCs w:val="24"/>
        </w:rPr>
        <w:t xml:space="preserve"> disavows the proprietary interests of tissue</w:t>
      </w:r>
      <w:r w:rsidR="00A13945">
        <w:rPr>
          <w:rFonts w:asciiTheme="majorBidi" w:hAnsiTheme="majorBidi" w:cstheme="majorBidi"/>
          <w:sz w:val="24"/>
          <w:szCs w:val="24"/>
        </w:rPr>
        <w:t xml:space="preserve"> sources.</w:t>
      </w:r>
      <w:r w:rsidR="00A13945">
        <w:rPr>
          <w:rStyle w:val="FootnoteReference"/>
          <w:rFonts w:asciiTheme="majorBidi" w:hAnsiTheme="majorBidi" w:cstheme="majorBidi"/>
          <w:sz w:val="24"/>
          <w:szCs w:val="24"/>
        </w:rPr>
        <w:footnoteReference w:id="152"/>
      </w:r>
    </w:p>
    <w:p w:rsidR="009A6299" w:rsidRDefault="00E970A1" w:rsidP="00A775A8">
      <w:pPr>
        <w:ind w:firstLine="720"/>
        <w:jc w:val="both"/>
        <w:rPr>
          <w:rFonts w:asciiTheme="majorBidi" w:hAnsiTheme="majorBidi" w:cstheme="majorBidi"/>
          <w:sz w:val="24"/>
          <w:szCs w:val="24"/>
        </w:rPr>
      </w:pPr>
      <w:r>
        <w:rPr>
          <w:rFonts w:asciiTheme="majorBidi" w:hAnsiTheme="majorBidi" w:cstheme="majorBidi"/>
          <w:sz w:val="24"/>
          <w:szCs w:val="24"/>
        </w:rPr>
        <w:t>Of course, the problem in the regulation of bod</w:t>
      </w:r>
      <w:r w:rsidR="00D92E3B">
        <w:rPr>
          <w:rFonts w:asciiTheme="majorBidi" w:hAnsiTheme="majorBidi" w:cstheme="majorBidi"/>
          <w:sz w:val="24"/>
          <w:szCs w:val="24"/>
        </w:rPr>
        <w:t>il</w:t>
      </w:r>
      <w:r>
        <w:rPr>
          <w:rFonts w:asciiTheme="majorBidi" w:hAnsiTheme="majorBidi" w:cstheme="majorBidi"/>
          <w:sz w:val="24"/>
          <w:szCs w:val="24"/>
        </w:rPr>
        <w:t>y parts is not just the conceptual question of whether bod</w:t>
      </w:r>
      <w:r w:rsidR="00D92E3B">
        <w:rPr>
          <w:rFonts w:asciiTheme="majorBidi" w:hAnsiTheme="majorBidi" w:cstheme="majorBidi"/>
          <w:sz w:val="24"/>
          <w:szCs w:val="24"/>
        </w:rPr>
        <w:t>il</w:t>
      </w:r>
      <w:r>
        <w:rPr>
          <w:rFonts w:asciiTheme="majorBidi" w:hAnsiTheme="majorBidi" w:cstheme="majorBidi"/>
          <w:sz w:val="24"/>
          <w:szCs w:val="24"/>
        </w:rPr>
        <w:t>y parts can be admitted into the category of property</w:t>
      </w:r>
      <w:r w:rsidR="003004BB">
        <w:rPr>
          <w:rFonts w:asciiTheme="majorBidi" w:hAnsiTheme="majorBidi" w:cstheme="majorBidi"/>
          <w:sz w:val="24"/>
          <w:szCs w:val="24"/>
        </w:rPr>
        <w:t>, as implied above</w:t>
      </w:r>
      <w:r>
        <w:rPr>
          <w:rFonts w:asciiTheme="majorBidi" w:hAnsiTheme="majorBidi" w:cstheme="majorBidi"/>
          <w:sz w:val="24"/>
          <w:szCs w:val="24"/>
        </w:rPr>
        <w:t>; but also,</w:t>
      </w:r>
      <w:r w:rsidR="003004BB">
        <w:rPr>
          <w:rFonts w:asciiTheme="majorBidi" w:hAnsiTheme="majorBidi" w:cstheme="majorBidi"/>
          <w:sz w:val="24"/>
          <w:szCs w:val="24"/>
        </w:rPr>
        <w:t xml:space="preserve"> it is a problem that</w:t>
      </w:r>
      <w:r>
        <w:rPr>
          <w:rFonts w:asciiTheme="majorBidi" w:hAnsiTheme="majorBidi" w:cstheme="majorBidi"/>
          <w:sz w:val="24"/>
          <w:szCs w:val="24"/>
        </w:rPr>
        <w:t xml:space="preserve"> impinges on moral, ethical and policy</w:t>
      </w:r>
      <w:r w:rsidR="00847C07">
        <w:rPr>
          <w:rFonts w:asciiTheme="majorBidi" w:hAnsiTheme="majorBidi" w:cstheme="majorBidi"/>
          <w:sz w:val="24"/>
          <w:szCs w:val="24"/>
        </w:rPr>
        <w:t xml:space="preserve"> issues concerning the human body. For instance, some people might consider the propertisation of bod</w:t>
      </w:r>
      <w:r w:rsidR="00D92E3B">
        <w:rPr>
          <w:rFonts w:asciiTheme="majorBidi" w:hAnsiTheme="majorBidi" w:cstheme="majorBidi"/>
          <w:sz w:val="24"/>
          <w:szCs w:val="24"/>
        </w:rPr>
        <w:t>il</w:t>
      </w:r>
      <w:r w:rsidR="00847C07">
        <w:rPr>
          <w:rFonts w:asciiTheme="majorBidi" w:hAnsiTheme="majorBidi" w:cstheme="majorBidi"/>
          <w:sz w:val="24"/>
          <w:szCs w:val="24"/>
        </w:rPr>
        <w:t>y parts as morally offensive, and tantamount to the objectification and commodification of the body.</w:t>
      </w:r>
      <w:r w:rsidR="00D15530">
        <w:rPr>
          <w:rStyle w:val="FootnoteReference"/>
          <w:rFonts w:asciiTheme="majorBidi" w:hAnsiTheme="majorBidi" w:cstheme="majorBidi"/>
          <w:sz w:val="24"/>
          <w:szCs w:val="24"/>
        </w:rPr>
        <w:footnoteReference w:id="153"/>
      </w:r>
      <w:r w:rsidR="00D33E74" w:rsidRPr="00D33E74">
        <w:rPr>
          <w:rFonts w:asciiTheme="majorBidi" w:hAnsiTheme="majorBidi" w:cstheme="majorBidi"/>
          <w:sz w:val="24"/>
          <w:szCs w:val="24"/>
        </w:rPr>
        <w:t xml:space="preserve"> </w:t>
      </w:r>
      <w:r w:rsidR="00D33E74" w:rsidRPr="00014D13">
        <w:rPr>
          <w:rFonts w:asciiTheme="majorBidi" w:hAnsiTheme="majorBidi" w:cstheme="majorBidi"/>
          <w:sz w:val="24"/>
          <w:szCs w:val="24"/>
        </w:rPr>
        <w:t xml:space="preserve">In </w:t>
      </w:r>
      <w:r w:rsidR="00D33E74" w:rsidRPr="00014D13">
        <w:rPr>
          <w:rFonts w:asciiTheme="majorBidi" w:hAnsiTheme="majorBidi" w:cstheme="majorBidi"/>
          <w:i/>
          <w:sz w:val="24"/>
          <w:szCs w:val="24"/>
        </w:rPr>
        <w:t>Moore</w:t>
      </w:r>
      <w:r w:rsidR="00D33E74" w:rsidRPr="00014D13">
        <w:rPr>
          <w:rFonts w:asciiTheme="majorBidi" w:hAnsiTheme="majorBidi" w:cstheme="majorBidi"/>
          <w:sz w:val="24"/>
          <w:szCs w:val="24"/>
        </w:rPr>
        <w:t>, Arabian J gave acute expression to this moral concern</w:t>
      </w:r>
      <w:r w:rsidR="00CE6C8A">
        <w:rPr>
          <w:rFonts w:asciiTheme="majorBidi" w:hAnsiTheme="majorBidi" w:cstheme="majorBidi"/>
          <w:sz w:val="24"/>
          <w:szCs w:val="24"/>
        </w:rPr>
        <w:t>.</w:t>
      </w:r>
      <w:r w:rsidR="00CE6C8A">
        <w:rPr>
          <w:rStyle w:val="FootnoteReference"/>
          <w:rFonts w:asciiTheme="majorBidi" w:hAnsiTheme="majorBidi" w:cstheme="majorBidi"/>
          <w:sz w:val="24"/>
          <w:szCs w:val="24"/>
        </w:rPr>
        <w:footnoteReference w:id="154"/>
      </w:r>
      <w:r w:rsidR="00D33E74" w:rsidRPr="00014D13">
        <w:rPr>
          <w:rFonts w:asciiTheme="majorBidi" w:hAnsiTheme="majorBidi" w:cstheme="majorBidi"/>
          <w:sz w:val="24"/>
          <w:szCs w:val="24"/>
        </w:rPr>
        <w:t xml:space="preserve"> </w:t>
      </w:r>
      <w:r w:rsidR="002E4C59">
        <w:rPr>
          <w:rFonts w:asciiTheme="majorBidi" w:hAnsiTheme="majorBidi" w:cstheme="majorBidi"/>
          <w:sz w:val="24"/>
          <w:szCs w:val="24"/>
        </w:rPr>
        <w:t xml:space="preserve">There is also the policy concern that investing tissue sources with proprietary interests in their excised tissues might impair progress in the field of biomedical technology; in part, this accounted for the rejection of the claimant’s conversion claim in </w:t>
      </w:r>
      <w:r w:rsidR="002E4C59" w:rsidRPr="002E4C59">
        <w:rPr>
          <w:rFonts w:asciiTheme="majorBidi" w:hAnsiTheme="majorBidi" w:cstheme="majorBidi"/>
          <w:i/>
          <w:iCs/>
          <w:sz w:val="24"/>
          <w:szCs w:val="24"/>
        </w:rPr>
        <w:t>Moore</w:t>
      </w:r>
      <w:r w:rsidR="002E4C59">
        <w:rPr>
          <w:rFonts w:asciiTheme="majorBidi" w:hAnsiTheme="majorBidi" w:cstheme="majorBidi"/>
          <w:sz w:val="24"/>
          <w:szCs w:val="24"/>
        </w:rPr>
        <w:t>.</w:t>
      </w:r>
      <w:r w:rsidR="004004AA">
        <w:rPr>
          <w:rStyle w:val="FootnoteReference"/>
          <w:rFonts w:asciiTheme="majorBidi" w:hAnsiTheme="majorBidi" w:cstheme="majorBidi"/>
          <w:sz w:val="24"/>
          <w:szCs w:val="24"/>
        </w:rPr>
        <w:footnoteReference w:id="155"/>
      </w:r>
      <w:r w:rsidR="002E4C59">
        <w:rPr>
          <w:rFonts w:asciiTheme="majorBidi" w:hAnsiTheme="majorBidi" w:cstheme="majorBidi"/>
          <w:sz w:val="24"/>
          <w:szCs w:val="24"/>
        </w:rPr>
        <w:t xml:space="preserve"> </w:t>
      </w:r>
      <w:r w:rsidR="003B3DD2">
        <w:rPr>
          <w:rFonts w:asciiTheme="majorBidi" w:hAnsiTheme="majorBidi" w:cstheme="majorBidi"/>
          <w:sz w:val="24"/>
          <w:szCs w:val="24"/>
        </w:rPr>
        <w:t xml:space="preserve">Furthermore, Herring powerfully argued </w:t>
      </w:r>
      <w:r w:rsidR="009A6299">
        <w:rPr>
          <w:rFonts w:asciiTheme="majorBidi" w:hAnsiTheme="majorBidi" w:cstheme="majorBidi"/>
          <w:sz w:val="24"/>
          <w:szCs w:val="24"/>
        </w:rPr>
        <w:t>that a proprietary approach to bod</w:t>
      </w:r>
      <w:r w:rsidR="004066D0">
        <w:rPr>
          <w:rFonts w:asciiTheme="majorBidi" w:hAnsiTheme="majorBidi" w:cstheme="majorBidi"/>
          <w:sz w:val="24"/>
          <w:szCs w:val="24"/>
        </w:rPr>
        <w:t>il</w:t>
      </w:r>
      <w:r w:rsidR="009A6299">
        <w:rPr>
          <w:rFonts w:asciiTheme="majorBidi" w:hAnsiTheme="majorBidi" w:cstheme="majorBidi"/>
          <w:sz w:val="24"/>
          <w:szCs w:val="24"/>
        </w:rPr>
        <w:t>y parts focuses on individualistic values, the protection of an owner’s rights of exclusion and control over a thing, in a way that neglects not only the owner’s personal interests, such as interests in dignity, identity and personhood, but also undermines significant social, communal and relational interests which exist in a human body.</w:t>
      </w:r>
      <w:r w:rsidR="009A6299">
        <w:rPr>
          <w:rStyle w:val="FootnoteReference"/>
          <w:rFonts w:asciiTheme="majorBidi" w:hAnsiTheme="majorBidi" w:cstheme="majorBidi"/>
          <w:sz w:val="24"/>
          <w:szCs w:val="24"/>
        </w:rPr>
        <w:footnoteReference w:id="156"/>
      </w:r>
      <w:r w:rsidR="009A6299">
        <w:rPr>
          <w:rFonts w:asciiTheme="majorBidi" w:hAnsiTheme="majorBidi" w:cstheme="majorBidi"/>
          <w:sz w:val="24"/>
          <w:szCs w:val="24"/>
        </w:rPr>
        <w:t xml:space="preserve"> According to Herring, the wide-ranging interests in human bodies and excised bod</w:t>
      </w:r>
      <w:r w:rsidR="004066D0">
        <w:rPr>
          <w:rFonts w:asciiTheme="majorBidi" w:hAnsiTheme="majorBidi" w:cstheme="majorBidi"/>
          <w:sz w:val="24"/>
          <w:szCs w:val="24"/>
        </w:rPr>
        <w:t>il</w:t>
      </w:r>
      <w:r w:rsidR="009A6299">
        <w:rPr>
          <w:rFonts w:asciiTheme="majorBidi" w:hAnsiTheme="majorBidi" w:cstheme="majorBidi"/>
          <w:sz w:val="24"/>
          <w:szCs w:val="24"/>
        </w:rPr>
        <w:t>y parts are better weighed, balanced and calibrated under a statute.</w:t>
      </w:r>
      <w:r w:rsidR="009A6299">
        <w:rPr>
          <w:rStyle w:val="FootnoteReference"/>
          <w:rFonts w:asciiTheme="majorBidi" w:hAnsiTheme="majorBidi" w:cstheme="majorBidi"/>
          <w:sz w:val="24"/>
          <w:szCs w:val="24"/>
        </w:rPr>
        <w:footnoteReference w:id="157"/>
      </w:r>
      <w:r w:rsidR="005147F2">
        <w:rPr>
          <w:rFonts w:asciiTheme="majorBidi" w:hAnsiTheme="majorBidi" w:cstheme="majorBidi"/>
          <w:sz w:val="24"/>
          <w:szCs w:val="24"/>
        </w:rPr>
        <w:t xml:space="preserve"> In the same vein, </w:t>
      </w:r>
      <w:r w:rsidR="00140380">
        <w:rPr>
          <w:rFonts w:asciiTheme="majorBidi" w:hAnsiTheme="majorBidi" w:cstheme="majorBidi"/>
          <w:sz w:val="24"/>
          <w:szCs w:val="24"/>
        </w:rPr>
        <w:t>Gold, argued that the concept of property is judicially deployed in favour of those whose valuation of a resource is economic and, as such, a proprietary framework is not apt for the analysis of conflicts over bod</w:t>
      </w:r>
      <w:r w:rsidR="004066D0">
        <w:rPr>
          <w:rFonts w:asciiTheme="majorBidi" w:hAnsiTheme="majorBidi" w:cstheme="majorBidi"/>
          <w:sz w:val="24"/>
          <w:szCs w:val="24"/>
        </w:rPr>
        <w:t>il</w:t>
      </w:r>
      <w:r w:rsidR="00140380">
        <w:rPr>
          <w:rFonts w:asciiTheme="majorBidi" w:hAnsiTheme="majorBidi" w:cstheme="majorBidi"/>
          <w:sz w:val="24"/>
          <w:szCs w:val="24"/>
        </w:rPr>
        <w:t>y parts because it tends to recognise the economic interests of biotech companies and tissue innovators at the expense of tissues sources whose valuations of tissues are rather moral, cultural or religious.</w:t>
      </w:r>
      <w:r w:rsidR="00140380">
        <w:rPr>
          <w:rStyle w:val="FootnoteReference"/>
          <w:rFonts w:asciiTheme="majorBidi" w:hAnsiTheme="majorBidi" w:cstheme="majorBidi"/>
          <w:sz w:val="24"/>
          <w:szCs w:val="24"/>
        </w:rPr>
        <w:footnoteReference w:id="158"/>
      </w:r>
      <w:r w:rsidR="00140380">
        <w:rPr>
          <w:rFonts w:asciiTheme="majorBidi" w:hAnsiTheme="majorBidi" w:cstheme="majorBidi"/>
          <w:sz w:val="24"/>
          <w:szCs w:val="24"/>
        </w:rPr>
        <w:t xml:space="preserve"> Therefore, Gold suggested a parliamentary approach, the development of a comprehensive, non-property-based, statutory scheme to regulate the exploitation of separated bod</w:t>
      </w:r>
      <w:r w:rsidR="004066D0">
        <w:rPr>
          <w:rFonts w:asciiTheme="majorBidi" w:hAnsiTheme="majorBidi" w:cstheme="majorBidi"/>
          <w:sz w:val="24"/>
          <w:szCs w:val="24"/>
        </w:rPr>
        <w:t>il</w:t>
      </w:r>
      <w:r w:rsidR="00140380">
        <w:rPr>
          <w:rFonts w:asciiTheme="majorBidi" w:hAnsiTheme="majorBidi" w:cstheme="majorBidi"/>
          <w:sz w:val="24"/>
          <w:szCs w:val="24"/>
        </w:rPr>
        <w:t>y parts in ways that recognise all modes of bodily valuations.</w:t>
      </w:r>
      <w:r w:rsidR="00140380">
        <w:rPr>
          <w:rStyle w:val="FootnoteReference"/>
          <w:rFonts w:asciiTheme="majorBidi" w:hAnsiTheme="majorBidi" w:cstheme="majorBidi"/>
          <w:sz w:val="24"/>
          <w:szCs w:val="24"/>
        </w:rPr>
        <w:footnoteReference w:id="159"/>
      </w:r>
    </w:p>
    <w:p w:rsidR="00403D1E" w:rsidRDefault="00403D1E" w:rsidP="00A775A8">
      <w:pPr>
        <w:ind w:firstLine="720"/>
        <w:jc w:val="both"/>
        <w:rPr>
          <w:rFonts w:asciiTheme="majorBidi" w:hAnsiTheme="majorBidi" w:cstheme="majorBidi"/>
          <w:sz w:val="24"/>
          <w:szCs w:val="24"/>
        </w:rPr>
      </w:pPr>
      <w:r>
        <w:rPr>
          <w:rFonts w:asciiTheme="majorBidi" w:hAnsiTheme="majorBidi" w:cstheme="majorBidi"/>
          <w:sz w:val="24"/>
          <w:szCs w:val="24"/>
        </w:rPr>
        <w:t>These sorts of objections against the use of a proprietary framework for bod</w:t>
      </w:r>
      <w:r w:rsidR="00E82E78">
        <w:rPr>
          <w:rFonts w:asciiTheme="majorBidi" w:hAnsiTheme="majorBidi" w:cstheme="majorBidi"/>
          <w:sz w:val="24"/>
          <w:szCs w:val="24"/>
        </w:rPr>
        <w:t>il</w:t>
      </w:r>
      <w:r>
        <w:rPr>
          <w:rFonts w:asciiTheme="majorBidi" w:hAnsiTheme="majorBidi" w:cstheme="majorBidi"/>
          <w:sz w:val="24"/>
          <w:szCs w:val="24"/>
        </w:rPr>
        <w:t>y parts are pertinent and valid, and should be seriously considered by any proposal to propertis</w:t>
      </w:r>
      <w:r w:rsidR="00E82E78">
        <w:rPr>
          <w:rFonts w:asciiTheme="majorBidi" w:hAnsiTheme="majorBidi" w:cstheme="majorBidi"/>
          <w:sz w:val="24"/>
          <w:szCs w:val="24"/>
        </w:rPr>
        <w:t>e</w:t>
      </w:r>
      <w:r>
        <w:rPr>
          <w:rFonts w:asciiTheme="majorBidi" w:hAnsiTheme="majorBidi" w:cstheme="majorBidi"/>
          <w:sz w:val="24"/>
          <w:szCs w:val="24"/>
        </w:rPr>
        <w:t xml:space="preserve"> the human body. I make </w:t>
      </w:r>
      <w:r w:rsidR="00411668">
        <w:rPr>
          <w:rFonts w:asciiTheme="majorBidi" w:hAnsiTheme="majorBidi" w:cstheme="majorBidi"/>
          <w:sz w:val="24"/>
          <w:szCs w:val="24"/>
        </w:rPr>
        <w:t>only</w:t>
      </w:r>
      <w:r>
        <w:rPr>
          <w:rFonts w:asciiTheme="majorBidi" w:hAnsiTheme="majorBidi" w:cstheme="majorBidi"/>
          <w:sz w:val="24"/>
          <w:szCs w:val="24"/>
        </w:rPr>
        <w:t xml:space="preserve"> a narrow</w:t>
      </w:r>
      <w:r w:rsidR="00411668">
        <w:rPr>
          <w:rFonts w:asciiTheme="majorBidi" w:hAnsiTheme="majorBidi" w:cstheme="majorBidi"/>
          <w:sz w:val="24"/>
          <w:szCs w:val="24"/>
        </w:rPr>
        <w:t xml:space="preserve"> claim, however.</w:t>
      </w:r>
      <w:r w:rsidR="006A14E2">
        <w:rPr>
          <w:rFonts w:asciiTheme="majorBidi" w:hAnsiTheme="majorBidi" w:cstheme="majorBidi"/>
          <w:sz w:val="24"/>
          <w:szCs w:val="24"/>
        </w:rPr>
        <w:t xml:space="preserve"> The duplex framework I promote here does not propertise the human body; on the contrary, it retains the no-property rule, just that it engrafts a property regime on</w:t>
      </w:r>
      <w:r w:rsidR="00185048">
        <w:rPr>
          <w:rFonts w:asciiTheme="majorBidi" w:hAnsiTheme="majorBidi" w:cstheme="majorBidi"/>
          <w:sz w:val="24"/>
          <w:szCs w:val="24"/>
        </w:rPr>
        <w:t>to</w:t>
      </w:r>
      <w:r w:rsidR="006A14E2">
        <w:rPr>
          <w:rFonts w:asciiTheme="majorBidi" w:hAnsiTheme="majorBidi" w:cstheme="majorBidi"/>
          <w:sz w:val="24"/>
          <w:szCs w:val="24"/>
        </w:rPr>
        <w:t xml:space="preserve"> the rule.</w:t>
      </w:r>
      <w:r w:rsidR="00185048">
        <w:rPr>
          <w:rFonts w:asciiTheme="majorBidi" w:hAnsiTheme="majorBidi" w:cstheme="majorBidi"/>
          <w:sz w:val="24"/>
          <w:szCs w:val="24"/>
        </w:rPr>
        <w:t xml:space="preserve"> As I argued above, </w:t>
      </w:r>
      <w:r w:rsidR="00731557">
        <w:rPr>
          <w:rFonts w:asciiTheme="majorBidi" w:hAnsiTheme="majorBidi" w:cstheme="majorBidi"/>
          <w:sz w:val="24"/>
          <w:szCs w:val="24"/>
        </w:rPr>
        <w:t>while I promote</w:t>
      </w:r>
      <w:r w:rsidR="00185048">
        <w:rPr>
          <w:rFonts w:asciiTheme="majorBidi" w:hAnsiTheme="majorBidi" w:cstheme="majorBidi"/>
          <w:sz w:val="24"/>
          <w:szCs w:val="24"/>
        </w:rPr>
        <w:t xml:space="preserve"> duplex here as a normative framework</w:t>
      </w:r>
      <w:r w:rsidR="002E666B">
        <w:rPr>
          <w:rFonts w:asciiTheme="majorBidi" w:hAnsiTheme="majorBidi" w:cstheme="majorBidi"/>
          <w:sz w:val="24"/>
          <w:szCs w:val="24"/>
        </w:rPr>
        <w:t>, it</w:t>
      </w:r>
      <w:r w:rsidR="00185048">
        <w:rPr>
          <w:rFonts w:asciiTheme="majorBidi" w:hAnsiTheme="majorBidi" w:cstheme="majorBidi"/>
          <w:sz w:val="24"/>
          <w:szCs w:val="24"/>
        </w:rPr>
        <w:t xml:space="preserve"> is already descriptive of the history and legal regulation of bodily parts</w:t>
      </w:r>
      <w:r w:rsidR="002E666B">
        <w:rPr>
          <w:rFonts w:asciiTheme="majorBidi" w:hAnsiTheme="majorBidi" w:cstheme="majorBidi"/>
          <w:sz w:val="24"/>
          <w:szCs w:val="24"/>
        </w:rPr>
        <w:t>; only</w:t>
      </w:r>
      <w:r w:rsidR="00185048">
        <w:rPr>
          <w:rFonts w:asciiTheme="majorBidi" w:hAnsiTheme="majorBidi" w:cstheme="majorBidi"/>
          <w:sz w:val="24"/>
          <w:szCs w:val="24"/>
        </w:rPr>
        <w:t xml:space="preserve"> that its current operation only favours</w:t>
      </w:r>
      <w:r w:rsidR="002E666B">
        <w:rPr>
          <w:rFonts w:asciiTheme="majorBidi" w:hAnsiTheme="majorBidi" w:cstheme="majorBidi"/>
          <w:sz w:val="24"/>
          <w:szCs w:val="24"/>
        </w:rPr>
        <w:t xml:space="preserve"> the claims of</w:t>
      </w:r>
      <w:r w:rsidR="00185048">
        <w:rPr>
          <w:rFonts w:asciiTheme="majorBidi" w:hAnsiTheme="majorBidi" w:cstheme="majorBidi"/>
          <w:sz w:val="24"/>
          <w:szCs w:val="24"/>
        </w:rPr>
        <w:t xml:space="preserve"> tissue users and innovators. As a normative framework, </w:t>
      </w:r>
      <w:r w:rsidR="006C63A6">
        <w:rPr>
          <w:rFonts w:asciiTheme="majorBidi" w:hAnsiTheme="majorBidi" w:cstheme="majorBidi"/>
          <w:sz w:val="24"/>
          <w:szCs w:val="24"/>
        </w:rPr>
        <w:t>however</w:t>
      </w:r>
      <w:r w:rsidR="00185048">
        <w:rPr>
          <w:rFonts w:asciiTheme="majorBidi" w:hAnsiTheme="majorBidi" w:cstheme="majorBidi"/>
          <w:sz w:val="24"/>
          <w:szCs w:val="24"/>
        </w:rPr>
        <w:t>,</w:t>
      </w:r>
      <w:r w:rsidR="006C63A6">
        <w:rPr>
          <w:rFonts w:asciiTheme="majorBidi" w:hAnsiTheme="majorBidi" w:cstheme="majorBidi"/>
          <w:sz w:val="24"/>
          <w:szCs w:val="24"/>
        </w:rPr>
        <w:t xml:space="preserve"> duplex</w:t>
      </w:r>
      <w:r w:rsidR="00185048">
        <w:rPr>
          <w:rFonts w:asciiTheme="majorBidi" w:hAnsiTheme="majorBidi" w:cstheme="majorBidi"/>
          <w:sz w:val="24"/>
          <w:szCs w:val="24"/>
        </w:rPr>
        <w:t xml:space="preserve"> should be more broadly conceptualised to cover the claims of tissue users on grounds of fairness, equality and justice. I suggest that treating tissue sources fairly, so as to avoid the inexorable failure of their proprietary claims, demands</w:t>
      </w:r>
      <w:r w:rsidR="004856AF">
        <w:rPr>
          <w:rFonts w:asciiTheme="majorBidi" w:hAnsiTheme="majorBidi" w:cstheme="majorBidi"/>
          <w:sz w:val="24"/>
          <w:szCs w:val="24"/>
        </w:rPr>
        <w:t xml:space="preserve"> that we liberalise and project unto the normative realm the descriptive duplex</w:t>
      </w:r>
      <w:r w:rsidR="006C63A6">
        <w:rPr>
          <w:rFonts w:asciiTheme="majorBidi" w:hAnsiTheme="majorBidi" w:cstheme="majorBidi"/>
          <w:sz w:val="24"/>
          <w:szCs w:val="24"/>
        </w:rPr>
        <w:t xml:space="preserve"> on bodily parts</w:t>
      </w:r>
      <w:r w:rsidR="004856AF">
        <w:rPr>
          <w:rFonts w:asciiTheme="majorBidi" w:hAnsiTheme="majorBidi" w:cstheme="majorBidi"/>
          <w:sz w:val="24"/>
          <w:szCs w:val="24"/>
        </w:rPr>
        <w:t xml:space="preserve"> in order to</w:t>
      </w:r>
      <w:r w:rsidR="006C63A6">
        <w:rPr>
          <w:rFonts w:asciiTheme="majorBidi" w:hAnsiTheme="majorBidi" w:cstheme="majorBidi"/>
          <w:sz w:val="24"/>
          <w:szCs w:val="24"/>
        </w:rPr>
        <w:t xml:space="preserve"> cover the claims</w:t>
      </w:r>
      <w:r w:rsidR="004856AF">
        <w:rPr>
          <w:rFonts w:asciiTheme="majorBidi" w:hAnsiTheme="majorBidi" w:cstheme="majorBidi"/>
          <w:sz w:val="24"/>
          <w:szCs w:val="24"/>
        </w:rPr>
        <w:t xml:space="preserve"> of tissue sources. Therefore,</w:t>
      </w:r>
      <w:r>
        <w:rPr>
          <w:rFonts w:asciiTheme="majorBidi" w:hAnsiTheme="majorBidi" w:cstheme="majorBidi"/>
          <w:sz w:val="24"/>
          <w:szCs w:val="24"/>
        </w:rPr>
        <w:t xml:space="preserve"> to the extent that the problem of regulating and propertising bod</w:t>
      </w:r>
      <w:r w:rsidR="00E57800">
        <w:rPr>
          <w:rFonts w:asciiTheme="majorBidi" w:hAnsiTheme="majorBidi" w:cstheme="majorBidi"/>
          <w:sz w:val="24"/>
          <w:szCs w:val="24"/>
        </w:rPr>
        <w:t>il</w:t>
      </w:r>
      <w:r>
        <w:rPr>
          <w:rFonts w:asciiTheme="majorBidi" w:hAnsiTheme="majorBidi" w:cstheme="majorBidi"/>
          <w:sz w:val="24"/>
          <w:szCs w:val="24"/>
        </w:rPr>
        <w:t>y parts is conceptual in nature, understanding bod</w:t>
      </w:r>
      <w:r w:rsidR="00E57800">
        <w:rPr>
          <w:rFonts w:asciiTheme="majorBidi" w:hAnsiTheme="majorBidi" w:cstheme="majorBidi"/>
          <w:sz w:val="24"/>
          <w:szCs w:val="24"/>
        </w:rPr>
        <w:t>il</w:t>
      </w:r>
      <w:r>
        <w:rPr>
          <w:rFonts w:asciiTheme="majorBidi" w:hAnsiTheme="majorBidi" w:cstheme="majorBidi"/>
          <w:sz w:val="24"/>
          <w:szCs w:val="24"/>
        </w:rPr>
        <w:t>y parts as a duplex might be</w:t>
      </w:r>
      <w:r w:rsidR="00E57800">
        <w:rPr>
          <w:rFonts w:asciiTheme="majorBidi" w:hAnsiTheme="majorBidi" w:cstheme="majorBidi"/>
          <w:sz w:val="24"/>
          <w:szCs w:val="24"/>
        </w:rPr>
        <w:t xml:space="preserve"> a</w:t>
      </w:r>
      <w:r w:rsidR="00D13ACD">
        <w:rPr>
          <w:rFonts w:asciiTheme="majorBidi" w:hAnsiTheme="majorBidi" w:cstheme="majorBidi"/>
          <w:sz w:val="24"/>
          <w:szCs w:val="24"/>
        </w:rPr>
        <w:t xml:space="preserve"> useful</w:t>
      </w:r>
      <w:r w:rsidR="00E57800">
        <w:rPr>
          <w:rFonts w:asciiTheme="majorBidi" w:hAnsiTheme="majorBidi" w:cstheme="majorBidi"/>
          <w:sz w:val="24"/>
          <w:szCs w:val="24"/>
        </w:rPr>
        <w:t xml:space="preserve"> solution</w:t>
      </w:r>
      <w:r>
        <w:rPr>
          <w:rFonts w:asciiTheme="majorBidi" w:hAnsiTheme="majorBidi" w:cstheme="majorBidi"/>
          <w:sz w:val="24"/>
          <w:szCs w:val="24"/>
        </w:rPr>
        <w:t>. A duplex</w:t>
      </w:r>
      <w:r w:rsidR="00BB778D">
        <w:rPr>
          <w:rFonts w:asciiTheme="majorBidi" w:hAnsiTheme="majorBidi" w:cstheme="majorBidi"/>
          <w:sz w:val="24"/>
          <w:szCs w:val="24"/>
        </w:rPr>
        <w:t xml:space="preserve"> sort of </w:t>
      </w:r>
      <w:r>
        <w:rPr>
          <w:rFonts w:asciiTheme="majorBidi" w:hAnsiTheme="majorBidi" w:cstheme="majorBidi"/>
          <w:sz w:val="24"/>
          <w:szCs w:val="24"/>
        </w:rPr>
        <w:t>thinking over bod</w:t>
      </w:r>
      <w:r w:rsidR="00E57800">
        <w:rPr>
          <w:rFonts w:asciiTheme="majorBidi" w:hAnsiTheme="majorBidi" w:cstheme="majorBidi"/>
          <w:sz w:val="24"/>
          <w:szCs w:val="24"/>
        </w:rPr>
        <w:t>il</w:t>
      </w:r>
      <w:r>
        <w:rPr>
          <w:rFonts w:asciiTheme="majorBidi" w:hAnsiTheme="majorBidi" w:cstheme="majorBidi"/>
          <w:sz w:val="24"/>
          <w:szCs w:val="24"/>
        </w:rPr>
        <w:t>y parts</w:t>
      </w:r>
      <w:r w:rsidR="00D25EB7">
        <w:rPr>
          <w:rFonts w:asciiTheme="majorBidi" w:hAnsiTheme="majorBidi" w:cstheme="majorBidi"/>
          <w:sz w:val="24"/>
          <w:szCs w:val="24"/>
        </w:rPr>
        <w:t xml:space="preserve"> might potentially facilitate their</w:t>
      </w:r>
      <w:r w:rsidR="00D84512">
        <w:rPr>
          <w:rFonts w:asciiTheme="majorBidi" w:hAnsiTheme="majorBidi" w:cstheme="majorBidi"/>
          <w:sz w:val="24"/>
          <w:szCs w:val="24"/>
        </w:rPr>
        <w:t xml:space="preserve"> conceptualisation as property (at least in part)</w:t>
      </w:r>
      <w:r w:rsidR="00D25EB7">
        <w:rPr>
          <w:rFonts w:asciiTheme="majorBidi" w:hAnsiTheme="majorBidi" w:cstheme="majorBidi"/>
          <w:sz w:val="24"/>
          <w:szCs w:val="24"/>
        </w:rPr>
        <w:t>, and thus, the use of proprietary</w:t>
      </w:r>
      <w:r w:rsidR="00E57800">
        <w:rPr>
          <w:rFonts w:asciiTheme="majorBidi" w:hAnsiTheme="majorBidi" w:cstheme="majorBidi"/>
          <w:sz w:val="24"/>
          <w:szCs w:val="24"/>
        </w:rPr>
        <w:t xml:space="preserve"> frameworks</w:t>
      </w:r>
      <w:r w:rsidR="00D25EB7">
        <w:rPr>
          <w:rFonts w:asciiTheme="majorBidi" w:hAnsiTheme="majorBidi" w:cstheme="majorBidi"/>
          <w:sz w:val="24"/>
          <w:szCs w:val="24"/>
        </w:rPr>
        <w:t xml:space="preserve"> along with non-proprietary frameworks in the remedification of unauthorised dealings with bod</w:t>
      </w:r>
      <w:r w:rsidR="00E57800">
        <w:rPr>
          <w:rFonts w:asciiTheme="majorBidi" w:hAnsiTheme="majorBidi" w:cstheme="majorBidi"/>
          <w:sz w:val="24"/>
          <w:szCs w:val="24"/>
        </w:rPr>
        <w:t>il</w:t>
      </w:r>
      <w:r w:rsidR="00D25EB7">
        <w:rPr>
          <w:rFonts w:asciiTheme="majorBidi" w:hAnsiTheme="majorBidi" w:cstheme="majorBidi"/>
          <w:sz w:val="24"/>
          <w:szCs w:val="24"/>
        </w:rPr>
        <w:t>y parts.</w:t>
      </w:r>
    </w:p>
    <w:p w:rsidR="004A18E5" w:rsidRDefault="004A18E5" w:rsidP="00A775A8">
      <w:pPr>
        <w:ind w:firstLine="720"/>
        <w:jc w:val="both"/>
        <w:rPr>
          <w:rFonts w:asciiTheme="majorBidi" w:hAnsiTheme="majorBidi" w:cstheme="majorBidi"/>
          <w:sz w:val="24"/>
          <w:szCs w:val="24"/>
        </w:rPr>
      </w:pPr>
      <w:r>
        <w:rPr>
          <w:rFonts w:asciiTheme="majorBidi" w:hAnsiTheme="majorBidi" w:cstheme="majorBidi"/>
          <w:sz w:val="24"/>
          <w:szCs w:val="24"/>
        </w:rPr>
        <w:t>Above, I highlighted the significant limitations or potential objections to the use of a property framework for bodily parts, and I sought to allay some of the concerns on the basis that the application of a duplex theory would not involve an undue extension of the current law relating to bodily parts.</w:t>
      </w:r>
      <w:r w:rsidR="00CF0FE1">
        <w:rPr>
          <w:rFonts w:asciiTheme="majorBidi" w:hAnsiTheme="majorBidi" w:cstheme="majorBidi"/>
          <w:sz w:val="24"/>
          <w:szCs w:val="24"/>
        </w:rPr>
        <w:t xml:space="preserve"> Nonetheless, some further clarifications might be required. For instance, although I have argued for the recognition of property rights in bodily parts </w:t>
      </w:r>
      <w:r w:rsidR="006D44D2">
        <w:rPr>
          <w:rFonts w:asciiTheme="majorBidi" w:hAnsiTheme="majorBidi" w:cstheme="majorBidi"/>
          <w:sz w:val="24"/>
          <w:szCs w:val="24"/>
        </w:rPr>
        <w:t>based on</w:t>
      </w:r>
      <w:r w:rsidR="00CF0FE1">
        <w:rPr>
          <w:rFonts w:asciiTheme="majorBidi" w:hAnsiTheme="majorBidi" w:cstheme="majorBidi"/>
          <w:sz w:val="24"/>
          <w:szCs w:val="24"/>
        </w:rPr>
        <w:t xml:space="preserve"> duplex, it is obvious that the assertion of such a right might arise in several contexts, and whether such a right exists</w:t>
      </w:r>
      <w:r w:rsidR="00BB6094">
        <w:rPr>
          <w:rFonts w:asciiTheme="majorBidi" w:hAnsiTheme="majorBidi" w:cstheme="majorBidi"/>
          <w:sz w:val="24"/>
          <w:szCs w:val="24"/>
        </w:rPr>
        <w:t xml:space="preserve"> or not,</w:t>
      </w:r>
      <w:r w:rsidR="00CF0FE1">
        <w:rPr>
          <w:rFonts w:asciiTheme="majorBidi" w:hAnsiTheme="majorBidi" w:cstheme="majorBidi"/>
          <w:sz w:val="24"/>
          <w:szCs w:val="24"/>
        </w:rPr>
        <w:t xml:space="preserve"> </w:t>
      </w:r>
      <w:r w:rsidR="006D44D2">
        <w:rPr>
          <w:rFonts w:asciiTheme="majorBidi" w:hAnsiTheme="majorBidi" w:cstheme="majorBidi"/>
          <w:sz w:val="24"/>
          <w:szCs w:val="24"/>
        </w:rPr>
        <w:t>and if so the extent thereof</w:t>
      </w:r>
      <w:r w:rsidR="00CF0FE1">
        <w:rPr>
          <w:rFonts w:asciiTheme="majorBidi" w:hAnsiTheme="majorBidi" w:cstheme="majorBidi"/>
          <w:sz w:val="24"/>
          <w:szCs w:val="24"/>
        </w:rPr>
        <w:t xml:space="preserve">, might depend on the particular context in question. </w:t>
      </w:r>
      <w:r w:rsidR="006D44D2">
        <w:rPr>
          <w:rFonts w:asciiTheme="majorBidi" w:hAnsiTheme="majorBidi" w:cstheme="majorBidi"/>
          <w:sz w:val="24"/>
          <w:szCs w:val="24"/>
        </w:rPr>
        <w:t>One of th</w:t>
      </w:r>
      <w:r w:rsidR="001454F2">
        <w:rPr>
          <w:rFonts w:asciiTheme="majorBidi" w:hAnsiTheme="majorBidi" w:cstheme="majorBidi"/>
          <w:sz w:val="24"/>
          <w:szCs w:val="24"/>
        </w:rPr>
        <w:t>is</w:t>
      </w:r>
      <w:r w:rsidR="006D44D2">
        <w:rPr>
          <w:rFonts w:asciiTheme="majorBidi" w:hAnsiTheme="majorBidi" w:cstheme="majorBidi"/>
          <w:sz w:val="24"/>
          <w:szCs w:val="24"/>
        </w:rPr>
        <w:t xml:space="preserve"> journal’s</w:t>
      </w:r>
      <w:r w:rsidR="00E53720">
        <w:rPr>
          <w:rFonts w:asciiTheme="majorBidi" w:hAnsiTheme="majorBidi" w:cstheme="majorBidi"/>
          <w:sz w:val="24"/>
          <w:szCs w:val="24"/>
        </w:rPr>
        <w:t xml:space="preserve"> external</w:t>
      </w:r>
      <w:r w:rsidR="006D44D2">
        <w:rPr>
          <w:rFonts w:asciiTheme="majorBidi" w:hAnsiTheme="majorBidi" w:cstheme="majorBidi"/>
          <w:sz w:val="24"/>
          <w:szCs w:val="24"/>
        </w:rPr>
        <w:t xml:space="preserve"> reviewers kindly drew my attention to fiv</w:t>
      </w:r>
      <w:r w:rsidR="006F38DB">
        <w:rPr>
          <w:rFonts w:asciiTheme="majorBidi" w:hAnsiTheme="majorBidi" w:cstheme="majorBidi"/>
          <w:sz w:val="24"/>
          <w:szCs w:val="24"/>
        </w:rPr>
        <w:t xml:space="preserve">e of such scenarios or contexts, and I must say at the outset that I do not pretend to have dealt with all such potential </w:t>
      </w:r>
      <w:r w:rsidR="00E53720">
        <w:rPr>
          <w:rFonts w:asciiTheme="majorBidi" w:hAnsiTheme="majorBidi" w:cstheme="majorBidi"/>
          <w:sz w:val="24"/>
          <w:szCs w:val="24"/>
        </w:rPr>
        <w:t>scenarios</w:t>
      </w:r>
      <w:r w:rsidR="001E45DC">
        <w:rPr>
          <w:rFonts w:asciiTheme="majorBidi" w:hAnsiTheme="majorBidi" w:cstheme="majorBidi"/>
          <w:sz w:val="24"/>
          <w:szCs w:val="24"/>
        </w:rPr>
        <w:t xml:space="preserve"> in this article:</w:t>
      </w:r>
      <w:r w:rsidR="006D44D2">
        <w:rPr>
          <w:rFonts w:asciiTheme="majorBidi" w:hAnsiTheme="majorBidi" w:cstheme="majorBidi"/>
          <w:sz w:val="24"/>
          <w:szCs w:val="24"/>
        </w:rPr>
        <w:t xml:space="preserve"> First, a</w:t>
      </w:r>
      <w:r w:rsidR="00672C97">
        <w:rPr>
          <w:rFonts w:asciiTheme="majorBidi" w:hAnsiTheme="majorBidi" w:cstheme="majorBidi"/>
          <w:sz w:val="24"/>
          <w:szCs w:val="24"/>
        </w:rPr>
        <w:t xml:space="preserve"> living</w:t>
      </w:r>
      <w:r w:rsidR="006D44D2">
        <w:rPr>
          <w:rFonts w:asciiTheme="majorBidi" w:hAnsiTheme="majorBidi" w:cstheme="majorBidi"/>
          <w:sz w:val="24"/>
          <w:szCs w:val="24"/>
        </w:rPr>
        <w:t xml:space="preserve"> person may claim property rights in his or her whole body or intact tissue</w:t>
      </w:r>
      <w:r w:rsidR="00E53720">
        <w:rPr>
          <w:rFonts w:asciiTheme="majorBidi" w:hAnsiTheme="majorBidi" w:cstheme="majorBidi"/>
          <w:sz w:val="24"/>
          <w:szCs w:val="24"/>
        </w:rPr>
        <w:t>s</w:t>
      </w:r>
      <w:r w:rsidR="006D44D2">
        <w:rPr>
          <w:rFonts w:asciiTheme="majorBidi" w:hAnsiTheme="majorBidi" w:cstheme="majorBidi"/>
          <w:sz w:val="24"/>
          <w:szCs w:val="24"/>
        </w:rPr>
        <w:t>. I call this a claim to self-ownership</w:t>
      </w:r>
      <w:r w:rsidR="00BB6094">
        <w:rPr>
          <w:rFonts w:asciiTheme="majorBidi" w:hAnsiTheme="majorBidi" w:cstheme="majorBidi"/>
          <w:sz w:val="24"/>
          <w:szCs w:val="24"/>
        </w:rPr>
        <w:t>. Second, a claim may be made on behalf of a deceased person for the</w:t>
      </w:r>
      <w:r w:rsidR="001E45DC">
        <w:rPr>
          <w:rFonts w:asciiTheme="majorBidi" w:hAnsiTheme="majorBidi" w:cstheme="majorBidi"/>
          <w:sz w:val="24"/>
          <w:szCs w:val="24"/>
        </w:rPr>
        <w:t xml:space="preserve"> recognition of the deceased’s</w:t>
      </w:r>
      <w:r w:rsidR="00BB6094">
        <w:rPr>
          <w:rFonts w:asciiTheme="majorBidi" w:hAnsiTheme="majorBidi" w:cstheme="majorBidi"/>
          <w:sz w:val="24"/>
          <w:szCs w:val="24"/>
        </w:rPr>
        <w:t xml:space="preserve"> property right in</w:t>
      </w:r>
      <w:r w:rsidR="001E45DC">
        <w:rPr>
          <w:rFonts w:asciiTheme="majorBidi" w:hAnsiTheme="majorBidi" w:cstheme="majorBidi"/>
          <w:sz w:val="24"/>
          <w:szCs w:val="24"/>
        </w:rPr>
        <w:t xml:space="preserve"> his or her</w:t>
      </w:r>
      <w:r w:rsidR="00BB6094">
        <w:rPr>
          <w:rFonts w:asciiTheme="majorBidi" w:hAnsiTheme="majorBidi" w:cstheme="majorBidi"/>
          <w:sz w:val="24"/>
          <w:szCs w:val="24"/>
        </w:rPr>
        <w:t xml:space="preserve"> whole dead body, or (third) in the separated parts of the deceased’s body. I call the</w:t>
      </w:r>
      <w:r w:rsidR="00E53720">
        <w:rPr>
          <w:rFonts w:asciiTheme="majorBidi" w:hAnsiTheme="majorBidi" w:cstheme="majorBidi"/>
          <w:sz w:val="24"/>
          <w:szCs w:val="24"/>
        </w:rPr>
        <w:t>se</w:t>
      </w:r>
      <w:r w:rsidR="00BB6094">
        <w:rPr>
          <w:rFonts w:asciiTheme="majorBidi" w:hAnsiTheme="majorBidi" w:cstheme="majorBidi"/>
          <w:sz w:val="24"/>
          <w:szCs w:val="24"/>
        </w:rPr>
        <w:t xml:space="preserve"> second and third claims</w:t>
      </w:r>
      <w:r w:rsidR="00E53720">
        <w:rPr>
          <w:rFonts w:asciiTheme="majorBidi" w:hAnsiTheme="majorBidi" w:cstheme="majorBidi"/>
          <w:sz w:val="24"/>
          <w:szCs w:val="24"/>
        </w:rPr>
        <w:t xml:space="preserve"> a</w:t>
      </w:r>
      <w:r w:rsidR="00BB48F8">
        <w:rPr>
          <w:rFonts w:asciiTheme="majorBidi" w:hAnsiTheme="majorBidi" w:cstheme="majorBidi"/>
          <w:sz w:val="24"/>
          <w:szCs w:val="24"/>
        </w:rPr>
        <w:t xml:space="preserve"> posthumous property right. Fourth, a person may claim property rights over a separated part of his or her body now held by another (</w:t>
      </w:r>
      <w:r w:rsidR="00834681">
        <w:rPr>
          <w:rFonts w:asciiTheme="majorBidi" w:hAnsiTheme="majorBidi" w:cstheme="majorBidi"/>
          <w:sz w:val="24"/>
          <w:szCs w:val="24"/>
        </w:rPr>
        <w:t>e.g.,</w:t>
      </w:r>
      <w:r w:rsidR="00BB48F8">
        <w:rPr>
          <w:rFonts w:asciiTheme="majorBidi" w:hAnsiTheme="majorBidi" w:cstheme="majorBidi"/>
          <w:sz w:val="24"/>
          <w:szCs w:val="24"/>
        </w:rPr>
        <w:t xml:space="preserve"> a tissue innovator). Five, a tissue innovator may claim property rights over a separated bodily part which has been transformed by the tissue innovator.</w:t>
      </w:r>
    </w:p>
    <w:p w:rsidR="00A72A3F" w:rsidRDefault="00A72A3F" w:rsidP="00A775A8">
      <w:pPr>
        <w:ind w:firstLine="720"/>
        <w:jc w:val="both"/>
        <w:rPr>
          <w:rFonts w:asciiTheme="majorBidi" w:hAnsiTheme="majorBidi" w:cstheme="majorBidi"/>
          <w:sz w:val="24"/>
          <w:szCs w:val="24"/>
        </w:rPr>
      </w:pPr>
      <w:r>
        <w:rPr>
          <w:rFonts w:asciiTheme="majorBidi" w:hAnsiTheme="majorBidi" w:cstheme="majorBidi"/>
          <w:sz w:val="24"/>
          <w:szCs w:val="24"/>
        </w:rPr>
        <w:t>As regards the first scenario above</w:t>
      </w:r>
      <w:r w:rsidR="00E53720">
        <w:rPr>
          <w:rFonts w:asciiTheme="majorBidi" w:hAnsiTheme="majorBidi" w:cstheme="majorBidi"/>
          <w:sz w:val="24"/>
          <w:szCs w:val="24"/>
        </w:rPr>
        <w:t xml:space="preserve"> (self-ownership</w:t>
      </w:r>
      <w:r w:rsidR="00672C97">
        <w:rPr>
          <w:rFonts w:asciiTheme="majorBidi" w:hAnsiTheme="majorBidi" w:cstheme="majorBidi"/>
          <w:sz w:val="24"/>
          <w:szCs w:val="24"/>
        </w:rPr>
        <w:t>, the idea of owning one’s (living) self or one’s in situ bodily parts</w:t>
      </w:r>
      <w:r w:rsidR="00E53720">
        <w:rPr>
          <w:rFonts w:asciiTheme="majorBidi" w:hAnsiTheme="majorBidi" w:cstheme="majorBidi"/>
          <w:sz w:val="24"/>
          <w:szCs w:val="24"/>
        </w:rPr>
        <w:t>)</w:t>
      </w:r>
      <w:r>
        <w:rPr>
          <w:rFonts w:asciiTheme="majorBidi" w:hAnsiTheme="majorBidi" w:cstheme="majorBidi"/>
          <w:sz w:val="24"/>
          <w:szCs w:val="24"/>
        </w:rPr>
        <w:t>,</w:t>
      </w:r>
      <w:r w:rsidR="00E53720">
        <w:rPr>
          <w:rFonts w:asciiTheme="majorBidi" w:hAnsiTheme="majorBidi" w:cstheme="majorBidi"/>
          <w:sz w:val="24"/>
          <w:szCs w:val="24"/>
        </w:rPr>
        <w:t xml:space="preserve"> it should be </w:t>
      </w:r>
      <w:r w:rsidR="00834681">
        <w:rPr>
          <w:rFonts w:asciiTheme="majorBidi" w:hAnsiTheme="majorBidi" w:cstheme="majorBidi"/>
          <w:sz w:val="24"/>
          <w:szCs w:val="24"/>
        </w:rPr>
        <w:t>noted</w:t>
      </w:r>
      <w:r w:rsidR="00E53720">
        <w:rPr>
          <w:rFonts w:asciiTheme="majorBidi" w:hAnsiTheme="majorBidi" w:cstheme="majorBidi"/>
          <w:sz w:val="24"/>
          <w:szCs w:val="24"/>
        </w:rPr>
        <w:t xml:space="preserve"> that</w:t>
      </w:r>
      <w:r>
        <w:rPr>
          <w:rFonts w:asciiTheme="majorBidi" w:hAnsiTheme="majorBidi" w:cstheme="majorBidi"/>
          <w:sz w:val="24"/>
          <w:szCs w:val="24"/>
        </w:rPr>
        <w:t xml:space="preserve"> a living person’s claim of self-ownership is a</w:t>
      </w:r>
      <w:r w:rsidR="00834681">
        <w:rPr>
          <w:rFonts w:asciiTheme="majorBidi" w:hAnsiTheme="majorBidi" w:cstheme="majorBidi"/>
          <w:sz w:val="24"/>
          <w:szCs w:val="24"/>
        </w:rPr>
        <w:t xml:space="preserve"> highly contestable right. </w:t>
      </w:r>
      <w:r w:rsidR="001403B5">
        <w:rPr>
          <w:rFonts w:asciiTheme="majorBidi" w:hAnsiTheme="majorBidi" w:cstheme="majorBidi"/>
          <w:sz w:val="24"/>
          <w:szCs w:val="24"/>
        </w:rPr>
        <w:t>As the beginning of this section shows, there are</w:t>
      </w:r>
      <w:r w:rsidR="00BD2F59">
        <w:rPr>
          <w:rFonts w:asciiTheme="majorBidi" w:hAnsiTheme="majorBidi" w:cstheme="majorBidi"/>
          <w:sz w:val="24"/>
          <w:szCs w:val="24"/>
        </w:rPr>
        <w:t xml:space="preserve"> both</w:t>
      </w:r>
      <w:r w:rsidR="001403B5">
        <w:rPr>
          <w:rFonts w:asciiTheme="majorBidi" w:hAnsiTheme="majorBidi" w:cstheme="majorBidi"/>
          <w:sz w:val="24"/>
          <w:szCs w:val="24"/>
        </w:rPr>
        <w:t xml:space="preserve"> classical and modern philosophers (such as Kant, Locke, Hegel and Macpherson) who supported the idea of self-ownership</w:t>
      </w:r>
      <w:r w:rsidR="00672C97">
        <w:rPr>
          <w:rFonts w:asciiTheme="majorBidi" w:hAnsiTheme="majorBidi" w:cstheme="majorBidi"/>
          <w:sz w:val="24"/>
          <w:szCs w:val="24"/>
        </w:rPr>
        <w:t>; however, most of them deployed the concept of self-ownership as a background for their larger theoretical projects, such as the labou</w:t>
      </w:r>
      <w:r w:rsidR="00CD20FC">
        <w:rPr>
          <w:rFonts w:asciiTheme="majorBidi" w:hAnsiTheme="majorBidi" w:cstheme="majorBidi"/>
          <w:sz w:val="24"/>
          <w:szCs w:val="24"/>
        </w:rPr>
        <w:t>r theory of value (for Locke) or the liberal political theory of possessive individualism (for Macpherson).</w:t>
      </w:r>
      <w:r w:rsidR="00417738">
        <w:rPr>
          <w:rFonts w:asciiTheme="majorBidi" w:hAnsiTheme="majorBidi" w:cstheme="majorBidi"/>
          <w:sz w:val="24"/>
          <w:szCs w:val="24"/>
        </w:rPr>
        <w:t xml:space="preserve"> In contrast,</w:t>
      </w:r>
      <w:r w:rsidR="007616C4">
        <w:rPr>
          <w:rFonts w:asciiTheme="majorBidi" w:hAnsiTheme="majorBidi" w:cstheme="majorBidi"/>
          <w:sz w:val="24"/>
          <w:szCs w:val="24"/>
        </w:rPr>
        <w:t xml:space="preserve"> Harris has suggested that the concept of self-ownership is devoid of proprietary signification, but that it has some rhetorical value, such as when used to reinforce </w:t>
      </w:r>
      <w:r w:rsidR="00EE6143">
        <w:rPr>
          <w:rFonts w:asciiTheme="majorBidi" w:hAnsiTheme="majorBidi" w:cstheme="majorBidi"/>
          <w:sz w:val="24"/>
          <w:szCs w:val="24"/>
        </w:rPr>
        <w:t xml:space="preserve">a person’s ‘open-ended set of use-privileges and control powers over’ the person’s body, </w:t>
      </w:r>
      <w:r w:rsidR="00545ECD">
        <w:rPr>
          <w:rStyle w:val="FootnoteReference"/>
          <w:rFonts w:asciiTheme="majorBidi" w:hAnsiTheme="majorBidi" w:cstheme="majorBidi"/>
          <w:sz w:val="24"/>
          <w:szCs w:val="24"/>
        </w:rPr>
        <w:footnoteReference w:id="160"/>
      </w:r>
      <w:r w:rsidR="00EE6143">
        <w:rPr>
          <w:rFonts w:asciiTheme="majorBidi" w:hAnsiTheme="majorBidi" w:cstheme="majorBidi"/>
          <w:sz w:val="24"/>
          <w:szCs w:val="24"/>
        </w:rPr>
        <w:t xml:space="preserve"> something he identified as ‘bodily-use freedom principle’.</w:t>
      </w:r>
      <w:r w:rsidR="00EE6143">
        <w:rPr>
          <w:rStyle w:val="FootnoteReference"/>
          <w:rFonts w:asciiTheme="majorBidi" w:hAnsiTheme="majorBidi" w:cstheme="majorBidi"/>
          <w:sz w:val="24"/>
          <w:szCs w:val="24"/>
        </w:rPr>
        <w:footnoteReference w:id="161"/>
      </w:r>
      <w:r w:rsidR="00F8172D">
        <w:rPr>
          <w:rFonts w:asciiTheme="majorBidi" w:hAnsiTheme="majorBidi" w:cstheme="majorBidi"/>
          <w:sz w:val="24"/>
          <w:szCs w:val="24"/>
        </w:rPr>
        <w:t xml:space="preserve"> The</w:t>
      </w:r>
      <w:r w:rsidR="007616C4">
        <w:rPr>
          <w:rFonts w:asciiTheme="majorBidi" w:hAnsiTheme="majorBidi" w:cstheme="majorBidi"/>
          <w:sz w:val="24"/>
          <w:szCs w:val="24"/>
        </w:rPr>
        <w:t xml:space="preserve"> debate on self-ownership is interesting and important, but it is not the </w:t>
      </w:r>
      <w:r w:rsidR="00DA0E5B">
        <w:rPr>
          <w:rFonts w:asciiTheme="majorBidi" w:hAnsiTheme="majorBidi" w:cstheme="majorBidi"/>
          <w:sz w:val="24"/>
          <w:szCs w:val="24"/>
        </w:rPr>
        <w:t>focus</w:t>
      </w:r>
      <w:r w:rsidR="007616C4">
        <w:rPr>
          <w:rFonts w:asciiTheme="majorBidi" w:hAnsiTheme="majorBidi" w:cstheme="majorBidi"/>
          <w:sz w:val="24"/>
          <w:szCs w:val="24"/>
        </w:rPr>
        <w:t xml:space="preserve"> of this article.</w:t>
      </w:r>
      <w:r w:rsidR="00CD7F4A">
        <w:rPr>
          <w:rStyle w:val="FootnoteReference"/>
          <w:rFonts w:asciiTheme="majorBidi" w:hAnsiTheme="majorBidi" w:cstheme="majorBidi"/>
          <w:sz w:val="24"/>
          <w:szCs w:val="24"/>
        </w:rPr>
        <w:footnoteReference w:id="162"/>
      </w:r>
      <w:r w:rsidR="007616C4">
        <w:rPr>
          <w:rFonts w:asciiTheme="majorBidi" w:hAnsiTheme="majorBidi" w:cstheme="majorBidi"/>
          <w:sz w:val="24"/>
          <w:szCs w:val="24"/>
        </w:rPr>
        <w:t xml:space="preserve"> Through duplex, this article promotes the recognition of a tissue source’s proprietary interest in the separated part of his or her own b</w:t>
      </w:r>
      <w:r w:rsidR="00FF05E1">
        <w:rPr>
          <w:rFonts w:asciiTheme="majorBidi" w:hAnsiTheme="majorBidi" w:cstheme="majorBidi"/>
          <w:sz w:val="24"/>
          <w:szCs w:val="24"/>
        </w:rPr>
        <w:t>ody, so I am not arguing for or against the recognition of self-ownership in this article.</w:t>
      </w:r>
      <w:r w:rsidR="007616C4">
        <w:rPr>
          <w:rFonts w:asciiTheme="majorBidi" w:hAnsiTheme="majorBidi" w:cstheme="majorBidi"/>
          <w:sz w:val="24"/>
          <w:szCs w:val="24"/>
        </w:rPr>
        <w:t xml:space="preserve"> </w:t>
      </w:r>
    </w:p>
    <w:p w:rsidR="005478D5" w:rsidRDefault="005478D5" w:rsidP="00A775A8">
      <w:pPr>
        <w:ind w:firstLine="720"/>
        <w:jc w:val="both"/>
        <w:rPr>
          <w:rFonts w:asciiTheme="majorBidi" w:hAnsiTheme="majorBidi" w:cstheme="majorBidi"/>
          <w:sz w:val="24"/>
          <w:szCs w:val="24"/>
        </w:rPr>
      </w:pPr>
      <w:r>
        <w:rPr>
          <w:rFonts w:asciiTheme="majorBidi" w:hAnsiTheme="majorBidi" w:cstheme="majorBidi"/>
          <w:sz w:val="24"/>
          <w:szCs w:val="24"/>
        </w:rPr>
        <w:t>In relation to the claim of posthumous property right (the second and third scenarios above), that is, the idea that a person now deceased owns his or her dead body or the separated part thereof, it is true that Cantor has supported the existence of such a posthumous right based on what he identified as ‘prospective autonomy rights’.</w:t>
      </w:r>
      <w:r>
        <w:rPr>
          <w:rStyle w:val="FootnoteReference"/>
          <w:rFonts w:asciiTheme="majorBidi" w:hAnsiTheme="majorBidi" w:cstheme="majorBidi"/>
          <w:sz w:val="24"/>
          <w:szCs w:val="24"/>
        </w:rPr>
        <w:footnoteReference w:id="163"/>
      </w:r>
      <w:r w:rsidR="00101F43">
        <w:rPr>
          <w:rFonts w:asciiTheme="majorBidi" w:hAnsiTheme="majorBidi" w:cstheme="majorBidi"/>
          <w:sz w:val="24"/>
          <w:szCs w:val="24"/>
        </w:rPr>
        <w:t xml:space="preserve"> However, it suffices to say that, at least since the decision in </w:t>
      </w:r>
      <w:r w:rsidR="00101F43" w:rsidRPr="00573265">
        <w:rPr>
          <w:rFonts w:asciiTheme="majorBidi" w:hAnsiTheme="majorBidi" w:cstheme="majorBidi"/>
          <w:i/>
          <w:sz w:val="24"/>
          <w:szCs w:val="24"/>
        </w:rPr>
        <w:t>Williams v Williams</w:t>
      </w:r>
      <w:r w:rsidR="00101F43">
        <w:rPr>
          <w:rFonts w:asciiTheme="majorBidi" w:hAnsiTheme="majorBidi" w:cstheme="majorBidi"/>
          <w:sz w:val="24"/>
          <w:szCs w:val="24"/>
        </w:rPr>
        <w:t>,</w:t>
      </w:r>
      <w:r w:rsidR="00101F43">
        <w:rPr>
          <w:rStyle w:val="FootnoteReference"/>
          <w:rFonts w:asciiTheme="majorBidi" w:hAnsiTheme="majorBidi" w:cstheme="majorBidi"/>
          <w:sz w:val="24"/>
          <w:szCs w:val="24"/>
        </w:rPr>
        <w:footnoteReference w:id="164"/>
      </w:r>
      <w:r w:rsidR="00101F43">
        <w:rPr>
          <w:rFonts w:asciiTheme="majorBidi" w:hAnsiTheme="majorBidi" w:cstheme="majorBidi"/>
          <w:sz w:val="24"/>
          <w:szCs w:val="24"/>
        </w:rPr>
        <w:t xml:space="preserve"> the law in England and Wales has been that, generally, a corpse can</w:t>
      </w:r>
      <w:r w:rsidR="006C5B7D">
        <w:rPr>
          <w:rFonts w:asciiTheme="majorBidi" w:hAnsiTheme="majorBidi" w:cstheme="majorBidi"/>
          <w:sz w:val="24"/>
          <w:szCs w:val="24"/>
        </w:rPr>
        <w:t>not</w:t>
      </w:r>
      <w:r w:rsidR="00101F43">
        <w:rPr>
          <w:rFonts w:asciiTheme="majorBidi" w:hAnsiTheme="majorBidi" w:cstheme="majorBidi"/>
          <w:sz w:val="24"/>
          <w:szCs w:val="24"/>
        </w:rPr>
        <w:t xml:space="preserve"> own itself or a</w:t>
      </w:r>
      <w:r w:rsidR="0095420D">
        <w:rPr>
          <w:rFonts w:asciiTheme="majorBidi" w:hAnsiTheme="majorBidi" w:cstheme="majorBidi"/>
          <w:sz w:val="24"/>
          <w:szCs w:val="24"/>
        </w:rPr>
        <w:t>ny separated</w:t>
      </w:r>
      <w:r w:rsidR="006C5B7D">
        <w:rPr>
          <w:rFonts w:asciiTheme="majorBidi" w:hAnsiTheme="majorBidi" w:cstheme="majorBidi"/>
          <w:sz w:val="24"/>
          <w:szCs w:val="24"/>
        </w:rPr>
        <w:t xml:space="preserve"> part of it;</w:t>
      </w:r>
      <w:r w:rsidR="00101F43">
        <w:rPr>
          <w:rFonts w:asciiTheme="majorBidi" w:hAnsiTheme="majorBidi" w:cstheme="majorBidi"/>
          <w:sz w:val="24"/>
          <w:szCs w:val="24"/>
        </w:rPr>
        <w:t xml:space="preserve"> and</w:t>
      </w:r>
      <w:r w:rsidR="0095420D">
        <w:rPr>
          <w:rFonts w:asciiTheme="majorBidi" w:hAnsiTheme="majorBidi" w:cstheme="majorBidi"/>
          <w:sz w:val="24"/>
          <w:szCs w:val="24"/>
        </w:rPr>
        <w:t xml:space="preserve"> thus, a dead person cannot control the disposal of his or her body. Furthermore, </w:t>
      </w:r>
      <w:r w:rsidR="0095420D" w:rsidRPr="00573265">
        <w:rPr>
          <w:rFonts w:asciiTheme="majorBidi" w:hAnsiTheme="majorBidi" w:cstheme="majorBidi"/>
          <w:i/>
          <w:sz w:val="24"/>
          <w:szCs w:val="24"/>
        </w:rPr>
        <w:t xml:space="preserve">Williams </w:t>
      </w:r>
      <w:r w:rsidR="0095420D">
        <w:rPr>
          <w:rFonts w:asciiTheme="majorBidi" w:hAnsiTheme="majorBidi" w:cstheme="majorBidi"/>
          <w:sz w:val="24"/>
          <w:szCs w:val="24"/>
        </w:rPr>
        <w:t>held</w:t>
      </w:r>
      <w:r w:rsidR="00101F43">
        <w:rPr>
          <w:rFonts w:asciiTheme="majorBidi" w:hAnsiTheme="majorBidi" w:cstheme="majorBidi"/>
          <w:sz w:val="24"/>
          <w:szCs w:val="24"/>
        </w:rPr>
        <w:t xml:space="preserve"> that there is no property right in a corpse. While the law has</w:t>
      </w:r>
      <w:r w:rsidR="0095420D">
        <w:rPr>
          <w:rFonts w:asciiTheme="majorBidi" w:hAnsiTheme="majorBidi" w:cstheme="majorBidi"/>
          <w:sz w:val="24"/>
          <w:szCs w:val="24"/>
        </w:rPr>
        <w:t xml:space="preserve"> gradually</w:t>
      </w:r>
      <w:r w:rsidR="00101F43">
        <w:rPr>
          <w:rFonts w:asciiTheme="majorBidi" w:hAnsiTheme="majorBidi" w:cstheme="majorBidi"/>
          <w:sz w:val="24"/>
          <w:szCs w:val="24"/>
        </w:rPr>
        <w:t xml:space="preserve"> moved on from this rigid position to recognise the work or skill exception</w:t>
      </w:r>
      <w:r w:rsidR="00942AD1">
        <w:rPr>
          <w:rFonts w:asciiTheme="majorBidi" w:hAnsiTheme="majorBidi" w:cstheme="majorBidi"/>
          <w:sz w:val="24"/>
          <w:szCs w:val="24"/>
        </w:rPr>
        <w:t xml:space="preserve"> (amongst others)</w:t>
      </w:r>
      <w:r w:rsidR="00101F43">
        <w:rPr>
          <w:rFonts w:asciiTheme="majorBidi" w:hAnsiTheme="majorBidi" w:cstheme="majorBidi"/>
          <w:sz w:val="24"/>
          <w:szCs w:val="24"/>
        </w:rPr>
        <w:t xml:space="preserve"> as analysed above and</w:t>
      </w:r>
      <w:r w:rsidR="0095420D">
        <w:rPr>
          <w:rFonts w:asciiTheme="majorBidi" w:hAnsiTheme="majorBidi" w:cstheme="majorBidi"/>
          <w:sz w:val="24"/>
          <w:szCs w:val="24"/>
        </w:rPr>
        <w:t xml:space="preserve">, more recently, </w:t>
      </w:r>
      <w:r w:rsidR="00942AD1">
        <w:rPr>
          <w:rFonts w:asciiTheme="majorBidi" w:hAnsiTheme="majorBidi" w:cstheme="majorBidi"/>
          <w:sz w:val="24"/>
          <w:szCs w:val="24"/>
        </w:rPr>
        <w:t>has</w:t>
      </w:r>
      <w:r w:rsidR="00101F43">
        <w:rPr>
          <w:rFonts w:asciiTheme="majorBidi" w:hAnsiTheme="majorBidi" w:cstheme="majorBidi"/>
          <w:sz w:val="24"/>
          <w:szCs w:val="24"/>
        </w:rPr>
        <w:t xml:space="preserve"> recognise</w:t>
      </w:r>
      <w:r w:rsidR="00942AD1">
        <w:rPr>
          <w:rFonts w:asciiTheme="majorBidi" w:hAnsiTheme="majorBidi" w:cstheme="majorBidi"/>
          <w:sz w:val="24"/>
          <w:szCs w:val="24"/>
        </w:rPr>
        <w:t>d</w:t>
      </w:r>
      <w:r w:rsidR="00101F43">
        <w:rPr>
          <w:rFonts w:asciiTheme="majorBidi" w:hAnsiTheme="majorBidi" w:cstheme="majorBidi"/>
          <w:sz w:val="24"/>
          <w:szCs w:val="24"/>
        </w:rPr>
        <w:t xml:space="preserve"> that</w:t>
      </w:r>
      <w:r w:rsidR="00942AD1">
        <w:rPr>
          <w:rFonts w:asciiTheme="majorBidi" w:hAnsiTheme="majorBidi" w:cstheme="majorBidi"/>
          <w:sz w:val="24"/>
          <w:szCs w:val="24"/>
        </w:rPr>
        <w:t xml:space="preserve"> the wishes of the dead in relation to</w:t>
      </w:r>
      <w:r w:rsidR="008442D8">
        <w:rPr>
          <w:rFonts w:asciiTheme="majorBidi" w:hAnsiTheme="majorBidi" w:cstheme="majorBidi"/>
          <w:sz w:val="24"/>
          <w:szCs w:val="24"/>
        </w:rPr>
        <w:t xml:space="preserve"> the</w:t>
      </w:r>
      <w:r w:rsidR="00942AD1">
        <w:rPr>
          <w:rFonts w:asciiTheme="majorBidi" w:hAnsiTheme="majorBidi" w:cstheme="majorBidi"/>
          <w:sz w:val="24"/>
          <w:szCs w:val="24"/>
        </w:rPr>
        <w:t xml:space="preserve"> disposal</w:t>
      </w:r>
      <w:r w:rsidR="008442D8">
        <w:rPr>
          <w:rFonts w:asciiTheme="majorBidi" w:hAnsiTheme="majorBidi" w:cstheme="majorBidi"/>
          <w:sz w:val="24"/>
          <w:szCs w:val="24"/>
        </w:rPr>
        <w:t xml:space="preserve"> of their body</w:t>
      </w:r>
      <w:r w:rsidR="00942AD1">
        <w:rPr>
          <w:rFonts w:asciiTheme="majorBidi" w:hAnsiTheme="majorBidi" w:cstheme="majorBidi"/>
          <w:sz w:val="24"/>
          <w:szCs w:val="24"/>
        </w:rPr>
        <w:t xml:space="preserve"> cannot be completely disregarded,</w:t>
      </w:r>
      <w:r w:rsidR="00942AD1">
        <w:rPr>
          <w:rStyle w:val="FootnoteReference"/>
          <w:rFonts w:asciiTheme="majorBidi" w:hAnsiTheme="majorBidi" w:cstheme="majorBidi"/>
          <w:sz w:val="24"/>
          <w:szCs w:val="24"/>
        </w:rPr>
        <w:footnoteReference w:id="165"/>
      </w:r>
      <w:r w:rsidR="00942AD1">
        <w:rPr>
          <w:rFonts w:asciiTheme="majorBidi" w:hAnsiTheme="majorBidi" w:cstheme="majorBidi"/>
          <w:sz w:val="24"/>
          <w:szCs w:val="24"/>
        </w:rPr>
        <w:t xml:space="preserve"> the legal position</w:t>
      </w:r>
      <w:r w:rsidR="0095420D">
        <w:rPr>
          <w:rFonts w:asciiTheme="majorBidi" w:hAnsiTheme="majorBidi" w:cstheme="majorBidi"/>
          <w:sz w:val="24"/>
          <w:szCs w:val="24"/>
        </w:rPr>
        <w:t xml:space="preserve"> remains that a dead</w:t>
      </w:r>
      <w:r w:rsidR="00942AD1">
        <w:rPr>
          <w:rFonts w:asciiTheme="majorBidi" w:hAnsiTheme="majorBidi" w:cstheme="majorBidi"/>
          <w:sz w:val="24"/>
          <w:szCs w:val="24"/>
        </w:rPr>
        <w:t xml:space="preserve"> person cannot own their dead body or a separated part of it. In any event, this article is not concerned with the existence or</w:t>
      </w:r>
      <w:r w:rsidR="000533B3">
        <w:rPr>
          <w:rFonts w:asciiTheme="majorBidi" w:hAnsiTheme="majorBidi" w:cstheme="majorBidi"/>
          <w:sz w:val="24"/>
          <w:szCs w:val="24"/>
        </w:rPr>
        <w:t xml:space="preserve"> otherwise of a posthumous property</w:t>
      </w:r>
      <w:r w:rsidR="00942AD1">
        <w:rPr>
          <w:rFonts w:asciiTheme="majorBidi" w:hAnsiTheme="majorBidi" w:cstheme="majorBidi"/>
          <w:sz w:val="24"/>
          <w:szCs w:val="24"/>
        </w:rPr>
        <w:t xml:space="preserve"> right</w:t>
      </w:r>
      <w:r w:rsidR="000533B3">
        <w:rPr>
          <w:rFonts w:asciiTheme="majorBidi" w:hAnsiTheme="majorBidi" w:cstheme="majorBidi"/>
          <w:sz w:val="24"/>
          <w:szCs w:val="24"/>
        </w:rPr>
        <w:t xml:space="preserve"> of the deceased</w:t>
      </w:r>
      <w:r w:rsidR="00942AD1">
        <w:rPr>
          <w:rFonts w:asciiTheme="majorBidi" w:hAnsiTheme="majorBidi" w:cstheme="majorBidi"/>
          <w:sz w:val="24"/>
          <w:szCs w:val="24"/>
        </w:rPr>
        <w:t>.</w:t>
      </w:r>
      <w:r w:rsidR="000533B3">
        <w:rPr>
          <w:rFonts w:asciiTheme="majorBidi" w:hAnsiTheme="majorBidi" w:cstheme="majorBidi"/>
          <w:sz w:val="24"/>
          <w:szCs w:val="24"/>
        </w:rPr>
        <w:t xml:space="preserve"> The fourth and fifth scenarios abov</w:t>
      </w:r>
      <w:r w:rsidR="006C5B7D">
        <w:rPr>
          <w:rFonts w:asciiTheme="majorBidi" w:hAnsiTheme="majorBidi" w:cstheme="majorBidi"/>
          <w:sz w:val="24"/>
          <w:szCs w:val="24"/>
        </w:rPr>
        <w:t>e are the focus of this article;</w:t>
      </w:r>
      <w:r w:rsidR="000533B3">
        <w:rPr>
          <w:rFonts w:asciiTheme="majorBidi" w:hAnsiTheme="majorBidi" w:cstheme="majorBidi"/>
          <w:sz w:val="24"/>
          <w:szCs w:val="24"/>
        </w:rPr>
        <w:t xml:space="preserve"> that is, a living person’s claim of property rights over his or her separated bodily parts (</w:t>
      </w:r>
      <w:r w:rsidR="007871C5">
        <w:rPr>
          <w:rFonts w:asciiTheme="majorBidi" w:hAnsiTheme="majorBidi" w:cstheme="majorBidi"/>
          <w:sz w:val="24"/>
          <w:szCs w:val="24"/>
        </w:rPr>
        <w:t xml:space="preserve">now </w:t>
      </w:r>
      <w:r w:rsidR="000533B3">
        <w:rPr>
          <w:rFonts w:asciiTheme="majorBidi" w:hAnsiTheme="majorBidi" w:cstheme="majorBidi"/>
          <w:sz w:val="24"/>
          <w:szCs w:val="24"/>
        </w:rPr>
        <w:t>held by a tissue innovator) and a tissue innovator’s claim of property rights over a transformed dead body or separated bodily parts. As the analysis and cases</w:t>
      </w:r>
      <w:r w:rsidR="006C5B7D">
        <w:rPr>
          <w:rFonts w:asciiTheme="majorBidi" w:hAnsiTheme="majorBidi" w:cstheme="majorBidi"/>
          <w:sz w:val="24"/>
          <w:szCs w:val="24"/>
        </w:rPr>
        <w:t xml:space="preserve"> considered</w:t>
      </w:r>
      <w:r w:rsidR="000533B3">
        <w:rPr>
          <w:rFonts w:asciiTheme="majorBidi" w:hAnsiTheme="majorBidi" w:cstheme="majorBidi"/>
          <w:sz w:val="24"/>
          <w:szCs w:val="24"/>
        </w:rPr>
        <w:t xml:space="preserve"> above show, the law has always been ready and willing to use certain legal exceptions or legal interpretations to recognise a tissue innovator’s property right in a transformed corpse (</w:t>
      </w:r>
      <w:r w:rsidR="000533B3" w:rsidRPr="00573265">
        <w:rPr>
          <w:rFonts w:asciiTheme="majorBidi" w:hAnsiTheme="majorBidi" w:cstheme="majorBidi"/>
          <w:i/>
          <w:sz w:val="24"/>
          <w:szCs w:val="24"/>
        </w:rPr>
        <w:t>Doodeward</w:t>
      </w:r>
      <w:r w:rsidR="000533B3">
        <w:rPr>
          <w:rFonts w:asciiTheme="majorBidi" w:hAnsiTheme="majorBidi" w:cstheme="majorBidi"/>
          <w:sz w:val="24"/>
          <w:szCs w:val="24"/>
        </w:rPr>
        <w:t>)</w:t>
      </w:r>
      <w:r w:rsidR="006E778D">
        <w:rPr>
          <w:rFonts w:asciiTheme="majorBidi" w:hAnsiTheme="majorBidi" w:cstheme="majorBidi"/>
          <w:sz w:val="24"/>
          <w:szCs w:val="24"/>
        </w:rPr>
        <w:t>,</w:t>
      </w:r>
      <w:r w:rsidR="006C5B7D">
        <w:rPr>
          <w:rFonts w:asciiTheme="majorBidi" w:hAnsiTheme="majorBidi" w:cstheme="majorBidi"/>
          <w:sz w:val="24"/>
          <w:szCs w:val="24"/>
        </w:rPr>
        <w:t xml:space="preserve"> or </w:t>
      </w:r>
      <w:r w:rsidR="000533B3">
        <w:rPr>
          <w:rFonts w:asciiTheme="majorBidi" w:hAnsiTheme="majorBidi" w:cstheme="majorBidi"/>
          <w:sz w:val="24"/>
          <w:szCs w:val="24"/>
        </w:rPr>
        <w:t>separated</w:t>
      </w:r>
      <w:r w:rsidR="006C5B7D">
        <w:rPr>
          <w:rFonts w:asciiTheme="majorBidi" w:hAnsiTheme="majorBidi" w:cstheme="majorBidi"/>
          <w:sz w:val="24"/>
          <w:szCs w:val="24"/>
        </w:rPr>
        <w:t xml:space="preserve"> and transformed</w:t>
      </w:r>
      <w:r w:rsidR="000533B3">
        <w:rPr>
          <w:rFonts w:asciiTheme="majorBidi" w:hAnsiTheme="majorBidi" w:cstheme="majorBidi"/>
          <w:sz w:val="24"/>
          <w:szCs w:val="24"/>
        </w:rPr>
        <w:t xml:space="preserve"> bodily part</w:t>
      </w:r>
      <w:r w:rsidR="006E778D">
        <w:rPr>
          <w:rFonts w:asciiTheme="majorBidi" w:hAnsiTheme="majorBidi" w:cstheme="majorBidi"/>
          <w:sz w:val="24"/>
          <w:szCs w:val="24"/>
        </w:rPr>
        <w:t>s</w:t>
      </w:r>
      <w:r w:rsidR="000533B3">
        <w:rPr>
          <w:rFonts w:asciiTheme="majorBidi" w:hAnsiTheme="majorBidi" w:cstheme="majorBidi"/>
          <w:sz w:val="24"/>
          <w:szCs w:val="24"/>
        </w:rPr>
        <w:t xml:space="preserve"> of</w:t>
      </w:r>
      <w:r w:rsidR="006E778D">
        <w:rPr>
          <w:rFonts w:asciiTheme="majorBidi" w:hAnsiTheme="majorBidi" w:cstheme="majorBidi"/>
          <w:sz w:val="24"/>
          <w:szCs w:val="24"/>
        </w:rPr>
        <w:t xml:space="preserve"> both</w:t>
      </w:r>
      <w:r w:rsidR="000533B3">
        <w:rPr>
          <w:rFonts w:asciiTheme="majorBidi" w:hAnsiTheme="majorBidi" w:cstheme="majorBidi"/>
          <w:sz w:val="24"/>
          <w:szCs w:val="24"/>
        </w:rPr>
        <w:t xml:space="preserve"> a corpse (</w:t>
      </w:r>
      <w:r w:rsidR="000533B3" w:rsidRPr="00573265">
        <w:rPr>
          <w:rFonts w:asciiTheme="majorBidi" w:hAnsiTheme="majorBidi" w:cstheme="majorBidi"/>
          <w:i/>
          <w:sz w:val="24"/>
          <w:szCs w:val="24"/>
        </w:rPr>
        <w:t>Kelly</w:t>
      </w:r>
      <w:r w:rsidR="000533B3">
        <w:rPr>
          <w:rFonts w:asciiTheme="majorBidi" w:hAnsiTheme="majorBidi" w:cstheme="majorBidi"/>
          <w:sz w:val="24"/>
          <w:szCs w:val="24"/>
        </w:rPr>
        <w:t>)</w:t>
      </w:r>
      <w:r w:rsidR="006E778D">
        <w:rPr>
          <w:rFonts w:asciiTheme="majorBidi" w:hAnsiTheme="majorBidi" w:cstheme="majorBidi"/>
          <w:sz w:val="24"/>
          <w:szCs w:val="24"/>
        </w:rPr>
        <w:t xml:space="preserve"> and a living person (</w:t>
      </w:r>
      <w:r w:rsidR="006E778D" w:rsidRPr="00573265">
        <w:rPr>
          <w:rFonts w:asciiTheme="majorBidi" w:hAnsiTheme="majorBidi" w:cstheme="majorBidi"/>
          <w:i/>
          <w:sz w:val="24"/>
          <w:szCs w:val="24"/>
        </w:rPr>
        <w:t>Miami Children’s Hospital Res. Inst</w:t>
      </w:r>
      <w:r w:rsidR="006E778D">
        <w:rPr>
          <w:rFonts w:asciiTheme="majorBidi" w:hAnsiTheme="majorBidi" w:cstheme="majorBidi"/>
          <w:sz w:val="24"/>
          <w:szCs w:val="24"/>
        </w:rPr>
        <w:t>.</w:t>
      </w:r>
      <w:r w:rsidR="00A2162A">
        <w:rPr>
          <w:rFonts w:asciiTheme="majorBidi" w:hAnsiTheme="majorBidi" w:cstheme="majorBidi"/>
          <w:sz w:val="24"/>
          <w:szCs w:val="24"/>
        </w:rPr>
        <w:t xml:space="preserve">; </w:t>
      </w:r>
      <w:r w:rsidR="00A2162A" w:rsidRPr="00573265">
        <w:rPr>
          <w:rFonts w:asciiTheme="majorBidi" w:hAnsiTheme="majorBidi" w:cstheme="majorBidi"/>
          <w:i/>
          <w:sz w:val="24"/>
          <w:szCs w:val="24"/>
        </w:rPr>
        <w:t>Moore</w:t>
      </w:r>
      <w:r w:rsidR="006E778D">
        <w:rPr>
          <w:rFonts w:asciiTheme="majorBidi" w:hAnsiTheme="majorBidi" w:cstheme="majorBidi"/>
          <w:sz w:val="24"/>
          <w:szCs w:val="24"/>
        </w:rPr>
        <w:t>). Also, as the cases and analysis above show, the law has even gone further to recognise a tissue innovator’s property right in</w:t>
      </w:r>
      <w:r w:rsidR="00C5007B">
        <w:rPr>
          <w:rFonts w:asciiTheme="majorBidi" w:hAnsiTheme="majorBidi" w:cstheme="majorBidi"/>
          <w:sz w:val="24"/>
          <w:szCs w:val="24"/>
        </w:rPr>
        <w:t xml:space="preserve"> the</w:t>
      </w:r>
      <w:r w:rsidR="006E778D">
        <w:rPr>
          <w:rFonts w:asciiTheme="majorBidi" w:hAnsiTheme="majorBidi" w:cstheme="majorBidi"/>
          <w:sz w:val="24"/>
          <w:szCs w:val="24"/>
        </w:rPr>
        <w:t xml:space="preserve"> partially transformed bodily part of a corpse (</w:t>
      </w:r>
      <w:r w:rsidR="006E778D" w:rsidRPr="00573265">
        <w:rPr>
          <w:rFonts w:asciiTheme="majorBidi" w:hAnsiTheme="majorBidi" w:cstheme="majorBidi"/>
          <w:i/>
          <w:sz w:val="24"/>
          <w:szCs w:val="24"/>
        </w:rPr>
        <w:t>Dobson</w:t>
      </w:r>
      <w:r w:rsidR="006E778D">
        <w:rPr>
          <w:rFonts w:asciiTheme="majorBidi" w:hAnsiTheme="majorBidi" w:cstheme="majorBidi"/>
          <w:sz w:val="24"/>
          <w:szCs w:val="24"/>
        </w:rPr>
        <w:t xml:space="preserve">; </w:t>
      </w:r>
      <w:r w:rsidR="006E778D" w:rsidRPr="00573265">
        <w:rPr>
          <w:rFonts w:asciiTheme="majorBidi" w:hAnsiTheme="majorBidi" w:cstheme="majorBidi"/>
          <w:i/>
          <w:sz w:val="24"/>
          <w:szCs w:val="24"/>
        </w:rPr>
        <w:t>Doodeward</w:t>
      </w:r>
      <w:r w:rsidR="006E778D">
        <w:rPr>
          <w:rFonts w:asciiTheme="majorBidi" w:hAnsiTheme="majorBidi" w:cstheme="majorBidi"/>
          <w:sz w:val="24"/>
          <w:szCs w:val="24"/>
        </w:rPr>
        <w:t>)</w:t>
      </w:r>
      <w:r w:rsidR="00A2162A">
        <w:rPr>
          <w:rFonts w:asciiTheme="majorBidi" w:hAnsiTheme="majorBidi" w:cstheme="majorBidi"/>
          <w:sz w:val="24"/>
          <w:szCs w:val="24"/>
        </w:rPr>
        <w:t>, and worse still, in</w:t>
      </w:r>
      <w:r w:rsidR="00C5007B">
        <w:rPr>
          <w:rFonts w:asciiTheme="majorBidi" w:hAnsiTheme="majorBidi" w:cstheme="majorBidi"/>
          <w:sz w:val="24"/>
          <w:szCs w:val="24"/>
        </w:rPr>
        <w:t xml:space="preserve"> the</w:t>
      </w:r>
      <w:r w:rsidR="006E778D">
        <w:rPr>
          <w:rFonts w:asciiTheme="majorBidi" w:hAnsiTheme="majorBidi" w:cstheme="majorBidi"/>
          <w:sz w:val="24"/>
          <w:szCs w:val="24"/>
        </w:rPr>
        <w:t xml:space="preserve"> separated</w:t>
      </w:r>
      <w:r w:rsidR="001D0663">
        <w:rPr>
          <w:rFonts w:asciiTheme="majorBidi" w:hAnsiTheme="majorBidi" w:cstheme="majorBidi"/>
          <w:sz w:val="24"/>
          <w:szCs w:val="24"/>
        </w:rPr>
        <w:t xml:space="preserve"> and untransformed</w:t>
      </w:r>
      <w:r w:rsidR="006E778D">
        <w:rPr>
          <w:rFonts w:asciiTheme="majorBidi" w:hAnsiTheme="majorBidi" w:cstheme="majorBidi"/>
          <w:sz w:val="24"/>
          <w:szCs w:val="24"/>
        </w:rPr>
        <w:t xml:space="preserve"> bodily parts</w:t>
      </w:r>
      <w:r w:rsidR="00A2162A">
        <w:rPr>
          <w:rFonts w:asciiTheme="majorBidi" w:hAnsiTheme="majorBidi" w:cstheme="majorBidi"/>
          <w:sz w:val="24"/>
          <w:szCs w:val="24"/>
        </w:rPr>
        <w:t xml:space="preserve"> of the living</w:t>
      </w:r>
      <w:r w:rsidR="006E778D">
        <w:rPr>
          <w:rFonts w:asciiTheme="majorBidi" w:hAnsiTheme="majorBidi" w:cstheme="majorBidi"/>
          <w:sz w:val="24"/>
          <w:szCs w:val="24"/>
        </w:rPr>
        <w:t xml:space="preserve"> (</w:t>
      </w:r>
      <w:r w:rsidR="006E778D" w:rsidRPr="00573265">
        <w:rPr>
          <w:rFonts w:asciiTheme="majorBidi" w:hAnsiTheme="majorBidi" w:cstheme="majorBidi"/>
          <w:i/>
          <w:sz w:val="24"/>
          <w:szCs w:val="24"/>
        </w:rPr>
        <w:t>Catalona</w:t>
      </w:r>
      <w:r w:rsidR="006E778D">
        <w:rPr>
          <w:rFonts w:asciiTheme="majorBidi" w:hAnsiTheme="majorBidi" w:cstheme="majorBidi"/>
          <w:sz w:val="24"/>
          <w:szCs w:val="24"/>
        </w:rPr>
        <w:t>)</w:t>
      </w:r>
      <w:r w:rsidR="00A2162A">
        <w:rPr>
          <w:rFonts w:asciiTheme="majorBidi" w:hAnsiTheme="majorBidi" w:cstheme="majorBidi"/>
          <w:sz w:val="24"/>
          <w:szCs w:val="24"/>
        </w:rPr>
        <w:t>. In contrast, the law has refused to acknowledge or recognise the proprietary interest of the tissue source over their separated bodily parts</w:t>
      </w:r>
      <w:r w:rsidR="00C5007B">
        <w:rPr>
          <w:rFonts w:asciiTheme="majorBidi" w:hAnsiTheme="majorBidi" w:cstheme="majorBidi"/>
          <w:sz w:val="24"/>
          <w:szCs w:val="24"/>
        </w:rPr>
        <w:t>,</w:t>
      </w:r>
      <w:r w:rsidR="008F126C">
        <w:rPr>
          <w:rFonts w:asciiTheme="majorBidi" w:hAnsiTheme="majorBidi" w:cstheme="majorBidi"/>
          <w:sz w:val="24"/>
          <w:szCs w:val="24"/>
        </w:rPr>
        <w:t xml:space="preserve"> </w:t>
      </w:r>
      <w:r w:rsidR="00684F3E">
        <w:rPr>
          <w:rFonts w:asciiTheme="majorBidi" w:hAnsiTheme="majorBidi" w:cstheme="majorBidi"/>
          <w:sz w:val="24"/>
          <w:szCs w:val="24"/>
        </w:rPr>
        <w:t>and</w:t>
      </w:r>
      <w:r w:rsidR="008F126C">
        <w:rPr>
          <w:rFonts w:asciiTheme="majorBidi" w:hAnsiTheme="majorBidi" w:cstheme="majorBidi"/>
          <w:sz w:val="24"/>
          <w:szCs w:val="24"/>
        </w:rPr>
        <w:t xml:space="preserve"> those of the deceased’s next of kin or personal representatives over the deceased’s transformed</w:t>
      </w:r>
      <w:r w:rsidR="007871C5">
        <w:rPr>
          <w:rFonts w:asciiTheme="majorBidi" w:hAnsiTheme="majorBidi" w:cstheme="majorBidi"/>
          <w:sz w:val="24"/>
          <w:szCs w:val="24"/>
        </w:rPr>
        <w:t xml:space="preserve"> dead</w:t>
      </w:r>
      <w:r w:rsidR="008F126C">
        <w:rPr>
          <w:rFonts w:asciiTheme="majorBidi" w:hAnsiTheme="majorBidi" w:cstheme="majorBidi"/>
          <w:sz w:val="24"/>
          <w:szCs w:val="24"/>
        </w:rPr>
        <w:t xml:space="preserve"> body or separated parts of the</w:t>
      </w:r>
      <w:r w:rsidR="00C5007B">
        <w:rPr>
          <w:rFonts w:asciiTheme="majorBidi" w:hAnsiTheme="majorBidi" w:cstheme="majorBidi"/>
          <w:sz w:val="24"/>
          <w:szCs w:val="24"/>
        </w:rPr>
        <w:t xml:space="preserve"> deceased’s body</w:t>
      </w:r>
      <w:r w:rsidR="008F126C">
        <w:rPr>
          <w:rFonts w:asciiTheme="majorBidi" w:hAnsiTheme="majorBidi" w:cstheme="majorBidi"/>
          <w:sz w:val="24"/>
          <w:szCs w:val="24"/>
        </w:rPr>
        <w:t>.</w:t>
      </w:r>
      <w:r w:rsidR="008F126C">
        <w:rPr>
          <w:rStyle w:val="FootnoteReference"/>
          <w:rFonts w:asciiTheme="majorBidi" w:hAnsiTheme="majorBidi" w:cstheme="majorBidi"/>
          <w:sz w:val="24"/>
          <w:szCs w:val="24"/>
        </w:rPr>
        <w:footnoteReference w:id="166"/>
      </w:r>
      <w:r w:rsidR="007871C5">
        <w:rPr>
          <w:rFonts w:asciiTheme="majorBidi" w:hAnsiTheme="majorBidi" w:cstheme="majorBidi"/>
          <w:sz w:val="24"/>
          <w:szCs w:val="24"/>
        </w:rPr>
        <w:t xml:space="preserve"> Consequently, I have argued above that this injustice and inequality in proprietary recognition should be remedied based on the duplex theory.</w:t>
      </w:r>
    </w:p>
    <w:p w:rsidR="007871C5" w:rsidRDefault="007871C5" w:rsidP="00A775A8">
      <w:pPr>
        <w:ind w:firstLine="720"/>
        <w:jc w:val="both"/>
        <w:rPr>
          <w:rFonts w:asciiTheme="majorBidi" w:hAnsiTheme="majorBidi" w:cstheme="majorBidi"/>
          <w:sz w:val="24"/>
          <w:szCs w:val="24"/>
        </w:rPr>
      </w:pPr>
      <w:r>
        <w:rPr>
          <w:rFonts w:asciiTheme="majorBidi" w:hAnsiTheme="majorBidi" w:cstheme="majorBidi"/>
          <w:sz w:val="24"/>
          <w:szCs w:val="24"/>
        </w:rPr>
        <w:t xml:space="preserve">Finally, although I have argued </w:t>
      </w:r>
      <w:r w:rsidR="007E159F">
        <w:rPr>
          <w:rFonts w:asciiTheme="majorBidi" w:hAnsiTheme="majorBidi" w:cstheme="majorBidi"/>
          <w:sz w:val="24"/>
          <w:szCs w:val="24"/>
        </w:rPr>
        <w:t>in this article</w:t>
      </w:r>
      <w:r>
        <w:rPr>
          <w:rFonts w:asciiTheme="majorBidi" w:hAnsiTheme="majorBidi" w:cstheme="majorBidi"/>
          <w:sz w:val="24"/>
          <w:szCs w:val="24"/>
        </w:rPr>
        <w:t xml:space="preserve"> that a tissue source’s proprietary right in their separated bodily part should be recognised and enforced</w:t>
      </w:r>
      <w:r w:rsidR="008D0968">
        <w:rPr>
          <w:rFonts w:asciiTheme="majorBidi" w:hAnsiTheme="majorBidi" w:cstheme="majorBidi"/>
          <w:sz w:val="24"/>
          <w:szCs w:val="24"/>
        </w:rPr>
        <w:t xml:space="preserve"> by the law based on duplex, it could be objected that I have not specified the particular property right in question since </w:t>
      </w:r>
      <w:r w:rsidR="008D0968" w:rsidRPr="00573265">
        <w:rPr>
          <w:rFonts w:asciiTheme="majorBidi" w:hAnsiTheme="majorBidi" w:cstheme="majorBidi"/>
          <w:i/>
          <w:sz w:val="24"/>
          <w:szCs w:val="24"/>
        </w:rPr>
        <w:t>property</w:t>
      </w:r>
      <w:r w:rsidR="008D0968">
        <w:rPr>
          <w:rFonts w:asciiTheme="majorBidi" w:hAnsiTheme="majorBidi" w:cstheme="majorBidi"/>
          <w:sz w:val="24"/>
          <w:szCs w:val="24"/>
        </w:rPr>
        <w:t xml:space="preserve"> appears to be a multiple, rather than a single, concept.</w:t>
      </w:r>
      <w:r w:rsidR="00410557">
        <w:rPr>
          <w:rFonts w:asciiTheme="majorBidi" w:hAnsiTheme="majorBidi" w:cstheme="majorBidi"/>
          <w:sz w:val="24"/>
          <w:szCs w:val="24"/>
        </w:rPr>
        <w:t xml:space="preserve"> True, the complexity of a property right was highlighted in Honor</w:t>
      </w:r>
      <w:r w:rsidR="00520EC1">
        <w:rPr>
          <w:rFonts w:asciiTheme="majorBidi" w:hAnsiTheme="majorBidi" w:cstheme="majorBidi"/>
          <w:sz w:val="24"/>
          <w:szCs w:val="24"/>
        </w:rPr>
        <w:t>é</w:t>
      </w:r>
      <w:r w:rsidR="00410557">
        <w:rPr>
          <w:rFonts w:asciiTheme="majorBidi" w:hAnsiTheme="majorBidi" w:cstheme="majorBidi"/>
          <w:sz w:val="24"/>
          <w:szCs w:val="24"/>
        </w:rPr>
        <w:t>’s famous article, where he specified</w:t>
      </w:r>
      <w:r w:rsidR="006410D8">
        <w:rPr>
          <w:rFonts w:asciiTheme="majorBidi" w:hAnsiTheme="majorBidi" w:cstheme="majorBidi"/>
          <w:sz w:val="24"/>
          <w:szCs w:val="24"/>
        </w:rPr>
        <w:t xml:space="preserve"> the</w:t>
      </w:r>
      <w:r w:rsidR="00410557">
        <w:rPr>
          <w:rFonts w:asciiTheme="majorBidi" w:hAnsiTheme="majorBidi" w:cstheme="majorBidi"/>
          <w:sz w:val="24"/>
          <w:szCs w:val="24"/>
        </w:rPr>
        <w:t xml:space="preserve"> eleven</w:t>
      </w:r>
      <w:r w:rsidR="00520EC1">
        <w:rPr>
          <w:rFonts w:asciiTheme="majorBidi" w:hAnsiTheme="majorBidi" w:cstheme="majorBidi"/>
          <w:sz w:val="24"/>
          <w:szCs w:val="24"/>
        </w:rPr>
        <w:t xml:space="preserve"> standard</w:t>
      </w:r>
      <w:r w:rsidR="00410557">
        <w:rPr>
          <w:rFonts w:asciiTheme="majorBidi" w:hAnsiTheme="majorBidi" w:cstheme="majorBidi"/>
          <w:sz w:val="24"/>
          <w:szCs w:val="24"/>
        </w:rPr>
        <w:t xml:space="preserve"> incidents of</w:t>
      </w:r>
      <w:r w:rsidR="006410D8">
        <w:rPr>
          <w:rFonts w:asciiTheme="majorBidi" w:hAnsiTheme="majorBidi" w:cstheme="majorBidi"/>
          <w:sz w:val="24"/>
          <w:szCs w:val="24"/>
        </w:rPr>
        <w:t xml:space="preserve"> </w:t>
      </w:r>
      <w:r w:rsidR="00410557">
        <w:rPr>
          <w:rFonts w:asciiTheme="majorBidi" w:hAnsiTheme="majorBidi" w:cstheme="majorBidi"/>
          <w:sz w:val="24"/>
          <w:szCs w:val="24"/>
        </w:rPr>
        <w:t>property:</w:t>
      </w:r>
      <w:r w:rsidR="00520EC1">
        <w:rPr>
          <w:rFonts w:asciiTheme="majorBidi" w:hAnsiTheme="majorBidi" w:cstheme="majorBidi"/>
          <w:sz w:val="24"/>
          <w:szCs w:val="24"/>
        </w:rPr>
        <w:t xml:space="preserve"> right to possess; right to use; right to manage; right to the income; right to the capital; right to security; incident of transmissibility; incident of absence of term; prohibition of harmful use; liability to execution; and residuary character.</w:t>
      </w:r>
      <w:r w:rsidR="00520EC1">
        <w:rPr>
          <w:rStyle w:val="FootnoteReference"/>
          <w:rFonts w:asciiTheme="majorBidi" w:hAnsiTheme="majorBidi" w:cstheme="majorBidi"/>
          <w:sz w:val="24"/>
          <w:szCs w:val="24"/>
        </w:rPr>
        <w:footnoteReference w:id="167"/>
      </w:r>
      <w:r w:rsidR="00520EC1">
        <w:rPr>
          <w:rFonts w:asciiTheme="majorBidi" w:hAnsiTheme="majorBidi" w:cstheme="majorBidi"/>
          <w:sz w:val="24"/>
          <w:szCs w:val="24"/>
        </w:rPr>
        <w:t xml:space="preserve"> </w:t>
      </w:r>
      <w:r w:rsidR="006410D8">
        <w:rPr>
          <w:rFonts w:asciiTheme="majorBidi" w:hAnsiTheme="majorBidi" w:cstheme="majorBidi"/>
          <w:sz w:val="24"/>
          <w:szCs w:val="24"/>
        </w:rPr>
        <w:t>While any collection</w:t>
      </w:r>
      <w:r w:rsidR="00B46D66">
        <w:rPr>
          <w:rFonts w:asciiTheme="majorBidi" w:hAnsiTheme="majorBidi" w:cstheme="majorBidi"/>
          <w:sz w:val="24"/>
          <w:szCs w:val="24"/>
        </w:rPr>
        <w:t xml:space="preserve"> or bundle</w:t>
      </w:r>
      <w:r w:rsidR="006410D8">
        <w:rPr>
          <w:rFonts w:asciiTheme="majorBidi" w:hAnsiTheme="majorBidi" w:cstheme="majorBidi"/>
          <w:sz w:val="24"/>
          <w:szCs w:val="24"/>
        </w:rPr>
        <w:t xml:space="preserve"> of these standard incidents can amount to ownership in a given legal system,</w:t>
      </w:r>
      <w:r w:rsidR="00B46D66">
        <w:rPr>
          <w:rStyle w:val="FootnoteReference"/>
          <w:rFonts w:asciiTheme="majorBidi" w:hAnsiTheme="majorBidi" w:cstheme="majorBidi"/>
          <w:sz w:val="24"/>
          <w:szCs w:val="24"/>
        </w:rPr>
        <w:footnoteReference w:id="168"/>
      </w:r>
      <w:r w:rsidR="006410D8">
        <w:rPr>
          <w:rFonts w:asciiTheme="majorBidi" w:hAnsiTheme="majorBidi" w:cstheme="majorBidi"/>
          <w:sz w:val="24"/>
          <w:szCs w:val="24"/>
        </w:rPr>
        <w:t xml:space="preserve"> Nwabueze and Quigley have </w:t>
      </w:r>
      <w:r w:rsidR="00576F5E">
        <w:rPr>
          <w:rFonts w:asciiTheme="majorBidi" w:hAnsiTheme="majorBidi" w:cstheme="majorBidi"/>
          <w:sz w:val="24"/>
          <w:szCs w:val="24"/>
        </w:rPr>
        <w:t>separately argue</w:t>
      </w:r>
      <w:r w:rsidR="006410D8">
        <w:rPr>
          <w:rFonts w:asciiTheme="majorBidi" w:hAnsiTheme="majorBidi" w:cstheme="majorBidi"/>
          <w:sz w:val="24"/>
          <w:szCs w:val="24"/>
        </w:rPr>
        <w:t xml:space="preserve">d that any one of the above incidents (apart from the prohibition </w:t>
      </w:r>
      <w:r w:rsidR="00867CA0">
        <w:rPr>
          <w:rFonts w:asciiTheme="majorBidi" w:hAnsiTheme="majorBidi" w:cstheme="majorBidi"/>
          <w:sz w:val="24"/>
          <w:szCs w:val="24"/>
        </w:rPr>
        <w:t>of</w:t>
      </w:r>
      <w:r w:rsidR="006410D8">
        <w:rPr>
          <w:rFonts w:asciiTheme="majorBidi" w:hAnsiTheme="majorBidi" w:cstheme="majorBidi"/>
          <w:sz w:val="24"/>
          <w:szCs w:val="24"/>
        </w:rPr>
        <w:t xml:space="preserve"> harmful use, which is not peculiar to property)</w:t>
      </w:r>
      <w:r w:rsidR="00410557">
        <w:rPr>
          <w:rFonts w:asciiTheme="majorBidi" w:hAnsiTheme="majorBidi" w:cstheme="majorBidi"/>
          <w:sz w:val="24"/>
          <w:szCs w:val="24"/>
        </w:rPr>
        <w:t xml:space="preserve"> </w:t>
      </w:r>
      <w:r w:rsidR="006410D8">
        <w:rPr>
          <w:rFonts w:asciiTheme="majorBidi" w:hAnsiTheme="majorBidi" w:cstheme="majorBidi"/>
          <w:sz w:val="24"/>
          <w:szCs w:val="24"/>
        </w:rPr>
        <w:t>can qualify as a property right.</w:t>
      </w:r>
      <w:r w:rsidR="00C11974">
        <w:rPr>
          <w:rStyle w:val="FootnoteReference"/>
          <w:rFonts w:asciiTheme="majorBidi" w:hAnsiTheme="majorBidi" w:cstheme="majorBidi"/>
          <w:sz w:val="24"/>
          <w:szCs w:val="24"/>
        </w:rPr>
        <w:footnoteReference w:id="169"/>
      </w:r>
      <w:r w:rsidR="006410D8">
        <w:rPr>
          <w:rFonts w:asciiTheme="majorBidi" w:hAnsiTheme="majorBidi" w:cstheme="majorBidi"/>
          <w:sz w:val="24"/>
          <w:szCs w:val="24"/>
        </w:rPr>
        <w:t xml:space="preserve"> All along, I have used </w:t>
      </w:r>
      <w:r w:rsidR="006410D8" w:rsidRPr="00573265">
        <w:rPr>
          <w:rFonts w:asciiTheme="majorBidi" w:hAnsiTheme="majorBidi" w:cstheme="majorBidi"/>
          <w:i/>
          <w:sz w:val="24"/>
          <w:szCs w:val="24"/>
        </w:rPr>
        <w:t>property</w:t>
      </w:r>
      <w:r w:rsidR="006410D8">
        <w:rPr>
          <w:rFonts w:asciiTheme="majorBidi" w:hAnsiTheme="majorBidi" w:cstheme="majorBidi"/>
          <w:sz w:val="24"/>
          <w:szCs w:val="24"/>
        </w:rPr>
        <w:t xml:space="preserve"> in the same sense in this article</w:t>
      </w:r>
      <w:r w:rsidR="000E7318">
        <w:rPr>
          <w:rFonts w:asciiTheme="majorBidi" w:hAnsiTheme="majorBidi" w:cstheme="majorBidi"/>
          <w:sz w:val="24"/>
          <w:szCs w:val="24"/>
        </w:rPr>
        <w:t>.</w:t>
      </w:r>
      <w:r w:rsidR="006410D8">
        <w:rPr>
          <w:rFonts w:asciiTheme="majorBidi" w:hAnsiTheme="majorBidi" w:cstheme="majorBidi"/>
          <w:sz w:val="24"/>
          <w:szCs w:val="24"/>
        </w:rPr>
        <w:t xml:space="preserve"> </w:t>
      </w:r>
      <w:r w:rsidR="001B797E">
        <w:rPr>
          <w:rFonts w:asciiTheme="majorBidi" w:hAnsiTheme="majorBidi" w:cstheme="majorBidi"/>
          <w:sz w:val="24"/>
          <w:szCs w:val="24"/>
        </w:rPr>
        <w:t>Therefore</w:t>
      </w:r>
      <w:r w:rsidR="000E7318">
        <w:rPr>
          <w:rFonts w:asciiTheme="majorBidi" w:hAnsiTheme="majorBidi" w:cstheme="majorBidi"/>
          <w:sz w:val="24"/>
          <w:szCs w:val="24"/>
        </w:rPr>
        <w:t>,</w:t>
      </w:r>
      <w:r w:rsidR="006410D8">
        <w:rPr>
          <w:rFonts w:asciiTheme="majorBidi" w:hAnsiTheme="majorBidi" w:cstheme="majorBidi"/>
          <w:sz w:val="24"/>
          <w:szCs w:val="24"/>
        </w:rPr>
        <w:t xml:space="preserve"> when I a</w:t>
      </w:r>
      <w:r w:rsidR="00576F5E">
        <w:rPr>
          <w:rFonts w:asciiTheme="majorBidi" w:hAnsiTheme="majorBidi" w:cstheme="majorBidi"/>
          <w:sz w:val="24"/>
          <w:szCs w:val="24"/>
        </w:rPr>
        <w:t>rgued</w:t>
      </w:r>
      <w:r w:rsidR="000E7318">
        <w:rPr>
          <w:rFonts w:asciiTheme="majorBidi" w:hAnsiTheme="majorBidi" w:cstheme="majorBidi"/>
          <w:sz w:val="24"/>
          <w:szCs w:val="24"/>
        </w:rPr>
        <w:t xml:space="preserve"> above</w:t>
      </w:r>
      <w:r w:rsidR="00576F5E">
        <w:rPr>
          <w:rFonts w:asciiTheme="majorBidi" w:hAnsiTheme="majorBidi" w:cstheme="majorBidi"/>
          <w:sz w:val="24"/>
          <w:szCs w:val="24"/>
        </w:rPr>
        <w:t xml:space="preserve"> that duplex should be deployed</w:t>
      </w:r>
      <w:r w:rsidR="006410D8">
        <w:rPr>
          <w:rFonts w:asciiTheme="majorBidi" w:hAnsiTheme="majorBidi" w:cstheme="majorBidi"/>
          <w:sz w:val="24"/>
          <w:szCs w:val="24"/>
        </w:rPr>
        <w:t xml:space="preserve"> to recognise the tissue source’s property right in the separated part of their body, </w:t>
      </w:r>
      <w:r w:rsidR="000E7318">
        <w:rPr>
          <w:rFonts w:asciiTheme="majorBidi" w:hAnsiTheme="majorBidi" w:cstheme="majorBidi"/>
          <w:sz w:val="24"/>
          <w:szCs w:val="24"/>
        </w:rPr>
        <w:t>I meant that</w:t>
      </w:r>
      <w:r w:rsidR="0060595D">
        <w:rPr>
          <w:rFonts w:asciiTheme="majorBidi" w:hAnsiTheme="majorBidi" w:cstheme="majorBidi"/>
          <w:sz w:val="24"/>
          <w:szCs w:val="24"/>
        </w:rPr>
        <w:t xml:space="preserve"> the relevant </w:t>
      </w:r>
      <w:r w:rsidR="006410D8">
        <w:rPr>
          <w:rFonts w:asciiTheme="majorBidi" w:hAnsiTheme="majorBidi" w:cstheme="majorBidi"/>
          <w:sz w:val="24"/>
          <w:szCs w:val="24"/>
        </w:rPr>
        <w:t>property right</w:t>
      </w:r>
      <w:r w:rsidR="0060595D">
        <w:rPr>
          <w:rFonts w:asciiTheme="majorBidi" w:hAnsiTheme="majorBidi" w:cstheme="majorBidi"/>
          <w:sz w:val="24"/>
          <w:szCs w:val="24"/>
        </w:rPr>
        <w:t xml:space="preserve"> could</w:t>
      </w:r>
      <w:r w:rsidR="001B797E">
        <w:rPr>
          <w:rFonts w:asciiTheme="majorBidi" w:hAnsiTheme="majorBidi" w:cstheme="majorBidi"/>
          <w:sz w:val="24"/>
          <w:szCs w:val="24"/>
        </w:rPr>
        <w:t xml:space="preserve"> be any of Honoré’s standard incidents of ownership above. Thus</w:t>
      </w:r>
      <w:r w:rsidR="0060595D">
        <w:rPr>
          <w:rFonts w:asciiTheme="majorBidi" w:hAnsiTheme="majorBidi" w:cstheme="majorBidi"/>
          <w:sz w:val="24"/>
          <w:szCs w:val="24"/>
        </w:rPr>
        <w:t>,</w:t>
      </w:r>
      <w:r w:rsidR="006410D8">
        <w:rPr>
          <w:rFonts w:asciiTheme="majorBidi" w:hAnsiTheme="majorBidi" w:cstheme="majorBidi"/>
          <w:sz w:val="24"/>
          <w:szCs w:val="24"/>
        </w:rPr>
        <w:t xml:space="preserve"> depending on the circumstances,</w:t>
      </w:r>
      <w:r w:rsidR="001B797E">
        <w:rPr>
          <w:rFonts w:asciiTheme="majorBidi" w:hAnsiTheme="majorBidi" w:cstheme="majorBidi"/>
          <w:sz w:val="24"/>
          <w:szCs w:val="24"/>
        </w:rPr>
        <w:t xml:space="preserve"> this could </w:t>
      </w:r>
      <w:r w:rsidR="006410D8">
        <w:rPr>
          <w:rFonts w:asciiTheme="majorBidi" w:hAnsiTheme="majorBidi" w:cstheme="majorBidi"/>
          <w:sz w:val="24"/>
          <w:szCs w:val="24"/>
        </w:rPr>
        <w:t>simply</w:t>
      </w:r>
      <w:r w:rsidR="001B797E">
        <w:rPr>
          <w:rFonts w:asciiTheme="majorBidi" w:hAnsiTheme="majorBidi" w:cstheme="majorBidi"/>
          <w:sz w:val="24"/>
          <w:szCs w:val="24"/>
        </w:rPr>
        <w:t xml:space="preserve"> be</w:t>
      </w:r>
      <w:r w:rsidR="006410D8">
        <w:rPr>
          <w:rFonts w:asciiTheme="majorBidi" w:hAnsiTheme="majorBidi" w:cstheme="majorBidi"/>
          <w:sz w:val="24"/>
          <w:szCs w:val="24"/>
        </w:rPr>
        <w:t xml:space="preserve"> </w:t>
      </w:r>
      <w:r w:rsidR="0060595D">
        <w:rPr>
          <w:rFonts w:asciiTheme="majorBidi" w:hAnsiTheme="majorBidi" w:cstheme="majorBidi"/>
          <w:sz w:val="24"/>
          <w:szCs w:val="24"/>
        </w:rPr>
        <w:t>the</w:t>
      </w:r>
      <w:r w:rsidR="006410D8">
        <w:rPr>
          <w:rFonts w:asciiTheme="majorBidi" w:hAnsiTheme="majorBidi" w:cstheme="majorBidi"/>
          <w:sz w:val="24"/>
          <w:szCs w:val="24"/>
        </w:rPr>
        <w:t xml:space="preserve"> recogni</w:t>
      </w:r>
      <w:r w:rsidR="0060595D">
        <w:rPr>
          <w:rFonts w:asciiTheme="majorBidi" w:hAnsiTheme="majorBidi" w:cstheme="majorBidi"/>
          <w:sz w:val="24"/>
          <w:szCs w:val="24"/>
        </w:rPr>
        <w:t>tion of</w:t>
      </w:r>
      <w:r w:rsidR="006410D8">
        <w:rPr>
          <w:rFonts w:asciiTheme="majorBidi" w:hAnsiTheme="majorBidi" w:cstheme="majorBidi"/>
          <w:sz w:val="24"/>
          <w:szCs w:val="24"/>
        </w:rPr>
        <w:t xml:space="preserve"> the tissue source’s</w:t>
      </w:r>
      <w:r w:rsidR="008F09AF">
        <w:rPr>
          <w:rFonts w:asciiTheme="majorBidi" w:hAnsiTheme="majorBidi" w:cstheme="majorBidi"/>
          <w:sz w:val="24"/>
          <w:szCs w:val="24"/>
        </w:rPr>
        <w:t xml:space="preserve"> right to control the use of their separated bodily parts (</w:t>
      </w:r>
      <w:r w:rsidR="008F09AF" w:rsidRPr="00573265">
        <w:rPr>
          <w:rFonts w:asciiTheme="majorBidi" w:hAnsiTheme="majorBidi" w:cstheme="majorBidi"/>
          <w:i/>
          <w:sz w:val="24"/>
          <w:szCs w:val="24"/>
        </w:rPr>
        <w:t>Yearworth</w:t>
      </w:r>
      <w:r w:rsidR="008F09AF">
        <w:rPr>
          <w:rFonts w:asciiTheme="majorBidi" w:hAnsiTheme="majorBidi" w:cstheme="majorBidi"/>
          <w:sz w:val="24"/>
          <w:szCs w:val="24"/>
        </w:rPr>
        <w:t xml:space="preserve">; </w:t>
      </w:r>
      <w:r w:rsidR="008F09AF" w:rsidRPr="00573265">
        <w:rPr>
          <w:rFonts w:asciiTheme="majorBidi" w:hAnsiTheme="majorBidi" w:cstheme="majorBidi"/>
          <w:i/>
          <w:sz w:val="24"/>
          <w:szCs w:val="24"/>
        </w:rPr>
        <w:t>Havasupai</w:t>
      </w:r>
      <w:r w:rsidR="008F09AF">
        <w:rPr>
          <w:rFonts w:asciiTheme="majorBidi" w:hAnsiTheme="majorBidi" w:cstheme="majorBidi"/>
          <w:sz w:val="24"/>
          <w:szCs w:val="24"/>
        </w:rPr>
        <w:t>); or the</w:t>
      </w:r>
      <w:r w:rsidR="00576F5E">
        <w:rPr>
          <w:rFonts w:asciiTheme="majorBidi" w:hAnsiTheme="majorBidi" w:cstheme="majorBidi"/>
          <w:sz w:val="24"/>
          <w:szCs w:val="24"/>
        </w:rPr>
        <w:t xml:space="preserve"> tissue source’s</w:t>
      </w:r>
      <w:r w:rsidR="008F09AF">
        <w:rPr>
          <w:rFonts w:asciiTheme="majorBidi" w:hAnsiTheme="majorBidi" w:cstheme="majorBidi"/>
          <w:sz w:val="24"/>
          <w:szCs w:val="24"/>
        </w:rPr>
        <w:t xml:space="preserve"> right to</w:t>
      </w:r>
      <w:r w:rsidR="00576F5E">
        <w:rPr>
          <w:rFonts w:asciiTheme="majorBidi" w:hAnsiTheme="majorBidi" w:cstheme="majorBidi"/>
          <w:sz w:val="24"/>
          <w:szCs w:val="24"/>
        </w:rPr>
        <w:t xml:space="preserve"> share in the</w:t>
      </w:r>
      <w:r w:rsidR="008F09AF">
        <w:rPr>
          <w:rFonts w:asciiTheme="majorBidi" w:hAnsiTheme="majorBidi" w:cstheme="majorBidi"/>
          <w:sz w:val="24"/>
          <w:szCs w:val="24"/>
        </w:rPr>
        <w:t xml:space="preserve"> profits made</w:t>
      </w:r>
      <w:r w:rsidR="00576F5E">
        <w:rPr>
          <w:rFonts w:asciiTheme="majorBidi" w:hAnsiTheme="majorBidi" w:cstheme="majorBidi"/>
          <w:sz w:val="24"/>
          <w:szCs w:val="24"/>
        </w:rPr>
        <w:t xml:space="preserve"> from the biotechnological utilisation of</w:t>
      </w:r>
      <w:r w:rsidR="008F09AF">
        <w:rPr>
          <w:rFonts w:asciiTheme="majorBidi" w:hAnsiTheme="majorBidi" w:cstheme="majorBidi"/>
          <w:sz w:val="24"/>
          <w:szCs w:val="24"/>
        </w:rPr>
        <w:t xml:space="preserve"> their separated bodily parts (</w:t>
      </w:r>
      <w:r w:rsidR="008F09AF" w:rsidRPr="00573265">
        <w:rPr>
          <w:rFonts w:asciiTheme="majorBidi" w:hAnsiTheme="majorBidi" w:cstheme="majorBidi"/>
          <w:i/>
          <w:sz w:val="24"/>
          <w:szCs w:val="24"/>
        </w:rPr>
        <w:t>Moore)</w:t>
      </w:r>
      <w:r w:rsidR="008F09AF">
        <w:rPr>
          <w:rFonts w:asciiTheme="majorBidi" w:hAnsiTheme="majorBidi" w:cstheme="majorBidi"/>
          <w:sz w:val="24"/>
          <w:szCs w:val="24"/>
        </w:rPr>
        <w:t xml:space="preserve">. In short, I argue that it </w:t>
      </w:r>
      <w:r w:rsidR="001B797E">
        <w:rPr>
          <w:rFonts w:asciiTheme="majorBidi" w:hAnsiTheme="majorBidi" w:cstheme="majorBidi"/>
          <w:sz w:val="24"/>
          <w:szCs w:val="24"/>
        </w:rPr>
        <w:t>would be</w:t>
      </w:r>
      <w:r w:rsidR="008F09AF">
        <w:rPr>
          <w:rFonts w:asciiTheme="majorBidi" w:hAnsiTheme="majorBidi" w:cstheme="majorBidi"/>
          <w:sz w:val="24"/>
          <w:szCs w:val="24"/>
        </w:rPr>
        <w:t xml:space="preserve"> sufficient for my project in this article if duplex w</w:t>
      </w:r>
      <w:r w:rsidR="00867CA0">
        <w:rPr>
          <w:rFonts w:asciiTheme="majorBidi" w:hAnsiTheme="majorBidi" w:cstheme="majorBidi"/>
          <w:sz w:val="24"/>
          <w:szCs w:val="24"/>
        </w:rPr>
        <w:t>as</w:t>
      </w:r>
      <w:r w:rsidR="008F09AF">
        <w:rPr>
          <w:rFonts w:asciiTheme="majorBidi" w:hAnsiTheme="majorBidi" w:cstheme="majorBidi"/>
          <w:sz w:val="24"/>
          <w:szCs w:val="24"/>
        </w:rPr>
        <w:t xml:space="preserve"> used to recognise </w:t>
      </w:r>
      <w:r w:rsidR="008F09AF" w:rsidRPr="00573265">
        <w:rPr>
          <w:rFonts w:asciiTheme="majorBidi" w:hAnsiTheme="majorBidi" w:cstheme="majorBidi"/>
          <w:i/>
          <w:sz w:val="24"/>
          <w:szCs w:val="24"/>
        </w:rPr>
        <w:t>any</w:t>
      </w:r>
      <w:r w:rsidR="008F09AF">
        <w:rPr>
          <w:rFonts w:asciiTheme="majorBidi" w:hAnsiTheme="majorBidi" w:cstheme="majorBidi"/>
          <w:sz w:val="24"/>
          <w:szCs w:val="24"/>
        </w:rPr>
        <w:t xml:space="preserve"> of the standard incidents of property in favour of the tissue source in any given case.</w:t>
      </w:r>
      <w:r w:rsidR="005232D2">
        <w:rPr>
          <w:rFonts w:asciiTheme="majorBidi" w:hAnsiTheme="majorBidi" w:cstheme="majorBidi"/>
          <w:sz w:val="24"/>
          <w:szCs w:val="24"/>
        </w:rPr>
        <w:t xml:space="preserve"> Consequently,</w:t>
      </w:r>
      <w:r w:rsidR="00894848">
        <w:rPr>
          <w:rFonts w:asciiTheme="majorBidi" w:hAnsiTheme="majorBidi" w:cstheme="majorBidi"/>
          <w:sz w:val="24"/>
          <w:szCs w:val="24"/>
        </w:rPr>
        <w:t xml:space="preserve"> as highlighted above,</w:t>
      </w:r>
      <w:r w:rsidR="005232D2">
        <w:rPr>
          <w:rFonts w:asciiTheme="majorBidi" w:hAnsiTheme="majorBidi" w:cstheme="majorBidi"/>
          <w:sz w:val="24"/>
          <w:szCs w:val="24"/>
        </w:rPr>
        <w:t xml:space="preserve"> the tissue source should be</w:t>
      </w:r>
      <w:r w:rsidR="006778D9">
        <w:rPr>
          <w:rFonts w:asciiTheme="majorBidi" w:hAnsiTheme="majorBidi" w:cstheme="majorBidi"/>
          <w:sz w:val="24"/>
          <w:szCs w:val="24"/>
        </w:rPr>
        <w:t xml:space="preserve"> able</w:t>
      </w:r>
      <w:r w:rsidR="005232D2">
        <w:rPr>
          <w:rFonts w:asciiTheme="majorBidi" w:hAnsiTheme="majorBidi" w:cstheme="majorBidi"/>
          <w:sz w:val="24"/>
          <w:szCs w:val="24"/>
        </w:rPr>
        <w:t xml:space="preserve"> to assert the two property-based claims usually relevant in litigation involving biomaterials, that is, income rights and control rights.</w:t>
      </w:r>
    </w:p>
    <w:p w:rsidR="004F4243" w:rsidRDefault="004F4243" w:rsidP="004F4243">
      <w:pPr>
        <w:spacing w:line="240" w:lineRule="auto"/>
        <w:jc w:val="both"/>
        <w:rPr>
          <w:rFonts w:asciiTheme="majorBidi" w:hAnsiTheme="majorBidi" w:cstheme="majorBidi"/>
          <w:sz w:val="24"/>
          <w:szCs w:val="24"/>
        </w:rPr>
      </w:pPr>
    </w:p>
    <w:p w:rsidR="004F4243" w:rsidRPr="006F1C3D" w:rsidRDefault="004F4243" w:rsidP="006F1C3D">
      <w:pPr>
        <w:pStyle w:val="ListParagraph"/>
        <w:numPr>
          <w:ilvl w:val="0"/>
          <w:numId w:val="2"/>
        </w:numPr>
        <w:jc w:val="center"/>
        <w:rPr>
          <w:rFonts w:asciiTheme="majorBidi" w:hAnsiTheme="majorBidi" w:cstheme="majorBidi"/>
          <w:bCs/>
        </w:rPr>
      </w:pPr>
      <w:r w:rsidRPr="006F1C3D">
        <w:rPr>
          <w:rFonts w:asciiTheme="majorBidi" w:hAnsiTheme="majorBidi" w:cstheme="majorBidi"/>
          <w:bCs/>
        </w:rPr>
        <w:t>CONCLUSION</w:t>
      </w:r>
    </w:p>
    <w:p w:rsidR="006F1C3D" w:rsidRDefault="006F1C3D" w:rsidP="00BB73D3">
      <w:pPr>
        <w:jc w:val="both"/>
        <w:rPr>
          <w:rFonts w:asciiTheme="majorBidi" w:hAnsiTheme="majorBidi" w:cstheme="majorBidi"/>
          <w:sz w:val="24"/>
          <w:szCs w:val="24"/>
        </w:rPr>
      </w:pPr>
    </w:p>
    <w:p w:rsidR="004F4243" w:rsidRDefault="004F4243" w:rsidP="00BB73D3">
      <w:pPr>
        <w:jc w:val="both"/>
        <w:rPr>
          <w:rFonts w:asciiTheme="majorBidi" w:hAnsiTheme="majorBidi" w:cstheme="majorBidi"/>
          <w:sz w:val="24"/>
          <w:szCs w:val="24"/>
        </w:rPr>
      </w:pPr>
      <w:r>
        <w:rPr>
          <w:rFonts w:asciiTheme="majorBidi" w:hAnsiTheme="majorBidi" w:cstheme="majorBidi"/>
          <w:sz w:val="24"/>
          <w:szCs w:val="24"/>
        </w:rPr>
        <w:t>The human body and bodily parts have been used over the centuries in the cure of the sick</w:t>
      </w:r>
      <w:r w:rsidR="00DF13D3">
        <w:rPr>
          <w:rFonts w:asciiTheme="majorBidi" w:hAnsiTheme="majorBidi" w:cstheme="majorBidi"/>
          <w:sz w:val="24"/>
          <w:szCs w:val="24"/>
        </w:rPr>
        <w:t>,</w:t>
      </w:r>
      <w:r w:rsidR="00544B2B">
        <w:rPr>
          <w:rFonts w:asciiTheme="majorBidi" w:hAnsiTheme="majorBidi" w:cstheme="majorBidi"/>
          <w:sz w:val="24"/>
          <w:szCs w:val="24"/>
        </w:rPr>
        <w:t xml:space="preserve"> and for various artistic, research and educational purposes. These wide-ranging uses have raised serious challenges for legal regulation. Current legal regulation hardly </w:t>
      </w:r>
      <w:r w:rsidR="00B369BB">
        <w:rPr>
          <w:rFonts w:asciiTheme="majorBidi" w:hAnsiTheme="majorBidi" w:cstheme="majorBidi"/>
          <w:sz w:val="24"/>
          <w:szCs w:val="24"/>
        </w:rPr>
        <w:t>redresses</w:t>
      </w:r>
      <w:r w:rsidR="00544B2B">
        <w:rPr>
          <w:rFonts w:asciiTheme="majorBidi" w:hAnsiTheme="majorBidi" w:cstheme="majorBidi"/>
          <w:sz w:val="24"/>
          <w:szCs w:val="24"/>
        </w:rPr>
        <w:t xml:space="preserve"> claims brought by tissue sources over unauthorised interferences with the separated parts of their body; partly, </w:t>
      </w:r>
      <w:r w:rsidR="00FD125A">
        <w:rPr>
          <w:rFonts w:asciiTheme="majorBidi" w:hAnsiTheme="majorBidi" w:cstheme="majorBidi"/>
          <w:sz w:val="24"/>
          <w:szCs w:val="24"/>
        </w:rPr>
        <w:t>this result</w:t>
      </w:r>
      <w:r w:rsidR="00DF0000">
        <w:rPr>
          <w:rFonts w:asciiTheme="majorBidi" w:hAnsiTheme="majorBidi" w:cstheme="majorBidi"/>
          <w:sz w:val="24"/>
          <w:szCs w:val="24"/>
        </w:rPr>
        <w:t>s</w:t>
      </w:r>
      <w:r w:rsidR="00544B2B">
        <w:rPr>
          <w:rFonts w:asciiTheme="majorBidi" w:hAnsiTheme="majorBidi" w:cstheme="majorBidi"/>
          <w:sz w:val="24"/>
          <w:szCs w:val="24"/>
        </w:rPr>
        <w:t xml:space="preserve"> from</w:t>
      </w:r>
      <w:r w:rsidR="00263314">
        <w:rPr>
          <w:rFonts w:asciiTheme="majorBidi" w:hAnsiTheme="majorBidi" w:cstheme="majorBidi"/>
          <w:sz w:val="24"/>
          <w:szCs w:val="24"/>
        </w:rPr>
        <w:t xml:space="preserve"> </w:t>
      </w:r>
      <w:r w:rsidR="00544B2B">
        <w:rPr>
          <w:rFonts w:asciiTheme="majorBidi" w:hAnsiTheme="majorBidi" w:cstheme="majorBidi"/>
          <w:sz w:val="24"/>
          <w:szCs w:val="24"/>
        </w:rPr>
        <w:t>exclusive application of non-proprietary frameworks to claims</w:t>
      </w:r>
      <w:r w:rsidR="00263314">
        <w:rPr>
          <w:rFonts w:asciiTheme="majorBidi" w:hAnsiTheme="majorBidi" w:cstheme="majorBidi"/>
          <w:sz w:val="24"/>
          <w:szCs w:val="24"/>
        </w:rPr>
        <w:t xml:space="preserve"> brought</w:t>
      </w:r>
      <w:r w:rsidR="00544B2B">
        <w:rPr>
          <w:rFonts w:asciiTheme="majorBidi" w:hAnsiTheme="majorBidi" w:cstheme="majorBidi"/>
          <w:sz w:val="24"/>
          <w:szCs w:val="24"/>
        </w:rPr>
        <w:t xml:space="preserve"> by tissu</w:t>
      </w:r>
      <w:r w:rsidR="00263314">
        <w:rPr>
          <w:rFonts w:asciiTheme="majorBidi" w:hAnsiTheme="majorBidi" w:cstheme="majorBidi"/>
          <w:sz w:val="24"/>
          <w:szCs w:val="24"/>
        </w:rPr>
        <w:t>e sources although, ironically, proprietary remedies are available to</w:t>
      </w:r>
      <w:r w:rsidR="00B369BB">
        <w:rPr>
          <w:rFonts w:asciiTheme="majorBidi" w:hAnsiTheme="majorBidi" w:cstheme="majorBidi"/>
          <w:sz w:val="24"/>
          <w:szCs w:val="24"/>
        </w:rPr>
        <w:t xml:space="preserve"> redress</w:t>
      </w:r>
      <w:r w:rsidR="00263314">
        <w:rPr>
          <w:rFonts w:asciiTheme="majorBidi" w:hAnsiTheme="majorBidi" w:cstheme="majorBidi"/>
          <w:sz w:val="24"/>
          <w:szCs w:val="24"/>
        </w:rPr>
        <w:t xml:space="preserve"> claims made by tissue users and innovators. Thus, tissue sources have suffered some sort of injustice in the way private law currently operates. As seen above, the criminal justice system has been reluctant to intervene in the biomedical utilisations of bodily parts on utilitarian grounds. Thus, I suggest that the best way forward would be to consider a private law solution that integrates a prop</w:t>
      </w:r>
      <w:r w:rsidR="00B369BB">
        <w:rPr>
          <w:rFonts w:asciiTheme="majorBidi" w:hAnsiTheme="majorBidi" w:cstheme="majorBidi"/>
          <w:sz w:val="24"/>
          <w:szCs w:val="24"/>
        </w:rPr>
        <w:t>rietary</w:t>
      </w:r>
      <w:r w:rsidR="00263314">
        <w:rPr>
          <w:rFonts w:asciiTheme="majorBidi" w:hAnsiTheme="majorBidi" w:cstheme="majorBidi"/>
          <w:sz w:val="24"/>
          <w:szCs w:val="24"/>
        </w:rPr>
        <w:t xml:space="preserve"> approach, not exclusively, but in conjunction with non-proprietary frameworks. In this regard, I suggest that the analytical tool of duplex might help us to conceive bodily parts as property</w:t>
      </w:r>
      <w:r w:rsidR="00FC4A2E">
        <w:rPr>
          <w:rFonts w:asciiTheme="majorBidi" w:hAnsiTheme="majorBidi" w:cstheme="majorBidi"/>
          <w:sz w:val="24"/>
          <w:szCs w:val="24"/>
        </w:rPr>
        <w:t>,</w:t>
      </w:r>
      <w:r w:rsidR="00263314">
        <w:rPr>
          <w:rFonts w:asciiTheme="majorBidi" w:hAnsiTheme="majorBidi" w:cstheme="majorBidi"/>
          <w:sz w:val="24"/>
          <w:szCs w:val="24"/>
        </w:rPr>
        <w:t xml:space="preserve"> </w:t>
      </w:r>
      <w:r w:rsidR="00DF13D3">
        <w:rPr>
          <w:rFonts w:asciiTheme="majorBidi" w:hAnsiTheme="majorBidi" w:cstheme="majorBidi"/>
          <w:sz w:val="24"/>
          <w:szCs w:val="24"/>
        </w:rPr>
        <w:t xml:space="preserve">even </w:t>
      </w:r>
      <w:r w:rsidR="00263314">
        <w:rPr>
          <w:rFonts w:asciiTheme="majorBidi" w:hAnsiTheme="majorBidi" w:cstheme="majorBidi"/>
          <w:sz w:val="24"/>
          <w:szCs w:val="24"/>
        </w:rPr>
        <w:t xml:space="preserve">though </w:t>
      </w:r>
      <w:r w:rsidR="00FC4A2E">
        <w:rPr>
          <w:rFonts w:asciiTheme="majorBidi" w:hAnsiTheme="majorBidi" w:cstheme="majorBidi"/>
          <w:sz w:val="24"/>
          <w:szCs w:val="24"/>
        </w:rPr>
        <w:t>they</w:t>
      </w:r>
      <w:r w:rsidR="00263314">
        <w:rPr>
          <w:rFonts w:asciiTheme="majorBidi" w:hAnsiTheme="majorBidi" w:cstheme="majorBidi"/>
          <w:sz w:val="24"/>
          <w:szCs w:val="24"/>
        </w:rPr>
        <w:t xml:space="preserve"> might not be regarded as property</w:t>
      </w:r>
      <w:r w:rsidR="00FC4A2E">
        <w:rPr>
          <w:rFonts w:asciiTheme="majorBidi" w:hAnsiTheme="majorBidi" w:cstheme="majorBidi"/>
          <w:sz w:val="24"/>
          <w:szCs w:val="24"/>
        </w:rPr>
        <w:t xml:space="preserve"> in some circumstances. So, duplex promotes a useful reflexivity, a divergent and paradoxical thinking on bodily parts that might facilitate the application of proprietary remedies t</w:t>
      </w:r>
      <w:r w:rsidR="00DF13D3">
        <w:rPr>
          <w:rFonts w:asciiTheme="majorBidi" w:hAnsiTheme="majorBidi" w:cstheme="majorBidi"/>
          <w:sz w:val="24"/>
          <w:szCs w:val="24"/>
        </w:rPr>
        <w:t>o</w:t>
      </w:r>
      <w:r w:rsidR="00FC4A2E">
        <w:rPr>
          <w:rFonts w:asciiTheme="majorBidi" w:hAnsiTheme="majorBidi" w:cstheme="majorBidi"/>
          <w:sz w:val="24"/>
          <w:szCs w:val="24"/>
        </w:rPr>
        <w:t xml:space="preserve"> claims instituted by tissue sources.</w:t>
      </w:r>
    </w:p>
    <w:p w:rsidR="002265C1" w:rsidRDefault="002265C1" w:rsidP="00BB73D3">
      <w:pPr>
        <w:ind w:firstLine="720"/>
        <w:jc w:val="both"/>
        <w:rPr>
          <w:rFonts w:asciiTheme="majorBidi" w:hAnsiTheme="majorBidi" w:cstheme="majorBidi"/>
          <w:sz w:val="24"/>
          <w:szCs w:val="24"/>
        </w:rPr>
      </w:pPr>
    </w:p>
    <w:p w:rsidR="00761096" w:rsidRDefault="00F913F0" w:rsidP="00BB73D3">
      <w:pPr>
        <w:ind w:firstLine="720"/>
        <w:jc w:val="both"/>
        <w:rPr>
          <w:rFonts w:asciiTheme="majorBidi" w:hAnsiTheme="majorBidi" w:cstheme="majorBidi"/>
          <w:sz w:val="24"/>
          <w:szCs w:val="24"/>
        </w:rPr>
      </w:pPr>
      <w:r>
        <w:rPr>
          <w:rFonts w:asciiTheme="majorBidi" w:hAnsiTheme="majorBidi" w:cstheme="majorBidi"/>
          <w:sz w:val="24"/>
          <w:szCs w:val="24"/>
        </w:rPr>
        <w:t xml:space="preserve"> </w:t>
      </w:r>
    </w:p>
    <w:sectPr w:rsidR="0076109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0AA" w:rsidRDefault="005A70AA" w:rsidP="00B74A88">
      <w:pPr>
        <w:spacing w:after="0" w:line="240" w:lineRule="auto"/>
      </w:pPr>
      <w:r>
        <w:separator/>
      </w:r>
    </w:p>
  </w:endnote>
  <w:endnote w:type="continuationSeparator" w:id="0">
    <w:p w:rsidR="005A70AA" w:rsidRDefault="005A70AA" w:rsidP="00B74A88">
      <w:pPr>
        <w:spacing w:after="0" w:line="240" w:lineRule="auto"/>
      </w:pPr>
      <w:r>
        <w:continuationSeparator/>
      </w:r>
    </w:p>
  </w:endnote>
  <w:endnote w:type="continuationNotice" w:id="1">
    <w:p w:rsidR="005A70AA" w:rsidRDefault="005A7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28" w:rsidRDefault="003E6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AA" w:rsidRDefault="005A70AA" w:rsidP="005E6FB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917823" w:rsidRPr="0091782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5A70AA" w:rsidRDefault="005A70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28" w:rsidRDefault="003E6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0AA" w:rsidRDefault="005A70AA" w:rsidP="00B74A88">
      <w:pPr>
        <w:spacing w:after="0" w:line="240" w:lineRule="auto"/>
      </w:pPr>
      <w:r>
        <w:separator/>
      </w:r>
    </w:p>
  </w:footnote>
  <w:footnote w:type="continuationSeparator" w:id="0">
    <w:p w:rsidR="005A70AA" w:rsidRDefault="005A70AA" w:rsidP="00B74A88">
      <w:pPr>
        <w:spacing w:after="0" w:line="240" w:lineRule="auto"/>
      </w:pPr>
      <w:r>
        <w:continuationSeparator/>
      </w:r>
    </w:p>
  </w:footnote>
  <w:footnote w:type="continuationNotice" w:id="1">
    <w:p w:rsidR="005A70AA" w:rsidRDefault="005A70AA">
      <w:pPr>
        <w:spacing w:after="0" w:line="240" w:lineRule="auto"/>
      </w:pPr>
    </w:p>
  </w:footnote>
  <w:footnote w:id="2">
    <w:p w:rsidR="00FC4865" w:rsidRPr="00406BBD" w:rsidRDefault="00FC4865" w:rsidP="00FC4865">
      <w:pPr>
        <w:pStyle w:val="FootnoteText"/>
        <w:rPr>
          <w:rFonts w:ascii="Times New Roman" w:hAnsi="Times New Roman" w:cs="Times New Roman"/>
        </w:rPr>
      </w:pPr>
      <w:r>
        <w:t>*</w:t>
      </w:r>
      <w:r>
        <w:rPr>
          <w:rFonts w:ascii="Times New Roman" w:hAnsi="Times New Roman" w:cs="Times New Roman"/>
        </w:rPr>
        <w:t>Remigius N Nwabueze, SJD (Toronto)</w:t>
      </w:r>
      <w:r w:rsidR="00CF5640">
        <w:rPr>
          <w:rFonts w:ascii="Times New Roman" w:hAnsi="Times New Roman" w:cs="Times New Roman"/>
        </w:rPr>
        <w:t>;</w:t>
      </w:r>
      <w:r>
        <w:rPr>
          <w:rFonts w:ascii="Times New Roman" w:hAnsi="Times New Roman" w:cs="Times New Roman"/>
        </w:rPr>
        <w:t xml:space="preserve"> Associate Professor of Law, University of Southampton, School of Law. I am very grateful for the constructive and helpful comments on the earlier draft provided by Professors Jon Herring (University of Oxford) and Graeme Laurie (University of Edinburgh).</w:t>
      </w:r>
      <w:r w:rsidR="00CF5640">
        <w:rPr>
          <w:rFonts w:ascii="Times New Roman" w:hAnsi="Times New Roman" w:cs="Times New Roman"/>
        </w:rPr>
        <w:t xml:space="preserve"> Many thanks for the helpful feedback from the journal’s two</w:t>
      </w:r>
      <w:r w:rsidR="00675035">
        <w:rPr>
          <w:rFonts w:ascii="Times New Roman" w:hAnsi="Times New Roman" w:cs="Times New Roman"/>
        </w:rPr>
        <w:t xml:space="preserve"> external and</w:t>
      </w:r>
      <w:r w:rsidR="00CF5640">
        <w:rPr>
          <w:rFonts w:ascii="Times New Roman" w:hAnsi="Times New Roman" w:cs="Times New Roman"/>
        </w:rPr>
        <w:t xml:space="preserve"> anonymous reviewers.</w:t>
      </w:r>
    </w:p>
    <w:p w:rsidR="005A70AA" w:rsidRPr="00000E2D" w:rsidRDefault="005A70AA">
      <w:pPr>
        <w:pStyle w:val="FootnoteText"/>
        <w:rPr>
          <w:rFonts w:ascii="Times New Roman" w:hAnsi="Times New Roman" w:cs="Times New Roman"/>
        </w:rPr>
      </w:pPr>
      <w:r>
        <w:rPr>
          <w:rStyle w:val="FootnoteReference"/>
        </w:rPr>
        <w:footnoteRef/>
      </w:r>
      <w:r>
        <w:t xml:space="preserve"> </w:t>
      </w:r>
      <w:r w:rsidRPr="00000E2D">
        <w:rPr>
          <w:rFonts w:asciiTheme="majorBidi" w:hAnsiTheme="majorBidi" w:cstheme="majorBidi"/>
        </w:rPr>
        <w:t>I appreciate that the practical treatment of bodily parts as property in markets and social transactions can equally be explained as being analogous to a situation where the law renders a transaction legally unenforceable but does not prevent the parties from making any informal arrangement in that regard.</w:t>
      </w:r>
    </w:p>
  </w:footnote>
  <w:footnote w:id="3">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Waldby C</w:t>
      </w:r>
      <w:r w:rsidRPr="00082300">
        <w:rPr>
          <w:rFonts w:asciiTheme="majorBidi" w:hAnsiTheme="majorBidi" w:cstheme="majorBidi"/>
        </w:rPr>
        <w:t xml:space="preserve"> &amp; </w:t>
      </w:r>
      <w:r w:rsidRPr="00573265">
        <w:rPr>
          <w:rFonts w:asciiTheme="majorBidi" w:hAnsiTheme="majorBidi" w:cstheme="majorBidi"/>
          <w:b/>
        </w:rPr>
        <w:t>Mitchell R</w:t>
      </w:r>
      <w:r>
        <w:rPr>
          <w:rFonts w:asciiTheme="majorBidi" w:hAnsiTheme="majorBidi" w:cstheme="majorBidi"/>
        </w:rPr>
        <w:t xml:space="preserve"> (2006)</w:t>
      </w:r>
      <w:r w:rsidRPr="00082300">
        <w:rPr>
          <w:rFonts w:asciiTheme="majorBidi" w:hAnsiTheme="majorBidi" w:cstheme="majorBidi"/>
        </w:rPr>
        <w:t xml:space="preserve"> </w:t>
      </w:r>
      <w:r w:rsidRPr="00082300">
        <w:rPr>
          <w:rFonts w:asciiTheme="majorBidi" w:hAnsiTheme="majorBidi" w:cstheme="majorBidi"/>
          <w:i/>
          <w:iCs/>
        </w:rPr>
        <w:t>Tissue Economies: Blood, Organs and Cell Lines in Late Capitalism</w:t>
      </w:r>
      <w:r>
        <w:rPr>
          <w:rFonts w:asciiTheme="majorBidi" w:hAnsiTheme="majorBidi" w:cstheme="majorBidi"/>
          <w:i/>
          <w:iCs/>
        </w:rPr>
        <w:t>.</w:t>
      </w:r>
      <w:r w:rsidRPr="00082300">
        <w:rPr>
          <w:rFonts w:asciiTheme="majorBidi" w:hAnsiTheme="majorBidi" w:cstheme="majorBidi"/>
        </w:rPr>
        <w:t xml:space="preserve"> Durham, North Carolina: Duke University Press</w:t>
      </w:r>
      <w:r>
        <w:rPr>
          <w:rFonts w:asciiTheme="majorBidi" w:hAnsiTheme="majorBidi" w:cstheme="majorBidi"/>
        </w:rPr>
        <w:t>.</w:t>
      </w:r>
    </w:p>
  </w:footnote>
  <w:footnote w:id="4">
    <w:p w:rsidR="005A70AA" w:rsidRPr="00082300" w:rsidRDefault="005A70AA" w:rsidP="00F4033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407A7D">
        <w:rPr>
          <w:rFonts w:asciiTheme="majorBidi" w:hAnsiTheme="majorBidi" w:cstheme="majorBidi"/>
          <w:i/>
        </w:rPr>
        <w:t>Ibid</w:t>
      </w:r>
      <w:r>
        <w:rPr>
          <w:rFonts w:asciiTheme="majorBidi" w:hAnsiTheme="majorBidi" w:cstheme="majorBidi"/>
        </w:rPr>
        <w:t>.</w:t>
      </w:r>
      <w:r w:rsidRPr="00082300">
        <w:rPr>
          <w:rFonts w:asciiTheme="majorBidi" w:hAnsiTheme="majorBidi" w:cstheme="majorBidi"/>
        </w:rPr>
        <w:t>, at 32.</w:t>
      </w:r>
    </w:p>
  </w:footnote>
  <w:footnote w:id="5">
    <w:p w:rsidR="005A70AA" w:rsidRPr="00082300" w:rsidRDefault="005A70AA" w:rsidP="00F4033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407A7D">
        <w:rPr>
          <w:rFonts w:asciiTheme="majorBidi" w:hAnsiTheme="majorBidi" w:cstheme="majorBidi"/>
          <w:i/>
        </w:rPr>
        <w:t>Ibid</w:t>
      </w:r>
      <w:r>
        <w:rPr>
          <w:rFonts w:asciiTheme="majorBidi" w:hAnsiTheme="majorBidi" w:cstheme="majorBidi"/>
        </w:rPr>
        <w:t>.</w:t>
      </w:r>
    </w:p>
  </w:footnote>
  <w:footnote w:id="6">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Quigley M</w:t>
      </w:r>
      <w:r>
        <w:rPr>
          <w:rFonts w:asciiTheme="majorBidi" w:hAnsiTheme="majorBidi" w:cstheme="majorBidi"/>
        </w:rPr>
        <w:t xml:space="preserve"> (2014)</w:t>
      </w:r>
      <w:r w:rsidRPr="00082300">
        <w:rPr>
          <w:rFonts w:asciiTheme="majorBidi" w:hAnsiTheme="majorBidi" w:cstheme="majorBidi"/>
        </w:rPr>
        <w:t xml:space="preserve"> Propertisation and Commercialisation: On Controlling the Uses of Human Biomaterials</w:t>
      </w:r>
      <w:r>
        <w:rPr>
          <w:rFonts w:asciiTheme="majorBidi" w:hAnsiTheme="majorBidi" w:cstheme="majorBidi"/>
        </w:rPr>
        <w:t xml:space="preserve">. </w:t>
      </w:r>
      <w:r w:rsidRPr="00573265">
        <w:rPr>
          <w:rFonts w:asciiTheme="majorBidi" w:hAnsiTheme="majorBidi" w:cstheme="majorBidi"/>
          <w:i/>
        </w:rPr>
        <w:t>Modern Law Review</w:t>
      </w:r>
      <w:r>
        <w:rPr>
          <w:rFonts w:asciiTheme="majorBidi" w:hAnsiTheme="majorBidi" w:cstheme="majorBidi"/>
        </w:rPr>
        <w:t xml:space="preserve"> </w:t>
      </w:r>
      <w:r w:rsidRPr="00573265">
        <w:rPr>
          <w:rFonts w:asciiTheme="majorBidi" w:hAnsiTheme="majorBidi" w:cstheme="majorBidi"/>
          <w:b/>
        </w:rPr>
        <w:t>77</w:t>
      </w:r>
      <w:r>
        <w:rPr>
          <w:rFonts w:asciiTheme="majorBidi" w:hAnsiTheme="majorBidi" w:cstheme="majorBidi"/>
        </w:rPr>
        <w:t>, 677, at 678-680.</w:t>
      </w:r>
      <w:r w:rsidRPr="00082300">
        <w:rPr>
          <w:rFonts w:asciiTheme="majorBidi" w:hAnsiTheme="majorBidi" w:cstheme="majorBidi"/>
        </w:rPr>
        <w:t xml:space="preserve"> (2014)</w:t>
      </w:r>
    </w:p>
  </w:footnote>
  <w:footnote w:id="7">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Siraisi N</w:t>
      </w:r>
      <w:r>
        <w:rPr>
          <w:rFonts w:asciiTheme="majorBidi" w:hAnsiTheme="majorBidi" w:cstheme="majorBidi"/>
        </w:rPr>
        <w:t xml:space="preserve"> (1990)</w:t>
      </w:r>
      <w:r w:rsidRPr="00082300">
        <w:rPr>
          <w:rFonts w:asciiTheme="majorBidi" w:hAnsiTheme="majorBidi" w:cstheme="majorBidi"/>
        </w:rPr>
        <w:t xml:space="preserve"> </w:t>
      </w:r>
      <w:r w:rsidRPr="00082300">
        <w:rPr>
          <w:rFonts w:asciiTheme="majorBidi" w:hAnsiTheme="majorBidi" w:cstheme="majorBidi"/>
          <w:i/>
          <w:iCs/>
        </w:rPr>
        <w:t>Medieval and Early Renaissance Medicine</w:t>
      </w:r>
      <w:r>
        <w:rPr>
          <w:rFonts w:asciiTheme="majorBidi" w:hAnsiTheme="majorBidi" w:cstheme="majorBidi"/>
          <w:i/>
          <w:iCs/>
        </w:rPr>
        <w:t>.</w:t>
      </w:r>
      <w:r w:rsidRPr="00082300">
        <w:rPr>
          <w:rFonts w:asciiTheme="majorBidi" w:hAnsiTheme="majorBidi" w:cstheme="majorBidi"/>
        </w:rPr>
        <w:t xml:space="preserve"> Chicago: University of Chicago Press</w:t>
      </w:r>
      <w:r>
        <w:rPr>
          <w:rFonts w:asciiTheme="majorBidi" w:hAnsiTheme="majorBidi" w:cstheme="majorBidi"/>
        </w:rPr>
        <w:t>.</w:t>
      </w:r>
    </w:p>
  </w:footnote>
  <w:footnote w:id="8">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Gordon-Grube K</w:t>
      </w:r>
      <w:r>
        <w:rPr>
          <w:rFonts w:asciiTheme="majorBidi" w:hAnsiTheme="majorBidi" w:cstheme="majorBidi"/>
        </w:rPr>
        <w:t xml:space="preserve"> (1988)</w:t>
      </w:r>
      <w:r w:rsidRPr="00082300">
        <w:rPr>
          <w:rFonts w:asciiTheme="majorBidi" w:hAnsiTheme="majorBidi" w:cstheme="majorBidi"/>
        </w:rPr>
        <w:t xml:space="preserve"> Anthropophagy in Post-Renaissance Europe: The Tradition of Medicinal Cannibalism</w:t>
      </w:r>
      <w:r>
        <w:rPr>
          <w:rFonts w:asciiTheme="majorBidi" w:hAnsiTheme="majorBidi" w:cstheme="majorBidi"/>
        </w:rPr>
        <w:t>.</w:t>
      </w:r>
      <w:r w:rsidRPr="00573265">
        <w:rPr>
          <w:rFonts w:asciiTheme="majorBidi" w:hAnsiTheme="majorBidi" w:cstheme="majorBidi"/>
          <w:i/>
        </w:rPr>
        <w:t>American Anthropologist</w:t>
      </w:r>
      <w:r>
        <w:rPr>
          <w:rFonts w:asciiTheme="majorBidi" w:hAnsiTheme="majorBidi" w:cstheme="majorBidi"/>
        </w:rPr>
        <w:t xml:space="preserve"> </w:t>
      </w:r>
      <w:r w:rsidRPr="00573265">
        <w:rPr>
          <w:rFonts w:asciiTheme="majorBidi" w:hAnsiTheme="majorBidi" w:cstheme="majorBidi"/>
          <w:b/>
        </w:rPr>
        <w:t>90</w:t>
      </w:r>
      <w:r>
        <w:rPr>
          <w:rFonts w:asciiTheme="majorBidi" w:hAnsiTheme="majorBidi" w:cstheme="majorBidi"/>
        </w:rPr>
        <w:t>,</w:t>
      </w:r>
      <w:r w:rsidRPr="00082300">
        <w:rPr>
          <w:rFonts w:asciiTheme="majorBidi" w:hAnsiTheme="majorBidi" w:cstheme="majorBidi"/>
        </w:rPr>
        <w:t xml:space="preserve"> 405 at 406.</w:t>
      </w:r>
    </w:p>
  </w:footnote>
  <w:footnote w:id="9">
    <w:p w:rsidR="005A70AA" w:rsidRPr="00082300" w:rsidRDefault="005A70AA" w:rsidP="00F4033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407A7D">
        <w:rPr>
          <w:rFonts w:asciiTheme="majorBidi" w:hAnsiTheme="majorBidi" w:cstheme="majorBidi"/>
          <w:i/>
        </w:rPr>
        <w:t>Ibid</w:t>
      </w:r>
      <w:r>
        <w:rPr>
          <w:rFonts w:asciiTheme="majorBidi" w:hAnsiTheme="majorBidi" w:cstheme="majorBidi"/>
        </w:rPr>
        <w:t>.</w:t>
      </w:r>
      <w:r w:rsidRPr="00082300">
        <w:rPr>
          <w:rFonts w:asciiTheme="majorBidi" w:hAnsiTheme="majorBidi" w:cstheme="majorBidi"/>
        </w:rPr>
        <w:t>, at 406.</w:t>
      </w:r>
    </w:p>
  </w:footnote>
  <w:footnote w:id="10">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Noble L</w:t>
      </w:r>
      <w:r>
        <w:rPr>
          <w:rFonts w:asciiTheme="majorBidi" w:hAnsiTheme="majorBidi" w:cstheme="majorBidi"/>
        </w:rPr>
        <w:t xml:space="preserve"> (2011)</w:t>
      </w:r>
      <w:r w:rsidRPr="00082300">
        <w:rPr>
          <w:rFonts w:asciiTheme="majorBidi" w:hAnsiTheme="majorBidi" w:cstheme="majorBidi"/>
        </w:rPr>
        <w:t xml:space="preserve"> </w:t>
      </w:r>
      <w:r w:rsidRPr="00082300">
        <w:rPr>
          <w:rFonts w:asciiTheme="majorBidi" w:hAnsiTheme="majorBidi" w:cstheme="majorBidi"/>
          <w:i/>
          <w:iCs/>
        </w:rPr>
        <w:t>Medicinal Cannibalism in Early Modern English Literature and Culture</w:t>
      </w:r>
      <w:r>
        <w:rPr>
          <w:rFonts w:asciiTheme="majorBidi" w:hAnsiTheme="majorBidi" w:cstheme="majorBidi"/>
          <w:i/>
          <w:iCs/>
        </w:rPr>
        <w:t>.</w:t>
      </w:r>
      <w:r w:rsidRPr="00082300">
        <w:rPr>
          <w:rFonts w:asciiTheme="majorBidi" w:hAnsiTheme="majorBidi" w:cstheme="majorBidi"/>
        </w:rPr>
        <w:t xml:space="preserve"> New York: Palgrave Macmillan,  at 13,</w:t>
      </w:r>
      <w:r>
        <w:rPr>
          <w:rFonts w:asciiTheme="majorBidi" w:hAnsiTheme="majorBidi" w:cstheme="majorBidi"/>
        </w:rPr>
        <w:t xml:space="preserve"> </w:t>
      </w:r>
      <w:r w:rsidRPr="00082300">
        <w:rPr>
          <w:rFonts w:asciiTheme="majorBidi" w:hAnsiTheme="majorBidi" w:cstheme="majorBidi"/>
        </w:rPr>
        <w:t>21-22.</w:t>
      </w:r>
    </w:p>
  </w:footnote>
  <w:footnote w:id="11">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James R</w:t>
      </w:r>
      <w:r>
        <w:rPr>
          <w:rFonts w:asciiTheme="majorBidi" w:hAnsiTheme="majorBidi" w:cstheme="majorBidi"/>
        </w:rPr>
        <w:t xml:space="preserve"> (1747)</w:t>
      </w:r>
      <w:r w:rsidRPr="00082300">
        <w:rPr>
          <w:rFonts w:asciiTheme="majorBidi" w:hAnsiTheme="majorBidi" w:cstheme="majorBidi"/>
        </w:rPr>
        <w:t xml:space="preserve"> </w:t>
      </w:r>
      <w:r w:rsidRPr="00082300">
        <w:rPr>
          <w:rFonts w:asciiTheme="majorBidi" w:hAnsiTheme="majorBidi" w:cstheme="majorBidi"/>
          <w:i/>
          <w:iCs/>
        </w:rPr>
        <w:t>Pharmacopoeia Universalis: or A New Universal English Dispensatory</w:t>
      </w:r>
      <w:r>
        <w:rPr>
          <w:rFonts w:asciiTheme="majorBidi" w:hAnsiTheme="majorBidi" w:cstheme="majorBidi"/>
          <w:i/>
          <w:iCs/>
        </w:rPr>
        <w:t>.</w:t>
      </w:r>
      <w:r w:rsidRPr="00082300">
        <w:rPr>
          <w:rFonts w:asciiTheme="majorBidi" w:hAnsiTheme="majorBidi" w:cstheme="majorBidi"/>
        </w:rPr>
        <w:t xml:space="preserve"> London: J Hodges</w:t>
      </w:r>
      <w:r>
        <w:rPr>
          <w:rFonts w:asciiTheme="majorBidi" w:hAnsiTheme="majorBidi" w:cstheme="majorBidi"/>
        </w:rPr>
        <w:t>.</w:t>
      </w:r>
    </w:p>
  </w:footnote>
  <w:footnote w:id="12">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Pliny E</w:t>
      </w:r>
      <w:r>
        <w:rPr>
          <w:rFonts w:asciiTheme="majorBidi" w:hAnsiTheme="majorBidi" w:cstheme="majorBidi"/>
        </w:rPr>
        <w:t xml:space="preserve"> (1975)</w:t>
      </w:r>
      <w:r w:rsidRPr="00082300">
        <w:rPr>
          <w:rFonts w:asciiTheme="majorBidi" w:hAnsiTheme="majorBidi" w:cstheme="majorBidi"/>
        </w:rPr>
        <w:t xml:space="preserve"> </w:t>
      </w:r>
      <w:r w:rsidRPr="00082300">
        <w:rPr>
          <w:rFonts w:asciiTheme="majorBidi" w:hAnsiTheme="majorBidi" w:cstheme="majorBidi"/>
          <w:i/>
          <w:iCs/>
        </w:rPr>
        <w:t>Natural History, Vol. 8, Books 28-32</w:t>
      </w:r>
      <w:r>
        <w:rPr>
          <w:rFonts w:asciiTheme="majorBidi" w:hAnsiTheme="majorBidi" w:cstheme="majorBidi"/>
          <w:i/>
          <w:iCs/>
        </w:rPr>
        <w:t>.</w:t>
      </w:r>
      <w:r w:rsidRPr="00082300">
        <w:rPr>
          <w:rFonts w:asciiTheme="majorBidi" w:hAnsiTheme="majorBidi" w:cstheme="majorBidi"/>
        </w:rPr>
        <w:t xml:space="preserve"> Cambridge, MA: Harvard University Press.  </w:t>
      </w:r>
      <w:r>
        <w:rPr>
          <w:rFonts w:asciiTheme="majorBidi" w:hAnsiTheme="majorBidi" w:cstheme="majorBidi"/>
        </w:rPr>
        <w:t>(</w:t>
      </w:r>
      <w:r w:rsidRPr="00082300">
        <w:rPr>
          <w:rFonts w:asciiTheme="majorBidi" w:hAnsiTheme="majorBidi" w:cstheme="majorBidi"/>
        </w:rPr>
        <w:t>WHS Jones, Translated).</w:t>
      </w:r>
    </w:p>
  </w:footnote>
  <w:footnote w:id="13">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Peacock M</w:t>
      </w:r>
      <w:r>
        <w:rPr>
          <w:rFonts w:asciiTheme="majorBidi" w:hAnsiTheme="majorBidi" w:cstheme="majorBidi"/>
        </w:rPr>
        <w:t xml:space="preserve"> (1896)</w:t>
      </w:r>
      <w:r w:rsidRPr="00082300">
        <w:rPr>
          <w:rFonts w:asciiTheme="majorBidi" w:hAnsiTheme="majorBidi" w:cstheme="majorBidi"/>
        </w:rPr>
        <w:t xml:space="preserve"> Executed Criminals and Folk-Medicine </w:t>
      </w:r>
      <w:r w:rsidRPr="00573265">
        <w:rPr>
          <w:rFonts w:asciiTheme="majorBidi" w:hAnsiTheme="majorBidi" w:cstheme="majorBidi"/>
          <w:i/>
        </w:rPr>
        <w:t>Folk-Lore</w:t>
      </w:r>
      <w:r>
        <w:rPr>
          <w:rFonts w:asciiTheme="majorBidi" w:hAnsiTheme="majorBidi" w:cstheme="majorBidi"/>
        </w:rPr>
        <w:t xml:space="preserve"> </w:t>
      </w:r>
      <w:r w:rsidRPr="00573265">
        <w:rPr>
          <w:rFonts w:asciiTheme="majorBidi" w:hAnsiTheme="majorBidi" w:cstheme="majorBidi"/>
          <w:b/>
        </w:rPr>
        <w:t>7,</w:t>
      </w:r>
      <w:r w:rsidRPr="00082300">
        <w:rPr>
          <w:rFonts w:asciiTheme="majorBidi" w:hAnsiTheme="majorBidi" w:cstheme="majorBidi"/>
        </w:rPr>
        <w:t xml:space="preserve"> 268 at 270-71.</w:t>
      </w:r>
    </w:p>
  </w:footnote>
  <w:footnote w:id="14">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Wootton A C</w:t>
      </w:r>
      <w:r>
        <w:rPr>
          <w:rFonts w:asciiTheme="majorBidi" w:hAnsiTheme="majorBidi" w:cstheme="majorBidi"/>
        </w:rPr>
        <w:t xml:space="preserve"> (1972)</w:t>
      </w:r>
      <w:r w:rsidRPr="00082300">
        <w:rPr>
          <w:rFonts w:asciiTheme="majorBidi" w:hAnsiTheme="majorBidi" w:cstheme="majorBidi"/>
        </w:rPr>
        <w:t xml:space="preserve"> </w:t>
      </w:r>
      <w:r w:rsidRPr="00082300">
        <w:rPr>
          <w:rFonts w:asciiTheme="majorBidi" w:hAnsiTheme="majorBidi" w:cstheme="majorBidi"/>
          <w:i/>
          <w:iCs/>
        </w:rPr>
        <w:t>Chronicles of Pharmacy, vol. 2</w:t>
      </w:r>
      <w:r w:rsidRPr="00082300">
        <w:rPr>
          <w:rFonts w:asciiTheme="majorBidi" w:hAnsiTheme="majorBidi" w:cstheme="majorBidi"/>
        </w:rPr>
        <w:t xml:space="preserve"> New York: USV Pharmaceutical Corporation</w:t>
      </w:r>
      <w:r w:rsidR="008A5C70">
        <w:rPr>
          <w:rFonts w:asciiTheme="majorBidi" w:hAnsiTheme="majorBidi" w:cstheme="majorBidi"/>
        </w:rPr>
        <w:t>,</w:t>
      </w:r>
      <w:r w:rsidRPr="00082300">
        <w:rPr>
          <w:rFonts w:asciiTheme="majorBidi" w:hAnsiTheme="majorBidi" w:cstheme="majorBidi"/>
        </w:rPr>
        <w:t xml:space="preserve"> 7.</w:t>
      </w:r>
    </w:p>
  </w:footnote>
  <w:footnote w:id="15">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Gordon-Grube</w:t>
      </w:r>
      <w:r>
        <w:rPr>
          <w:rFonts w:asciiTheme="majorBidi" w:hAnsiTheme="majorBidi" w:cstheme="majorBidi"/>
        </w:rPr>
        <w:t xml:space="preserve"> (n7)</w:t>
      </w:r>
      <w:r w:rsidRPr="00082300">
        <w:rPr>
          <w:rFonts w:asciiTheme="majorBidi" w:hAnsiTheme="majorBidi" w:cstheme="majorBidi"/>
        </w:rPr>
        <w:t>, at 406</w:t>
      </w:r>
      <w:r>
        <w:rPr>
          <w:rFonts w:asciiTheme="majorBidi" w:hAnsiTheme="majorBidi" w:cstheme="majorBidi"/>
        </w:rPr>
        <w:t>.</w:t>
      </w:r>
    </w:p>
  </w:footnote>
  <w:footnote w:id="16">
    <w:p w:rsidR="005A70AA" w:rsidRPr="00082300" w:rsidRDefault="005A70AA" w:rsidP="00F4033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Witness the German incident of sexualised cannibalism by Armin Meiwes in 2003</w:t>
      </w:r>
      <w:r>
        <w:rPr>
          <w:rFonts w:asciiTheme="majorBidi" w:hAnsiTheme="majorBidi" w:cstheme="majorBidi"/>
        </w:rPr>
        <w:t>, involving the cutting, cooking and eating of a willing victim’s penis. Meiwes</w:t>
      </w:r>
      <w:r w:rsidRPr="00082300">
        <w:rPr>
          <w:rFonts w:asciiTheme="majorBidi" w:hAnsiTheme="majorBidi" w:cstheme="majorBidi"/>
        </w:rPr>
        <w:t xml:space="preserve"> was convicted of murder in 2006:</w:t>
      </w:r>
      <w:r w:rsidRPr="00573265">
        <w:rPr>
          <w:rFonts w:asciiTheme="majorBidi" w:hAnsiTheme="majorBidi" w:cstheme="majorBidi"/>
          <w:b/>
        </w:rPr>
        <w:t>Harding Luke</w:t>
      </w:r>
      <w:r>
        <w:rPr>
          <w:rFonts w:asciiTheme="majorBidi" w:hAnsiTheme="majorBidi" w:cstheme="majorBidi"/>
        </w:rPr>
        <w:t xml:space="preserve"> (2003)</w:t>
      </w:r>
      <w:r w:rsidRPr="00082300">
        <w:rPr>
          <w:rFonts w:asciiTheme="majorBidi" w:hAnsiTheme="majorBidi" w:cstheme="majorBidi"/>
        </w:rPr>
        <w:t xml:space="preserve"> Victim of cannibal agreed to be eaten</w:t>
      </w:r>
      <w:r>
        <w:rPr>
          <w:rFonts w:asciiTheme="majorBidi" w:hAnsiTheme="majorBidi" w:cstheme="majorBidi"/>
        </w:rPr>
        <w:t>.</w:t>
      </w:r>
      <w:r w:rsidRPr="00082300">
        <w:rPr>
          <w:rFonts w:asciiTheme="majorBidi" w:hAnsiTheme="majorBidi" w:cstheme="majorBidi"/>
        </w:rPr>
        <w:t xml:space="preserve"> </w:t>
      </w:r>
      <w:r w:rsidRPr="00270F88">
        <w:rPr>
          <w:rFonts w:asciiTheme="majorBidi" w:hAnsiTheme="majorBidi" w:cstheme="majorBidi"/>
          <w:i/>
        </w:rPr>
        <w:t>The Guardian</w:t>
      </w:r>
      <w:r w:rsidRPr="00082300">
        <w:rPr>
          <w:rFonts w:asciiTheme="majorBidi" w:hAnsiTheme="majorBidi" w:cstheme="majorBidi"/>
        </w:rPr>
        <w:t>, 4 December 2003, at 5.</w:t>
      </w:r>
    </w:p>
  </w:footnote>
  <w:footnote w:id="17">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082300">
        <w:rPr>
          <w:rFonts w:asciiTheme="majorBidi" w:hAnsiTheme="majorBidi" w:cstheme="majorBidi"/>
          <w:i/>
          <w:iCs/>
        </w:rPr>
        <w:t>R v Dudley and Stephens</w:t>
      </w:r>
      <w:r w:rsidRPr="00082300">
        <w:rPr>
          <w:rFonts w:asciiTheme="majorBidi" w:hAnsiTheme="majorBidi" w:cstheme="majorBidi"/>
        </w:rPr>
        <w:t xml:space="preserve"> [1884] 14 QBD 273.</w:t>
      </w:r>
      <w:r>
        <w:rPr>
          <w:rFonts w:asciiTheme="majorBidi" w:hAnsiTheme="majorBidi" w:cstheme="majorBidi"/>
        </w:rPr>
        <w:t xml:space="preserve"> For extensive analysis of this case: </w:t>
      </w:r>
      <w:r w:rsidRPr="00573265">
        <w:rPr>
          <w:rFonts w:asciiTheme="majorBidi" w:hAnsiTheme="majorBidi" w:cstheme="majorBidi"/>
          <w:b/>
        </w:rPr>
        <w:t>Brian S A W</w:t>
      </w:r>
      <w:r>
        <w:rPr>
          <w:rFonts w:asciiTheme="majorBidi" w:hAnsiTheme="majorBidi" w:cstheme="majorBidi"/>
        </w:rPr>
        <w:t xml:space="preserve"> (1984) </w:t>
      </w:r>
      <w:r w:rsidRPr="00573265">
        <w:rPr>
          <w:rFonts w:asciiTheme="majorBidi" w:hAnsiTheme="majorBidi" w:cstheme="majorBidi"/>
          <w:i/>
        </w:rPr>
        <w:t>Cannibalism and the Common Law</w:t>
      </w:r>
      <w:r>
        <w:rPr>
          <w:rFonts w:asciiTheme="majorBidi" w:hAnsiTheme="majorBidi" w:cstheme="majorBidi"/>
        </w:rPr>
        <w:t>. Chicago: The University of Chicago Press.</w:t>
      </w:r>
    </w:p>
  </w:footnote>
  <w:footnote w:id="18">
    <w:p w:rsidR="005A70AA" w:rsidRPr="00082300" w:rsidRDefault="005A70AA" w:rsidP="00F4033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EE0F29">
        <w:rPr>
          <w:rFonts w:asciiTheme="majorBidi" w:hAnsiTheme="majorBidi" w:cstheme="majorBidi"/>
          <w:i/>
        </w:rPr>
        <w:t>Ibid.</w:t>
      </w:r>
    </w:p>
  </w:footnote>
  <w:footnote w:id="19">
    <w:p w:rsidR="005A70AA" w:rsidRPr="00082300" w:rsidRDefault="005A70AA" w:rsidP="00F4033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EE0F29">
        <w:rPr>
          <w:rFonts w:asciiTheme="majorBidi" w:hAnsiTheme="majorBidi" w:cstheme="majorBidi"/>
          <w:i/>
        </w:rPr>
        <w:t>Ibid</w:t>
      </w:r>
      <w:r>
        <w:rPr>
          <w:rFonts w:asciiTheme="majorBidi" w:hAnsiTheme="majorBidi" w:cstheme="majorBidi"/>
        </w:rPr>
        <w:t>.</w:t>
      </w:r>
      <w:r w:rsidRPr="00082300">
        <w:rPr>
          <w:rFonts w:asciiTheme="majorBidi" w:hAnsiTheme="majorBidi" w:cstheme="majorBidi"/>
        </w:rPr>
        <w:t>, 287.</w:t>
      </w:r>
    </w:p>
  </w:footnote>
  <w:footnote w:id="20">
    <w:p w:rsidR="005A70AA" w:rsidRPr="00082300" w:rsidRDefault="005A70AA" w:rsidP="00F4033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Wootton</w:t>
      </w:r>
      <w:r>
        <w:rPr>
          <w:rFonts w:asciiTheme="majorBidi" w:hAnsiTheme="majorBidi" w:cstheme="majorBidi"/>
        </w:rPr>
        <w:t xml:space="preserve"> (n13),</w:t>
      </w:r>
      <w:r w:rsidRPr="00082300">
        <w:rPr>
          <w:rFonts w:asciiTheme="majorBidi" w:hAnsiTheme="majorBidi" w:cstheme="majorBidi"/>
        </w:rPr>
        <w:t xml:space="preserve"> 2.</w:t>
      </w:r>
    </w:p>
  </w:footnote>
  <w:footnote w:id="21">
    <w:p w:rsidR="005A70AA" w:rsidRPr="00082300" w:rsidRDefault="005A70AA" w:rsidP="00633A5B">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EE0F29">
        <w:rPr>
          <w:rFonts w:asciiTheme="majorBidi" w:hAnsiTheme="majorBidi" w:cstheme="majorBidi"/>
          <w:i/>
        </w:rPr>
        <w:t>Ibid</w:t>
      </w:r>
      <w:r>
        <w:rPr>
          <w:rFonts w:asciiTheme="majorBidi" w:hAnsiTheme="majorBidi" w:cstheme="majorBidi"/>
        </w:rPr>
        <w:t>.,</w:t>
      </w:r>
      <w:r w:rsidRPr="00082300">
        <w:rPr>
          <w:rFonts w:asciiTheme="majorBidi" w:hAnsiTheme="majorBidi" w:cstheme="majorBidi"/>
        </w:rPr>
        <w:t xml:space="preserve"> at 2-8.</w:t>
      </w:r>
    </w:p>
  </w:footnote>
  <w:footnote w:id="22">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Pr>
          <w:rFonts w:asciiTheme="majorBidi" w:hAnsiTheme="majorBidi" w:cstheme="majorBidi"/>
        </w:rPr>
        <w:t>E</w:t>
      </w:r>
      <w:r w:rsidRPr="00082300">
        <w:rPr>
          <w:rFonts w:asciiTheme="majorBidi" w:hAnsiTheme="majorBidi" w:cstheme="majorBidi"/>
        </w:rPr>
        <w:t>xample</w:t>
      </w:r>
      <w:r>
        <w:rPr>
          <w:rFonts w:asciiTheme="majorBidi" w:hAnsiTheme="majorBidi" w:cstheme="majorBidi"/>
        </w:rPr>
        <w:t>:</w:t>
      </w:r>
      <w:r w:rsidRPr="00082300">
        <w:rPr>
          <w:rFonts w:asciiTheme="majorBidi" w:hAnsiTheme="majorBidi" w:cstheme="majorBidi"/>
        </w:rPr>
        <w:t xml:space="preserve"> Shakespeare’s </w:t>
      </w:r>
      <w:r w:rsidRPr="00082300">
        <w:rPr>
          <w:rFonts w:asciiTheme="majorBidi" w:hAnsiTheme="majorBidi" w:cstheme="majorBidi"/>
          <w:i/>
          <w:iCs/>
        </w:rPr>
        <w:t>Titus Andronicus</w:t>
      </w:r>
      <w:r w:rsidRPr="00082300">
        <w:rPr>
          <w:rFonts w:asciiTheme="majorBidi" w:hAnsiTheme="majorBidi" w:cstheme="majorBidi"/>
        </w:rPr>
        <w:t xml:space="preserve"> and </w:t>
      </w:r>
      <w:r w:rsidRPr="00082300">
        <w:rPr>
          <w:rFonts w:asciiTheme="majorBidi" w:hAnsiTheme="majorBidi" w:cstheme="majorBidi"/>
          <w:i/>
          <w:iCs/>
        </w:rPr>
        <w:t>Othello.</w:t>
      </w:r>
    </w:p>
  </w:footnote>
  <w:footnote w:id="23">
    <w:p w:rsidR="005A70AA" w:rsidRPr="00082300" w:rsidRDefault="005A70AA" w:rsidP="00633A5B">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Noble</w:t>
      </w:r>
      <w:r>
        <w:rPr>
          <w:rFonts w:asciiTheme="majorBidi" w:hAnsiTheme="majorBidi" w:cstheme="majorBidi"/>
        </w:rPr>
        <w:t xml:space="preserve"> (n9)</w:t>
      </w:r>
      <w:r w:rsidRPr="00082300">
        <w:rPr>
          <w:rFonts w:asciiTheme="majorBidi" w:hAnsiTheme="majorBidi" w:cstheme="majorBidi"/>
        </w:rPr>
        <w:t>, 2.</w:t>
      </w:r>
    </w:p>
  </w:footnote>
  <w:footnote w:id="24">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Waldby and Mitchell</w:t>
      </w:r>
      <w:r>
        <w:rPr>
          <w:rFonts w:asciiTheme="majorBidi" w:hAnsiTheme="majorBidi" w:cstheme="majorBidi"/>
        </w:rPr>
        <w:t xml:space="preserve"> (n2)</w:t>
      </w:r>
      <w:r w:rsidRPr="00082300">
        <w:rPr>
          <w:rFonts w:asciiTheme="majorBidi" w:hAnsiTheme="majorBidi" w:cstheme="majorBidi"/>
        </w:rPr>
        <w:t>, 31, 181-188</w:t>
      </w:r>
      <w:r>
        <w:rPr>
          <w:rFonts w:asciiTheme="majorBidi" w:hAnsiTheme="majorBidi" w:cstheme="majorBidi"/>
        </w:rPr>
        <w:t>.</w:t>
      </w:r>
    </w:p>
  </w:footnote>
  <w:footnote w:id="25">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Awaya T</w:t>
      </w:r>
      <w:r>
        <w:rPr>
          <w:rFonts w:asciiTheme="majorBidi" w:hAnsiTheme="majorBidi" w:cstheme="majorBidi"/>
        </w:rPr>
        <w:t xml:space="preserve"> (1994)</w:t>
      </w:r>
      <w:r w:rsidRPr="00082300">
        <w:rPr>
          <w:rFonts w:asciiTheme="majorBidi" w:hAnsiTheme="majorBidi" w:cstheme="majorBidi"/>
        </w:rPr>
        <w:t xml:space="preserve"> The Theory of Neo-Cannibalism</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Japanese Journal of Philosophy</w:t>
      </w:r>
      <w:r>
        <w:rPr>
          <w:rFonts w:asciiTheme="majorBidi" w:hAnsiTheme="majorBidi" w:cstheme="majorBidi"/>
        </w:rPr>
        <w:t xml:space="preserve"> </w:t>
      </w:r>
      <w:r w:rsidRPr="00573265">
        <w:rPr>
          <w:rFonts w:asciiTheme="majorBidi" w:hAnsiTheme="majorBidi" w:cstheme="majorBidi"/>
          <w:b/>
        </w:rPr>
        <w:t>3</w:t>
      </w:r>
      <w:r>
        <w:rPr>
          <w:rFonts w:asciiTheme="majorBidi" w:hAnsiTheme="majorBidi" w:cstheme="majorBidi"/>
        </w:rPr>
        <w:t>,</w:t>
      </w:r>
      <w:r w:rsidRPr="00082300">
        <w:rPr>
          <w:rFonts w:asciiTheme="majorBidi" w:hAnsiTheme="majorBidi" w:cstheme="majorBidi"/>
        </w:rPr>
        <w:t xml:space="preserve"> 29-47, quoted in </w:t>
      </w:r>
      <w:r w:rsidRPr="00573265">
        <w:rPr>
          <w:rFonts w:asciiTheme="majorBidi" w:hAnsiTheme="majorBidi" w:cstheme="majorBidi"/>
          <w:b/>
        </w:rPr>
        <w:t>Scheper-Hughes N</w:t>
      </w:r>
      <w:r>
        <w:rPr>
          <w:rFonts w:asciiTheme="majorBidi" w:hAnsiTheme="majorBidi" w:cstheme="majorBidi"/>
        </w:rPr>
        <w:t xml:space="preserve"> (2000)</w:t>
      </w:r>
      <w:r w:rsidRPr="00082300">
        <w:rPr>
          <w:rFonts w:asciiTheme="majorBidi" w:hAnsiTheme="majorBidi" w:cstheme="majorBidi"/>
        </w:rPr>
        <w:t xml:space="preserve"> The Global Traffic in Human Organs</w:t>
      </w:r>
      <w:r>
        <w:rPr>
          <w:rFonts w:asciiTheme="majorBidi" w:hAnsiTheme="majorBidi" w:cstheme="majorBidi"/>
        </w:rPr>
        <w:t>.</w:t>
      </w:r>
      <w:r w:rsidRPr="00573265">
        <w:rPr>
          <w:rFonts w:asciiTheme="majorBidi" w:hAnsiTheme="majorBidi" w:cstheme="majorBidi"/>
          <w:i/>
        </w:rPr>
        <w:t>Current Anthropology</w:t>
      </w:r>
      <w:r>
        <w:rPr>
          <w:rFonts w:asciiTheme="majorBidi" w:hAnsiTheme="majorBidi" w:cstheme="majorBidi"/>
        </w:rPr>
        <w:t xml:space="preserve"> </w:t>
      </w:r>
      <w:r w:rsidRPr="00573265">
        <w:rPr>
          <w:rFonts w:asciiTheme="majorBidi" w:hAnsiTheme="majorBidi" w:cstheme="majorBidi"/>
          <w:b/>
        </w:rPr>
        <w:t>41,</w:t>
      </w:r>
      <w:r w:rsidRPr="00082300">
        <w:rPr>
          <w:rFonts w:asciiTheme="majorBidi" w:hAnsiTheme="majorBidi" w:cstheme="majorBidi"/>
        </w:rPr>
        <w:t xml:space="preserve"> 191 at 198.</w:t>
      </w:r>
    </w:p>
  </w:footnote>
  <w:footnote w:id="26">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Scheper-Hughes N</w:t>
      </w:r>
      <w:r>
        <w:rPr>
          <w:rFonts w:asciiTheme="majorBidi" w:hAnsiTheme="majorBidi" w:cstheme="majorBidi"/>
        </w:rPr>
        <w:t xml:space="preserve"> (2002)</w:t>
      </w:r>
      <w:r w:rsidRPr="00082300">
        <w:rPr>
          <w:rFonts w:asciiTheme="majorBidi" w:hAnsiTheme="majorBidi" w:cstheme="majorBidi"/>
        </w:rPr>
        <w:t xml:space="preserve"> ‘Bodies for Sale: Whole or In Parts’ in N Scheper-Hughes &amp; L Wacquant </w:t>
      </w:r>
      <w:r>
        <w:rPr>
          <w:rFonts w:asciiTheme="majorBidi" w:hAnsiTheme="majorBidi" w:cstheme="majorBidi"/>
        </w:rPr>
        <w:t>(</w:t>
      </w:r>
      <w:r w:rsidRPr="00082300">
        <w:rPr>
          <w:rFonts w:asciiTheme="majorBidi" w:hAnsiTheme="majorBidi" w:cstheme="majorBidi"/>
        </w:rPr>
        <w:t>eds</w:t>
      </w:r>
      <w:r>
        <w:rPr>
          <w:rFonts w:asciiTheme="majorBidi" w:hAnsiTheme="majorBidi" w:cstheme="majorBidi"/>
        </w:rPr>
        <w:t>)</w:t>
      </w:r>
      <w:r w:rsidRPr="00082300">
        <w:rPr>
          <w:rFonts w:asciiTheme="majorBidi" w:hAnsiTheme="majorBidi" w:cstheme="majorBidi"/>
        </w:rPr>
        <w:t xml:space="preserve"> </w:t>
      </w:r>
      <w:r w:rsidRPr="00082300">
        <w:rPr>
          <w:rFonts w:asciiTheme="majorBidi" w:hAnsiTheme="majorBidi" w:cstheme="majorBidi"/>
          <w:i/>
          <w:iCs/>
        </w:rPr>
        <w:t>Commodifying Bodies</w:t>
      </w:r>
      <w:r>
        <w:rPr>
          <w:rFonts w:asciiTheme="majorBidi" w:hAnsiTheme="majorBidi" w:cstheme="majorBidi"/>
          <w:i/>
          <w:iCs/>
        </w:rPr>
        <w:t>.</w:t>
      </w:r>
      <w:r w:rsidRPr="00082300">
        <w:rPr>
          <w:rFonts w:asciiTheme="majorBidi" w:hAnsiTheme="majorBidi" w:cstheme="majorBidi"/>
        </w:rPr>
        <w:t xml:space="preserve"> London: Sage Publications, 1-4.</w:t>
      </w:r>
    </w:p>
  </w:footnote>
  <w:footnote w:id="27">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Richardson R</w:t>
      </w:r>
      <w:r>
        <w:rPr>
          <w:rFonts w:asciiTheme="majorBidi" w:hAnsiTheme="majorBidi" w:cstheme="majorBidi"/>
        </w:rPr>
        <w:t xml:space="preserve"> (2006)</w:t>
      </w:r>
      <w:r w:rsidRPr="00082300">
        <w:rPr>
          <w:rFonts w:asciiTheme="majorBidi" w:hAnsiTheme="majorBidi" w:cstheme="majorBidi"/>
        </w:rPr>
        <w:t xml:space="preserve"> Human dissection and organ donation: a historical and social background</w:t>
      </w:r>
      <w:r>
        <w:rPr>
          <w:rFonts w:asciiTheme="majorBidi" w:hAnsiTheme="majorBidi" w:cstheme="majorBidi"/>
        </w:rPr>
        <w:t>.</w:t>
      </w:r>
      <w:r w:rsidR="0074587A">
        <w:rPr>
          <w:rFonts w:asciiTheme="majorBidi" w:hAnsiTheme="majorBidi" w:cstheme="majorBidi"/>
        </w:rPr>
        <w:t xml:space="preserve"> </w:t>
      </w:r>
      <w:r w:rsidRPr="00145E02">
        <w:rPr>
          <w:rFonts w:asciiTheme="majorBidi" w:hAnsiTheme="majorBidi" w:cstheme="majorBidi"/>
          <w:i/>
        </w:rPr>
        <w:t>Mortality</w:t>
      </w:r>
      <w:r>
        <w:rPr>
          <w:rFonts w:asciiTheme="majorBidi" w:hAnsiTheme="majorBidi" w:cstheme="majorBidi"/>
        </w:rPr>
        <w:t xml:space="preserve"> </w:t>
      </w:r>
      <w:r w:rsidRPr="00573265">
        <w:rPr>
          <w:rFonts w:asciiTheme="majorBidi" w:hAnsiTheme="majorBidi" w:cstheme="majorBidi"/>
          <w:b/>
        </w:rPr>
        <w:t>11</w:t>
      </w:r>
      <w:r>
        <w:rPr>
          <w:rFonts w:asciiTheme="majorBidi" w:hAnsiTheme="majorBidi" w:cstheme="majorBidi"/>
        </w:rPr>
        <w:t>, 151.</w:t>
      </w:r>
      <w:r w:rsidRPr="00082300">
        <w:rPr>
          <w:rFonts w:asciiTheme="majorBidi" w:hAnsiTheme="majorBidi" w:cstheme="majorBidi"/>
        </w:rPr>
        <w:t xml:space="preserve"> </w:t>
      </w:r>
    </w:p>
  </w:footnote>
  <w:footnote w:id="28">
    <w:p w:rsidR="005A70AA" w:rsidRPr="00082300" w:rsidRDefault="005A70AA" w:rsidP="006B2E37">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Noble</w:t>
      </w:r>
      <w:r>
        <w:rPr>
          <w:rFonts w:asciiTheme="majorBidi" w:hAnsiTheme="majorBidi" w:cstheme="majorBidi"/>
        </w:rPr>
        <w:t xml:space="preserve"> (n9),</w:t>
      </w:r>
      <w:r w:rsidRPr="00082300">
        <w:rPr>
          <w:rFonts w:asciiTheme="majorBidi" w:hAnsiTheme="majorBidi" w:cstheme="majorBidi"/>
        </w:rPr>
        <w:t xml:space="preserve"> 2, 25 and 164.</w:t>
      </w:r>
    </w:p>
  </w:footnote>
  <w:footnote w:id="29">
    <w:p w:rsidR="005A70AA" w:rsidRPr="00082300" w:rsidRDefault="005A70AA" w:rsidP="006B2E37">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EE0F29">
        <w:rPr>
          <w:rFonts w:asciiTheme="majorBidi" w:hAnsiTheme="majorBidi" w:cstheme="majorBidi"/>
          <w:i/>
        </w:rPr>
        <w:t>Ibid</w:t>
      </w:r>
      <w:r>
        <w:rPr>
          <w:rFonts w:asciiTheme="majorBidi" w:hAnsiTheme="majorBidi" w:cstheme="majorBidi"/>
        </w:rPr>
        <w:t>.</w:t>
      </w:r>
      <w:r w:rsidRPr="00082300">
        <w:rPr>
          <w:rFonts w:asciiTheme="majorBidi" w:hAnsiTheme="majorBidi" w:cstheme="majorBidi"/>
        </w:rPr>
        <w:t>, 4</w:t>
      </w:r>
      <w:r w:rsidR="005068F8">
        <w:rPr>
          <w:rFonts w:asciiTheme="majorBidi" w:hAnsiTheme="majorBidi" w:cstheme="majorBidi"/>
        </w:rPr>
        <w:t>.</w:t>
      </w:r>
    </w:p>
  </w:footnote>
  <w:footnote w:id="30">
    <w:p w:rsidR="005A70AA" w:rsidRPr="00082300" w:rsidRDefault="005A70AA" w:rsidP="006B2E37">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Jones D G &amp; M I Whitaker M I</w:t>
      </w:r>
      <w:r>
        <w:rPr>
          <w:rFonts w:asciiTheme="majorBidi" w:hAnsiTheme="majorBidi" w:cstheme="majorBidi"/>
        </w:rPr>
        <w:t xml:space="preserve"> (2009)</w:t>
      </w:r>
      <w:r w:rsidRPr="00082300">
        <w:rPr>
          <w:rFonts w:asciiTheme="majorBidi" w:hAnsiTheme="majorBidi" w:cstheme="majorBidi"/>
        </w:rPr>
        <w:t xml:space="preserve"> </w:t>
      </w:r>
      <w:r w:rsidRPr="006B2E37">
        <w:rPr>
          <w:rFonts w:asciiTheme="majorBidi" w:hAnsiTheme="majorBidi" w:cstheme="majorBidi"/>
          <w:i/>
          <w:iCs/>
        </w:rPr>
        <w:t>Speaking for the Dead: The Human Body in Biology and Medicine, 2</w:t>
      </w:r>
      <w:r w:rsidRPr="006B2E37">
        <w:rPr>
          <w:rFonts w:asciiTheme="majorBidi" w:hAnsiTheme="majorBidi" w:cstheme="majorBidi"/>
          <w:i/>
          <w:iCs/>
          <w:vertAlign w:val="superscript"/>
        </w:rPr>
        <w:t>nd</w:t>
      </w:r>
      <w:r w:rsidRPr="006B2E37">
        <w:rPr>
          <w:rFonts w:asciiTheme="majorBidi" w:hAnsiTheme="majorBidi" w:cstheme="majorBidi"/>
          <w:i/>
          <w:iCs/>
        </w:rPr>
        <w:t xml:space="preserve"> ed</w:t>
      </w:r>
      <w:r w:rsidRPr="00082300">
        <w:rPr>
          <w:rFonts w:asciiTheme="majorBidi" w:hAnsiTheme="majorBidi" w:cstheme="majorBidi"/>
        </w:rPr>
        <w:t>. Aldershot: Ashgate, 107-120.</w:t>
      </w:r>
    </w:p>
  </w:footnote>
  <w:footnote w:id="31">
    <w:p w:rsidR="005A70AA" w:rsidRPr="00082300" w:rsidRDefault="005A70AA" w:rsidP="009366DB">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Pr>
          <w:rFonts w:asciiTheme="majorBidi" w:hAnsiTheme="majorBidi" w:cstheme="majorBidi"/>
        </w:rPr>
        <w:t>Ibid.</w:t>
      </w:r>
      <w:r w:rsidRPr="00082300">
        <w:rPr>
          <w:rFonts w:asciiTheme="majorBidi" w:hAnsiTheme="majorBidi" w:cstheme="majorBidi"/>
        </w:rPr>
        <w:t>, at 87-99.</w:t>
      </w:r>
    </w:p>
  </w:footnote>
  <w:footnote w:id="32">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Nwabueze R N</w:t>
      </w:r>
      <w:r>
        <w:rPr>
          <w:rFonts w:asciiTheme="majorBidi" w:hAnsiTheme="majorBidi" w:cstheme="majorBidi"/>
        </w:rPr>
        <w:t xml:space="preserve"> (2007)</w:t>
      </w:r>
      <w:r w:rsidRPr="00082300">
        <w:rPr>
          <w:rFonts w:asciiTheme="majorBidi" w:hAnsiTheme="majorBidi" w:cstheme="majorBidi"/>
        </w:rPr>
        <w:t xml:space="preserve"> </w:t>
      </w:r>
      <w:r w:rsidRPr="00082300">
        <w:rPr>
          <w:rFonts w:asciiTheme="majorBidi" w:hAnsiTheme="majorBidi" w:cstheme="majorBidi"/>
          <w:i/>
          <w:iCs/>
        </w:rPr>
        <w:t>Biotechnology and the Challenge of Property: Property Rights in Dead Bodies, Body Parts and Genetic Information</w:t>
      </w:r>
      <w:r>
        <w:rPr>
          <w:rFonts w:asciiTheme="majorBidi" w:hAnsiTheme="majorBidi" w:cstheme="majorBidi"/>
          <w:i/>
          <w:iCs/>
        </w:rPr>
        <w:t>.</w:t>
      </w:r>
      <w:r w:rsidRPr="00082300">
        <w:rPr>
          <w:rFonts w:asciiTheme="majorBidi" w:hAnsiTheme="majorBidi" w:cstheme="majorBidi"/>
        </w:rPr>
        <w:t xml:space="preserve"> Aldershot: Ashgate, 221.</w:t>
      </w:r>
    </w:p>
  </w:footnote>
  <w:footnote w:id="33">
    <w:p w:rsidR="005A70AA" w:rsidRPr="00082300" w:rsidRDefault="005A70AA" w:rsidP="009366DB">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Jones </w:t>
      </w:r>
      <w:r>
        <w:rPr>
          <w:rFonts w:asciiTheme="majorBidi" w:hAnsiTheme="majorBidi" w:cstheme="majorBidi"/>
        </w:rPr>
        <w:t>&amp;</w:t>
      </w:r>
      <w:r w:rsidRPr="00082300">
        <w:rPr>
          <w:rFonts w:asciiTheme="majorBidi" w:hAnsiTheme="majorBidi" w:cstheme="majorBidi"/>
        </w:rPr>
        <w:t xml:space="preserve"> Whitaker</w:t>
      </w:r>
      <w:r>
        <w:rPr>
          <w:rFonts w:asciiTheme="majorBidi" w:hAnsiTheme="majorBidi" w:cstheme="majorBidi"/>
        </w:rPr>
        <w:t xml:space="preserve"> (n29)</w:t>
      </w:r>
      <w:r w:rsidRPr="00082300">
        <w:rPr>
          <w:rFonts w:asciiTheme="majorBidi" w:hAnsiTheme="majorBidi" w:cstheme="majorBidi"/>
        </w:rPr>
        <w:t>, 25-80.</w:t>
      </w:r>
    </w:p>
  </w:footnote>
  <w:footnote w:id="34">
    <w:p w:rsidR="005A70AA" w:rsidRPr="0075752F" w:rsidRDefault="005A70AA" w:rsidP="0075752F">
      <w:pPr>
        <w:pStyle w:val="FootnoteText"/>
        <w:rPr>
          <w:rFonts w:asciiTheme="majorBidi" w:hAnsiTheme="majorBidi" w:cstheme="majorBidi"/>
        </w:rPr>
      </w:pPr>
      <w:r>
        <w:rPr>
          <w:rStyle w:val="FootnoteReference"/>
        </w:rPr>
        <w:footnoteRef/>
      </w:r>
      <w:r>
        <w:t xml:space="preserve"> </w:t>
      </w:r>
      <w:r w:rsidRPr="00573265">
        <w:rPr>
          <w:rFonts w:asciiTheme="majorBidi" w:hAnsiTheme="majorBidi" w:cstheme="majorBidi"/>
          <w:b/>
        </w:rPr>
        <w:t>Laurie G</w:t>
      </w:r>
      <w:r>
        <w:rPr>
          <w:rFonts w:asciiTheme="majorBidi" w:hAnsiTheme="majorBidi" w:cstheme="majorBidi"/>
        </w:rPr>
        <w:t xml:space="preserve"> (2002) </w:t>
      </w:r>
      <w:r w:rsidRPr="0075752F">
        <w:rPr>
          <w:rFonts w:asciiTheme="majorBidi" w:hAnsiTheme="majorBidi" w:cstheme="majorBidi"/>
          <w:i/>
          <w:iCs/>
        </w:rPr>
        <w:t>Genetic Privacy: A Challenge to Medico-Legal Norms</w:t>
      </w:r>
      <w:r>
        <w:rPr>
          <w:rFonts w:asciiTheme="majorBidi" w:hAnsiTheme="majorBidi" w:cstheme="majorBidi"/>
          <w:i/>
          <w:iCs/>
        </w:rPr>
        <w:t>.</w:t>
      </w:r>
      <w:r w:rsidRPr="0075752F">
        <w:rPr>
          <w:rFonts w:asciiTheme="majorBidi" w:hAnsiTheme="majorBidi" w:cstheme="majorBidi"/>
          <w:i/>
          <w:iCs/>
        </w:rPr>
        <w:t xml:space="preserve"> </w:t>
      </w:r>
      <w:r>
        <w:rPr>
          <w:rFonts w:asciiTheme="majorBidi" w:hAnsiTheme="majorBidi" w:cstheme="majorBidi"/>
        </w:rPr>
        <w:t>Cambridge: Cambridge University Press.</w:t>
      </w:r>
    </w:p>
  </w:footnote>
  <w:footnote w:id="35">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McLennan A &amp; Rimmer M</w:t>
      </w:r>
      <w:r>
        <w:rPr>
          <w:rFonts w:asciiTheme="majorBidi" w:hAnsiTheme="majorBidi" w:cstheme="majorBidi"/>
        </w:rPr>
        <w:t xml:space="preserve"> (2012)</w:t>
      </w:r>
      <w:r w:rsidRPr="00082300">
        <w:rPr>
          <w:rFonts w:asciiTheme="majorBidi" w:hAnsiTheme="majorBidi" w:cstheme="majorBidi"/>
        </w:rPr>
        <w:t xml:space="preserve"> ‘Inventing Life: Intellectual Property and the New Biology’ in M Rimmer &amp; A McLennan</w:t>
      </w:r>
      <w:r w:rsidRPr="00082300">
        <w:rPr>
          <w:rFonts w:asciiTheme="majorBidi" w:hAnsiTheme="majorBidi" w:cstheme="majorBidi"/>
          <w:i/>
          <w:iCs/>
        </w:rPr>
        <w:t xml:space="preserve"> Intellectual Property and Emerging Technologies: The New Biology</w:t>
      </w:r>
      <w:r>
        <w:rPr>
          <w:rFonts w:asciiTheme="majorBidi" w:hAnsiTheme="majorBidi" w:cstheme="majorBidi"/>
          <w:i/>
          <w:iCs/>
        </w:rPr>
        <w:t>.</w:t>
      </w:r>
      <w:r w:rsidRPr="00082300">
        <w:rPr>
          <w:rFonts w:asciiTheme="majorBidi" w:hAnsiTheme="majorBidi" w:cstheme="majorBidi"/>
        </w:rPr>
        <w:t xml:space="preserve"> Cheltenham: Edward Elgar</w:t>
      </w:r>
      <w:r>
        <w:rPr>
          <w:rFonts w:asciiTheme="majorBidi" w:hAnsiTheme="majorBidi" w:cstheme="majorBidi"/>
        </w:rPr>
        <w:t>.</w:t>
      </w:r>
      <w:r w:rsidRPr="00082300">
        <w:rPr>
          <w:rFonts w:asciiTheme="majorBidi" w:hAnsiTheme="majorBidi" w:cstheme="majorBidi"/>
        </w:rPr>
        <w:t xml:space="preserve"> </w:t>
      </w:r>
      <w:r>
        <w:rPr>
          <w:rFonts w:asciiTheme="majorBidi" w:hAnsiTheme="majorBidi" w:cstheme="majorBidi"/>
        </w:rPr>
        <w:t xml:space="preserve">   </w:t>
      </w:r>
    </w:p>
  </w:footnote>
  <w:footnote w:id="36">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Liddell K &amp; Hall A</w:t>
      </w:r>
      <w:r>
        <w:rPr>
          <w:rFonts w:asciiTheme="majorBidi" w:hAnsiTheme="majorBidi" w:cstheme="majorBidi"/>
        </w:rPr>
        <w:t xml:space="preserve"> (2005)</w:t>
      </w:r>
      <w:r w:rsidRPr="00082300">
        <w:rPr>
          <w:rFonts w:asciiTheme="majorBidi" w:hAnsiTheme="majorBidi" w:cstheme="majorBidi"/>
        </w:rPr>
        <w:t xml:space="preserve"> Beyond Bristol and Alder Hey: The Future Regulation of Human Tissue</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Medical Law Review</w:t>
      </w:r>
      <w:r>
        <w:rPr>
          <w:rFonts w:asciiTheme="majorBidi" w:hAnsiTheme="majorBidi" w:cstheme="majorBidi"/>
        </w:rPr>
        <w:t xml:space="preserve"> </w:t>
      </w:r>
      <w:r w:rsidRPr="00573265">
        <w:rPr>
          <w:rFonts w:asciiTheme="majorBidi" w:hAnsiTheme="majorBidi" w:cstheme="majorBidi"/>
          <w:b/>
        </w:rPr>
        <w:t>13</w:t>
      </w:r>
      <w:r>
        <w:rPr>
          <w:rFonts w:asciiTheme="majorBidi" w:hAnsiTheme="majorBidi" w:cstheme="majorBidi"/>
        </w:rPr>
        <w:t>,</w:t>
      </w:r>
      <w:r w:rsidRPr="00082300">
        <w:rPr>
          <w:rFonts w:asciiTheme="majorBidi" w:hAnsiTheme="majorBidi" w:cstheme="majorBidi"/>
        </w:rPr>
        <w:t xml:space="preserve"> 170 at 177-8.</w:t>
      </w:r>
    </w:p>
  </w:footnote>
  <w:footnote w:id="37">
    <w:p w:rsidR="005A70AA" w:rsidRPr="00082300" w:rsidRDefault="005A70AA" w:rsidP="003E5884">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UK House of Commons</w:t>
      </w:r>
      <w:r>
        <w:rPr>
          <w:rFonts w:asciiTheme="majorBidi" w:hAnsiTheme="majorBidi" w:cstheme="majorBidi"/>
        </w:rPr>
        <w:t xml:space="preserve"> (2001) </w:t>
      </w:r>
      <w:r w:rsidRPr="003E5884">
        <w:rPr>
          <w:rFonts w:asciiTheme="majorBidi" w:hAnsiTheme="majorBidi" w:cstheme="majorBidi"/>
          <w:i/>
          <w:iCs/>
        </w:rPr>
        <w:t>The Royal Liverpool Children’s Inquiry</w:t>
      </w:r>
      <w:r>
        <w:rPr>
          <w:rFonts w:asciiTheme="majorBidi" w:hAnsiTheme="majorBidi" w:cstheme="majorBidi"/>
          <w:i/>
          <w:iCs/>
        </w:rPr>
        <w:t>.</w:t>
      </w:r>
      <w:r>
        <w:rPr>
          <w:rFonts w:asciiTheme="majorBidi" w:hAnsiTheme="majorBidi" w:cstheme="majorBidi"/>
        </w:rPr>
        <w:t xml:space="preserve"> </w:t>
      </w:r>
    </w:p>
  </w:footnote>
  <w:footnote w:id="38">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For difficulties</w:t>
      </w:r>
      <w:r>
        <w:rPr>
          <w:rFonts w:asciiTheme="majorBidi" w:hAnsiTheme="majorBidi" w:cstheme="majorBidi"/>
        </w:rPr>
        <w:t xml:space="preserve"> </w:t>
      </w:r>
      <w:r w:rsidRPr="00082300">
        <w:rPr>
          <w:rFonts w:asciiTheme="majorBidi" w:hAnsiTheme="majorBidi" w:cstheme="majorBidi"/>
        </w:rPr>
        <w:t>of the 1961 Act</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b/>
        </w:rPr>
        <w:t>Kennedy I</w:t>
      </w:r>
      <w:r>
        <w:rPr>
          <w:rFonts w:asciiTheme="majorBidi" w:hAnsiTheme="majorBidi" w:cstheme="majorBidi"/>
        </w:rPr>
        <w:t xml:space="preserve"> (1988)</w:t>
      </w:r>
      <w:r w:rsidRPr="00082300">
        <w:rPr>
          <w:rFonts w:asciiTheme="majorBidi" w:hAnsiTheme="majorBidi" w:cstheme="majorBidi"/>
        </w:rPr>
        <w:t xml:space="preserve"> </w:t>
      </w:r>
      <w:r w:rsidRPr="00082300">
        <w:rPr>
          <w:rFonts w:asciiTheme="majorBidi" w:hAnsiTheme="majorBidi" w:cstheme="majorBidi"/>
          <w:i/>
          <w:iCs/>
        </w:rPr>
        <w:t>Treat Me Right: Essays In Medical Law and Ethics</w:t>
      </w:r>
      <w:r w:rsidRPr="00082300">
        <w:rPr>
          <w:rFonts w:asciiTheme="majorBidi" w:hAnsiTheme="majorBidi" w:cstheme="majorBidi"/>
        </w:rPr>
        <w:t xml:space="preserve"> Oxford: Clarendon Press, 225-236.</w:t>
      </w:r>
    </w:p>
  </w:footnote>
  <w:footnote w:id="39">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Brownsword R</w:t>
      </w:r>
      <w:r>
        <w:rPr>
          <w:rFonts w:asciiTheme="majorBidi" w:hAnsiTheme="majorBidi" w:cstheme="majorBidi"/>
        </w:rPr>
        <w:t xml:space="preserve"> (2004)</w:t>
      </w:r>
      <w:r w:rsidRPr="00082300">
        <w:rPr>
          <w:rFonts w:asciiTheme="majorBidi" w:hAnsiTheme="majorBidi" w:cstheme="majorBidi"/>
        </w:rPr>
        <w:t xml:space="preserve"> The Cult of Consent: Fixation and Fallacy</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 xml:space="preserve">Kings College Law Journal </w:t>
      </w:r>
      <w:r w:rsidRPr="00573265">
        <w:rPr>
          <w:rFonts w:asciiTheme="majorBidi" w:hAnsiTheme="majorBidi" w:cstheme="majorBidi"/>
          <w:b/>
        </w:rPr>
        <w:t>15</w:t>
      </w:r>
      <w:r>
        <w:rPr>
          <w:rFonts w:asciiTheme="majorBidi" w:hAnsiTheme="majorBidi" w:cstheme="majorBidi"/>
        </w:rPr>
        <w:t>,</w:t>
      </w:r>
      <w:r w:rsidRPr="00082300">
        <w:rPr>
          <w:rFonts w:asciiTheme="majorBidi" w:hAnsiTheme="majorBidi" w:cstheme="majorBidi"/>
        </w:rPr>
        <w:t xml:space="preserve"> 223</w:t>
      </w:r>
      <w:r>
        <w:rPr>
          <w:rFonts w:asciiTheme="majorBidi" w:hAnsiTheme="majorBidi" w:cstheme="majorBidi"/>
        </w:rPr>
        <w:t xml:space="preserve">; </w:t>
      </w:r>
      <w:r w:rsidRPr="00573265">
        <w:rPr>
          <w:rFonts w:asciiTheme="majorBidi" w:hAnsiTheme="majorBidi" w:cstheme="majorBidi"/>
          <w:b/>
        </w:rPr>
        <w:t>Mason K &amp; Laurie G (2001)</w:t>
      </w:r>
      <w:r>
        <w:rPr>
          <w:rFonts w:asciiTheme="majorBidi" w:hAnsiTheme="majorBidi" w:cstheme="majorBidi"/>
        </w:rPr>
        <w:t xml:space="preserve"> Consent or Property? Dealing with the Body and its Parts in the Shadow of Bristol and Alder Hey. </w:t>
      </w:r>
      <w:r w:rsidRPr="00573265">
        <w:rPr>
          <w:rFonts w:asciiTheme="majorBidi" w:hAnsiTheme="majorBidi" w:cstheme="majorBidi"/>
          <w:i/>
        </w:rPr>
        <w:t>Modern Law Review</w:t>
      </w:r>
      <w:r>
        <w:rPr>
          <w:rFonts w:asciiTheme="majorBidi" w:hAnsiTheme="majorBidi" w:cstheme="majorBidi"/>
        </w:rPr>
        <w:t xml:space="preserve"> </w:t>
      </w:r>
      <w:r w:rsidRPr="00573265">
        <w:rPr>
          <w:rFonts w:asciiTheme="majorBidi" w:hAnsiTheme="majorBidi" w:cstheme="majorBidi"/>
          <w:b/>
        </w:rPr>
        <w:t>64</w:t>
      </w:r>
      <w:r>
        <w:rPr>
          <w:rFonts w:asciiTheme="majorBidi" w:hAnsiTheme="majorBidi" w:cstheme="majorBidi"/>
          <w:b/>
        </w:rPr>
        <w:t>,</w:t>
      </w:r>
      <w:r w:rsidRPr="00573265">
        <w:rPr>
          <w:rFonts w:asciiTheme="majorBidi" w:hAnsiTheme="majorBidi" w:cstheme="majorBidi"/>
          <w:b/>
        </w:rPr>
        <w:t xml:space="preserve"> </w:t>
      </w:r>
      <w:r>
        <w:rPr>
          <w:rFonts w:asciiTheme="majorBidi" w:hAnsiTheme="majorBidi" w:cstheme="majorBidi"/>
        </w:rPr>
        <w:t>710.</w:t>
      </w:r>
    </w:p>
  </w:footnote>
  <w:footnote w:id="40">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Mason &amp; Laurie</w:t>
      </w:r>
      <w:r>
        <w:rPr>
          <w:rFonts w:asciiTheme="majorBidi" w:hAnsiTheme="majorBidi" w:cstheme="majorBidi"/>
        </w:rPr>
        <w:t xml:space="preserve"> (n38);</w:t>
      </w:r>
      <w:r w:rsidRPr="00082300">
        <w:rPr>
          <w:rFonts w:asciiTheme="majorBidi" w:hAnsiTheme="majorBidi" w:cstheme="majorBidi"/>
        </w:rPr>
        <w:t xml:space="preserve"> Liddell &amp; Hall</w:t>
      </w:r>
      <w:r>
        <w:rPr>
          <w:rFonts w:asciiTheme="majorBidi" w:hAnsiTheme="majorBidi" w:cstheme="majorBidi"/>
        </w:rPr>
        <w:t xml:space="preserve"> (n35).</w:t>
      </w:r>
    </w:p>
  </w:footnote>
  <w:footnote w:id="41">
    <w:p w:rsidR="005A70AA" w:rsidRPr="00082300" w:rsidRDefault="005A70AA" w:rsidP="000E4DA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Brownsword</w:t>
      </w:r>
      <w:r w:rsidRPr="00573265">
        <w:rPr>
          <w:rFonts w:asciiTheme="majorBidi" w:hAnsiTheme="majorBidi" w:cstheme="majorBidi"/>
          <w:b/>
          <w:iCs/>
        </w:rPr>
        <w:t xml:space="preserve"> R</w:t>
      </w:r>
      <w:r>
        <w:rPr>
          <w:rFonts w:asciiTheme="majorBidi" w:hAnsiTheme="majorBidi" w:cstheme="majorBidi"/>
          <w:iCs/>
        </w:rPr>
        <w:t xml:space="preserve"> (2008)</w:t>
      </w:r>
      <w:r w:rsidRPr="00082300">
        <w:rPr>
          <w:rFonts w:asciiTheme="majorBidi" w:hAnsiTheme="majorBidi" w:cstheme="majorBidi"/>
          <w:i/>
          <w:iCs/>
        </w:rPr>
        <w:t xml:space="preserve"> Rights, Regulation, and the Technological Revolution</w:t>
      </w:r>
      <w:r>
        <w:rPr>
          <w:rFonts w:asciiTheme="majorBidi" w:hAnsiTheme="majorBidi" w:cstheme="majorBidi"/>
          <w:i/>
          <w:iCs/>
        </w:rPr>
        <w:t>.</w:t>
      </w:r>
      <w:r w:rsidRPr="00082300">
        <w:rPr>
          <w:rFonts w:asciiTheme="majorBidi" w:hAnsiTheme="majorBidi" w:cstheme="majorBidi"/>
        </w:rPr>
        <w:t xml:space="preserve"> New York: Oxford University Press, 44, 64-65. </w:t>
      </w:r>
    </w:p>
  </w:footnote>
  <w:footnote w:id="42">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Mason &amp; Laurie</w:t>
      </w:r>
      <w:r>
        <w:rPr>
          <w:rFonts w:asciiTheme="majorBidi" w:hAnsiTheme="majorBidi" w:cstheme="majorBidi"/>
        </w:rPr>
        <w:t xml:space="preserve"> (n38).</w:t>
      </w:r>
    </w:p>
  </w:footnote>
  <w:footnote w:id="43">
    <w:p w:rsidR="005A70AA" w:rsidRPr="00082300" w:rsidRDefault="005A70AA" w:rsidP="000E4DA1">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Brownsword</w:t>
      </w:r>
      <w:r>
        <w:rPr>
          <w:rFonts w:asciiTheme="majorBidi" w:hAnsiTheme="majorBidi" w:cstheme="majorBidi"/>
        </w:rPr>
        <w:t xml:space="preserve"> </w:t>
      </w:r>
      <w:r w:rsidRPr="00082300">
        <w:rPr>
          <w:rFonts w:asciiTheme="majorBidi" w:hAnsiTheme="majorBidi" w:cstheme="majorBidi"/>
        </w:rPr>
        <w:t>(</w:t>
      </w:r>
      <w:r>
        <w:rPr>
          <w:rFonts w:asciiTheme="majorBidi" w:hAnsiTheme="majorBidi" w:cstheme="majorBidi"/>
        </w:rPr>
        <w:t>n40</w:t>
      </w:r>
      <w:r w:rsidRPr="00082300">
        <w:rPr>
          <w:rFonts w:asciiTheme="majorBidi" w:hAnsiTheme="majorBidi" w:cstheme="majorBidi"/>
        </w:rPr>
        <w:t>)</w:t>
      </w:r>
      <w:r w:rsidRPr="00082300">
        <w:rPr>
          <w:rFonts w:asciiTheme="majorBidi" w:hAnsiTheme="majorBidi" w:cstheme="majorBidi"/>
          <w:i/>
          <w:iCs/>
        </w:rPr>
        <w:t>,</w:t>
      </w:r>
      <w:r w:rsidRPr="00082300">
        <w:rPr>
          <w:rFonts w:asciiTheme="majorBidi" w:hAnsiTheme="majorBidi" w:cstheme="majorBidi"/>
        </w:rPr>
        <w:t xml:space="preserve"> at 15.</w:t>
      </w:r>
    </w:p>
  </w:footnote>
  <w:footnote w:id="44">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Black J</w:t>
      </w:r>
      <w:r>
        <w:rPr>
          <w:rFonts w:asciiTheme="majorBidi" w:hAnsiTheme="majorBidi" w:cstheme="majorBidi"/>
        </w:rPr>
        <w:t xml:space="preserve"> (2001)</w:t>
      </w:r>
      <w:r w:rsidRPr="00082300">
        <w:rPr>
          <w:rFonts w:asciiTheme="majorBidi" w:hAnsiTheme="majorBidi" w:cstheme="majorBidi"/>
        </w:rPr>
        <w:t xml:space="preserve"> Decentring Regulation: Understanding the Role of Regulation and Self-Regulation in a “Post-Regulatory” Wor</w:t>
      </w:r>
      <w:r>
        <w:rPr>
          <w:rFonts w:asciiTheme="majorBidi" w:hAnsiTheme="majorBidi" w:cstheme="majorBidi"/>
        </w:rPr>
        <w:t>l</w:t>
      </w:r>
      <w:r w:rsidRPr="00082300">
        <w:rPr>
          <w:rFonts w:asciiTheme="majorBidi" w:hAnsiTheme="majorBidi" w:cstheme="majorBidi"/>
        </w:rPr>
        <w:t>d</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Current Legal Problems</w:t>
      </w:r>
      <w:r>
        <w:rPr>
          <w:rFonts w:asciiTheme="majorBidi" w:hAnsiTheme="majorBidi" w:cstheme="majorBidi"/>
        </w:rPr>
        <w:t xml:space="preserve"> </w:t>
      </w:r>
      <w:r w:rsidRPr="00573265">
        <w:rPr>
          <w:rFonts w:asciiTheme="majorBidi" w:hAnsiTheme="majorBidi" w:cstheme="majorBidi"/>
          <w:b/>
        </w:rPr>
        <w:t>54</w:t>
      </w:r>
      <w:r>
        <w:rPr>
          <w:rFonts w:asciiTheme="majorBidi" w:hAnsiTheme="majorBidi" w:cstheme="majorBidi"/>
        </w:rPr>
        <w:t>,</w:t>
      </w:r>
      <w:r w:rsidRPr="00082300">
        <w:rPr>
          <w:rFonts w:asciiTheme="majorBidi" w:hAnsiTheme="majorBidi" w:cstheme="majorBidi"/>
        </w:rPr>
        <w:t xml:space="preserve"> 103 at 113.</w:t>
      </w:r>
    </w:p>
  </w:footnote>
  <w:footnote w:id="45">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Price D</w:t>
      </w:r>
      <w:r>
        <w:rPr>
          <w:rFonts w:asciiTheme="majorBidi" w:hAnsiTheme="majorBidi" w:cstheme="majorBidi"/>
        </w:rPr>
        <w:t xml:space="preserve"> (2003)</w:t>
      </w:r>
      <w:r w:rsidRPr="00082300">
        <w:rPr>
          <w:rFonts w:asciiTheme="majorBidi" w:hAnsiTheme="majorBidi" w:cstheme="majorBidi"/>
        </w:rPr>
        <w:t xml:space="preserve"> From Cosmos and Damien to Van Velzen: The Human Tissue Saga Continues</w:t>
      </w:r>
      <w:r>
        <w:rPr>
          <w:rFonts w:asciiTheme="majorBidi" w:hAnsiTheme="majorBidi" w:cstheme="majorBidi"/>
        </w:rPr>
        <w:t>.</w:t>
      </w:r>
      <w:r w:rsidR="00F53471">
        <w:rPr>
          <w:rFonts w:asciiTheme="majorBidi" w:hAnsiTheme="majorBidi" w:cstheme="majorBidi"/>
        </w:rPr>
        <w:t xml:space="preserve"> </w:t>
      </w:r>
      <w:r w:rsidRPr="00573265">
        <w:rPr>
          <w:rFonts w:asciiTheme="majorBidi" w:hAnsiTheme="majorBidi" w:cstheme="majorBidi"/>
          <w:i/>
        </w:rPr>
        <w:t>Medical Law Review</w:t>
      </w:r>
      <w:r>
        <w:rPr>
          <w:rFonts w:asciiTheme="majorBidi" w:hAnsiTheme="majorBidi" w:cstheme="majorBidi"/>
        </w:rPr>
        <w:t xml:space="preserve"> </w:t>
      </w:r>
      <w:r w:rsidRPr="00573265">
        <w:rPr>
          <w:rFonts w:asciiTheme="majorBidi" w:hAnsiTheme="majorBidi" w:cstheme="majorBidi"/>
          <w:b/>
        </w:rPr>
        <w:t>11</w:t>
      </w:r>
      <w:r>
        <w:rPr>
          <w:rFonts w:asciiTheme="majorBidi" w:hAnsiTheme="majorBidi" w:cstheme="majorBidi"/>
        </w:rPr>
        <w:t>,</w:t>
      </w:r>
      <w:r w:rsidRPr="00082300">
        <w:rPr>
          <w:rFonts w:asciiTheme="majorBidi" w:hAnsiTheme="majorBidi" w:cstheme="majorBidi"/>
        </w:rPr>
        <w:t xml:space="preserve"> 1.</w:t>
      </w:r>
    </w:p>
  </w:footnote>
  <w:footnote w:id="46">
    <w:p w:rsidR="005A70AA" w:rsidRPr="0043047E" w:rsidRDefault="005A70AA" w:rsidP="0043047E">
      <w:pPr>
        <w:pStyle w:val="FootnoteText"/>
        <w:jc w:val="both"/>
        <w:rPr>
          <w:rFonts w:asciiTheme="majorBidi" w:hAnsiTheme="majorBidi" w:cstheme="majorBidi"/>
        </w:rPr>
      </w:pPr>
      <w:r>
        <w:rPr>
          <w:rStyle w:val="FootnoteReference"/>
        </w:rPr>
        <w:footnoteRef/>
      </w:r>
      <w:r>
        <w:t xml:space="preserve"> </w:t>
      </w:r>
      <w:r w:rsidRPr="00082300">
        <w:rPr>
          <w:rFonts w:asciiTheme="majorBidi" w:hAnsiTheme="majorBidi" w:cstheme="majorBidi"/>
        </w:rPr>
        <w:t xml:space="preserve">Doctor acquitted in organ donation scandal’ </w:t>
      </w:r>
      <w:r w:rsidRPr="00270F88">
        <w:rPr>
          <w:rFonts w:asciiTheme="majorBidi" w:hAnsiTheme="majorBidi" w:cstheme="majorBidi"/>
          <w:i/>
        </w:rPr>
        <w:t>DPA/The Local</w:t>
      </w:r>
      <w:r w:rsidRPr="00082300">
        <w:rPr>
          <w:rFonts w:asciiTheme="majorBidi" w:hAnsiTheme="majorBidi" w:cstheme="majorBidi"/>
        </w:rPr>
        <w:t xml:space="preserve">, 6May 2015: </w:t>
      </w:r>
      <w:hyperlink r:id="rId1" w:history="1">
        <w:r w:rsidRPr="00082300">
          <w:rPr>
            <w:rStyle w:val="Hyperlink"/>
            <w:rFonts w:asciiTheme="majorBidi" w:hAnsiTheme="majorBidi" w:cstheme="majorBidi"/>
          </w:rPr>
          <w:t>http://www.thelocal.de/20150506/doctor-in-organdonation-scandal-acquuitted</w:t>
        </w:r>
      </w:hyperlink>
      <w:r>
        <w:rPr>
          <w:rFonts w:asciiTheme="majorBidi" w:hAnsiTheme="majorBidi" w:cstheme="majorBidi"/>
        </w:rPr>
        <w:t xml:space="preserve"> (last accessed on 07/09/2015).</w:t>
      </w:r>
    </w:p>
  </w:footnote>
  <w:footnote w:id="47">
    <w:p w:rsidR="005A70AA" w:rsidRPr="00871779" w:rsidRDefault="005A70AA" w:rsidP="00871779">
      <w:pPr>
        <w:pStyle w:val="FootnoteText"/>
        <w:jc w:val="both"/>
        <w:rPr>
          <w:rFonts w:asciiTheme="majorBidi" w:hAnsiTheme="majorBidi" w:cstheme="majorBidi"/>
          <w:lang w:val="de-DE"/>
        </w:rPr>
      </w:pPr>
      <w:r w:rsidRPr="00082300">
        <w:rPr>
          <w:rStyle w:val="FootnoteReference"/>
          <w:rFonts w:asciiTheme="majorBidi" w:hAnsiTheme="majorBidi" w:cstheme="majorBidi"/>
        </w:rPr>
        <w:footnoteRef/>
      </w:r>
      <w:r w:rsidRPr="00871779">
        <w:rPr>
          <w:rFonts w:asciiTheme="majorBidi" w:hAnsiTheme="majorBidi" w:cstheme="majorBidi"/>
          <w:lang w:val="de-DE"/>
        </w:rPr>
        <w:t xml:space="preserve"> </w:t>
      </w:r>
      <w:r w:rsidRPr="00082300">
        <w:rPr>
          <w:rFonts w:asciiTheme="majorBidi" w:hAnsiTheme="majorBidi" w:cstheme="majorBidi"/>
          <w:i/>
          <w:iCs/>
          <w:lang w:val="de-DE"/>
        </w:rPr>
        <w:t>R v Kelly</w:t>
      </w:r>
      <w:r w:rsidRPr="00082300">
        <w:rPr>
          <w:rFonts w:asciiTheme="majorBidi" w:hAnsiTheme="majorBidi" w:cstheme="majorBidi"/>
          <w:lang w:val="de-DE"/>
        </w:rPr>
        <w:t xml:space="preserve"> [1998] 3 All ER 741.</w:t>
      </w:r>
    </w:p>
  </w:footnote>
  <w:footnote w:id="48">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Some of these cases are discussed below</w:t>
      </w:r>
    </w:p>
  </w:footnote>
  <w:footnote w:id="49">
    <w:p w:rsidR="005A70AA" w:rsidRPr="00082300" w:rsidRDefault="005A70AA" w:rsidP="005D3942">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Matthews P</w:t>
      </w:r>
      <w:r>
        <w:rPr>
          <w:rFonts w:asciiTheme="majorBidi" w:hAnsiTheme="majorBidi" w:cstheme="majorBidi"/>
        </w:rPr>
        <w:t xml:space="preserve"> (1983)</w:t>
      </w:r>
      <w:r w:rsidRPr="00082300">
        <w:rPr>
          <w:rFonts w:asciiTheme="majorBidi" w:hAnsiTheme="majorBidi" w:cstheme="majorBidi"/>
        </w:rPr>
        <w:t xml:space="preserve"> Whose Body? People As Property</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Current Legal Problems</w:t>
      </w:r>
      <w:r>
        <w:rPr>
          <w:rFonts w:asciiTheme="majorBidi" w:hAnsiTheme="majorBidi" w:cstheme="majorBidi"/>
        </w:rPr>
        <w:t xml:space="preserve"> </w:t>
      </w:r>
      <w:r w:rsidRPr="00145E02">
        <w:rPr>
          <w:rFonts w:asciiTheme="majorBidi" w:hAnsiTheme="majorBidi" w:cstheme="majorBidi"/>
          <w:b/>
        </w:rPr>
        <w:t>36</w:t>
      </w:r>
      <w:r>
        <w:rPr>
          <w:rFonts w:asciiTheme="majorBidi" w:hAnsiTheme="majorBidi" w:cstheme="majorBidi"/>
        </w:rPr>
        <w:t>,</w:t>
      </w:r>
      <w:r w:rsidRPr="00082300">
        <w:rPr>
          <w:rFonts w:asciiTheme="majorBidi" w:hAnsiTheme="majorBidi" w:cstheme="majorBidi"/>
        </w:rPr>
        <w:t xml:space="preserve"> 193;</w:t>
      </w:r>
      <w:r>
        <w:rPr>
          <w:rFonts w:asciiTheme="majorBidi" w:hAnsiTheme="majorBidi" w:cstheme="majorBidi"/>
        </w:rPr>
        <w:t xml:space="preserve"> </w:t>
      </w:r>
      <w:r w:rsidRPr="00573265">
        <w:rPr>
          <w:rFonts w:asciiTheme="majorBidi" w:hAnsiTheme="majorBidi" w:cstheme="majorBidi"/>
          <w:b/>
        </w:rPr>
        <w:t>Nwabueze R N</w:t>
      </w:r>
      <w:r>
        <w:rPr>
          <w:rFonts w:asciiTheme="majorBidi" w:hAnsiTheme="majorBidi" w:cstheme="majorBidi"/>
        </w:rPr>
        <w:t xml:space="preserve"> (2016) Proprietary interests in organs in limbo. Legal Studies </w:t>
      </w:r>
      <w:r w:rsidRPr="00573265">
        <w:rPr>
          <w:rFonts w:asciiTheme="majorBidi" w:hAnsiTheme="majorBidi" w:cstheme="majorBidi"/>
          <w:b/>
        </w:rPr>
        <w:t>36</w:t>
      </w:r>
      <w:r>
        <w:rPr>
          <w:rFonts w:asciiTheme="majorBidi" w:hAnsiTheme="majorBidi" w:cstheme="majorBidi"/>
        </w:rPr>
        <w:t>, 279.</w:t>
      </w:r>
    </w:p>
  </w:footnote>
  <w:footnote w:id="50">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Strathern M</w:t>
      </w:r>
      <w:r>
        <w:rPr>
          <w:rFonts w:asciiTheme="majorBidi" w:hAnsiTheme="majorBidi" w:cstheme="majorBidi"/>
        </w:rPr>
        <w:t xml:space="preserve"> (2005)</w:t>
      </w:r>
      <w:r w:rsidRPr="00082300">
        <w:rPr>
          <w:rFonts w:asciiTheme="majorBidi" w:hAnsiTheme="majorBidi" w:cstheme="majorBidi"/>
        </w:rPr>
        <w:t xml:space="preserve"> </w:t>
      </w:r>
      <w:r w:rsidRPr="00082300">
        <w:rPr>
          <w:rFonts w:asciiTheme="majorBidi" w:hAnsiTheme="majorBidi" w:cstheme="majorBidi"/>
          <w:i/>
          <w:iCs/>
        </w:rPr>
        <w:t>Kinship, Law and the Unexpected: Relatives Are Always a Surprise</w:t>
      </w:r>
      <w:r>
        <w:rPr>
          <w:rFonts w:asciiTheme="majorBidi" w:hAnsiTheme="majorBidi" w:cstheme="majorBidi"/>
          <w:i/>
          <w:iCs/>
        </w:rPr>
        <w:t>.</w:t>
      </w:r>
      <w:r w:rsidRPr="00082300">
        <w:rPr>
          <w:rFonts w:asciiTheme="majorBidi" w:hAnsiTheme="majorBidi" w:cstheme="majorBidi"/>
        </w:rPr>
        <w:t xml:space="preserve"> Cambridge: Cambridge University Press</w:t>
      </w:r>
      <w:r>
        <w:rPr>
          <w:rFonts w:asciiTheme="majorBidi" w:hAnsiTheme="majorBidi" w:cstheme="majorBidi"/>
        </w:rPr>
        <w:t>.</w:t>
      </w:r>
    </w:p>
  </w:footnote>
  <w:footnote w:id="51">
    <w:p w:rsidR="005A70AA" w:rsidRPr="004B2456" w:rsidRDefault="005A70AA" w:rsidP="00C6488D">
      <w:pPr>
        <w:rPr>
          <w:sz w:val="24"/>
          <w:szCs w:val="24"/>
        </w:rPr>
      </w:pPr>
      <w:r>
        <w:rPr>
          <w:rStyle w:val="FootnoteReference"/>
        </w:rPr>
        <w:footnoteRef/>
      </w:r>
      <w:r>
        <w:t xml:space="preserve"> </w:t>
      </w:r>
      <w:r w:rsidR="00C6488D" w:rsidRPr="00C6488D">
        <w:rPr>
          <w:rFonts w:ascii="Times New Roman" w:hAnsi="Times New Roman" w:cs="Times New Roman"/>
          <w:b/>
          <w:sz w:val="20"/>
          <w:szCs w:val="20"/>
        </w:rPr>
        <w:t>Nwabueze R N</w:t>
      </w:r>
      <w:r w:rsidR="00C6488D" w:rsidRPr="00C6488D">
        <w:rPr>
          <w:rFonts w:ascii="Times New Roman" w:hAnsi="Times New Roman" w:cs="Times New Roman"/>
          <w:sz w:val="20"/>
          <w:szCs w:val="20"/>
        </w:rPr>
        <w:t xml:space="preserve"> (2008) Donated Organs, Property Rights and the Remedial Quagmire. </w:t>
      </w:r>
      <w:r w:rsidR="00C6488D" w:rsidRPr="00C6488D">
        <w:rPr>
          <w:rFonts w:ascii="Times New Roman" w:hAnsi="Times New Roman" w:cs="Times New Roman"/>
          <w:i/>
          <w:sz w:val="20"/>
          <w:szCs w:val="20"/>
        </w:rPr>
        <w:t>Medical Law Review</w:t>
      </w:r>
      <w:r w:rsidR="00C6488D" w:rsidRPr="00C6488D">
        <w:rPr>
          <w:rFonts w:ascii="Times New Roman" w:hAnsi="Times New Roman" w:cs="Times New Roman"/>
          <w:sz w:val="20"/>
          <w:szCs w:val="20"/>
        </w:rPr>
        <w:t xml:space="preserve"> </w:t>
      </w:r>
      <w:r w:rsidR="00C6488D" w:rsidRPr="00C6488D">
        <w:rPr>
          <w:rFonts w:ascii="Times New Roman" w:hAnsi="Times New Roman" w:cs="Times New Roman"/>
          <w:b/>
          <w:sz w:val="20"/>
          <w:szCs w:val="20"/>
        </w:rPr>
        <w:t>16</w:t>
      </w:r>
      <w:r w:rsidR="00C6488D" w:rsidRPr="00C6488D">
        <w:rPr>
          <w:rFonts w:ascii="Times New Roman" w:hAnsi="Times New Roman" w:cs="Times New Roman"/>
          <w:sz w:val="20"/>
          <w:szCs w:val="20"/>
        </w:rPr>
        <w:t>, 201-224;</w:t>
      </w:r>
      <w:r w:rsidR="00C6488D">
        <w:rPr>
          <w:rFonts w:ascii="Times New Roman" w:hAnsi="Times New Roman" w:cs="Times New Roman"/>
          <w:sz w:val="20"/>
          <w:szCs w:val="20"/>
        </w:rPr>
        <w:t xml:space="preserve"> </w:t>
      </w:r>
      <w:r w:rsidR="00C6488D" w:rsidRPr="00C6488D">
        <w:rPr>
          <w:rFonts w:ascii="Times New Roman" w:hAnsi="Times New Roman" w:cs="Times New Roman"/>
          <w:b/>
          <w:sz w:val="20"/>
          <w:szCs w:val="20"/>
        </w:rPr>
        <w:t>Nwabueze R N</w:t>
      </w:r>
      <w:r w:rsidR="00C6488D">
        <w:rPr>
          <w:rFonts w:ascii="Times New Roman" w:hAnsi="Times New Roman" w:cs="Times New Roman"/>
          <w:sz w:val="20"/>
          <w:szCs w:val="20"/>
        </w:rPr>
        <w:t xml:space="preserve"> (2014)</w:t>
      </w:r>
      <w:r w:rsidR="00C6488D" w:rsidRPr="00C6488D">
        <w:rPr>
          <w:rFonts w:ascii="Times New Roman" w:hAnsi="Times New Roman" w:cs="Times New Roman"/>
          <w:sz w:val="20"/>
          <w:szCs w:val="20"/>
        </w:rPr>
        <w:t xml:space="preserve"> </w:t>
      </w:r>
      <w:r w:rsidR="00C6488D">
        <w:rPr>
          <w:rFonts w:ascii="Times New Roman" w:hAnsi="Times New Roman" w:cs="Times New Roman"/>
          <w:sz w:val="20"/>
          <w:szCs w:val="20"/>
        </w:rPr>
        <w:t>‘</w:t>
      </w:r>
      <w:r w:rsidR="00C6488D" w:rsidRPr="00C6488D">
        <w:rPr>
          <w:rFonts w:ascii="Times New Roman" w:hAnsi="Times New Roman" w:cs="Times New Roman"/>
          <w:sz w:val="20"/>
          <w:szCs w:val="20"/>
        </w:rPr>
        <w:t>Cadavers, Body</w:t>
      </w:r>
      <w:r w:rsidR="00C6488D">
        <w:rPr>
          <w:rFonts w:ascii="Times New Roman" w:hAnsi="Times New Roman" w:cs="Times New Roman"/>
          <w:sz w:val="20"/>
          <w:szCs w:val="20"/>
        </w:rPr>
        <w:t xml:space="preserve"> Parts and the Remedial Problem’</w:t>
      </w:r>
      <w:r w:rsidR="00C6488D" w:rsidRPr="00C6488D">
        <w:rPr>
          <w:rFonts w:ascii="Times New Roman" w:hAnsi="Times New Roman" w:cs="Times New Roman"/>
          <w:sz w:val="20"/>
          <w:szCs w:val="20"/>
        </w:rPr>
        <w:t xml:space="preserve"> in Imogen Goold, et al. (eds) </w:t>
      </w:r>
      <w:r w:rsidR="00C6488D" w:rsidRPr="00C6488D">
        <w:rPr>
          <w:rFonts w:ascii="Times New Roman" w:hAnsi="Times New Roman" w:cs="Times New Roman"/>
          <w:i/>
          <w:iCs/>
          <w:sz w:val="20"/>
          <w:szCs w:val="20"/>
        </w:rPr>
        <w:t>Persons, Parts and Property: How Should We Regulate Human Tissue in the 21</w:t>
      </w:r>
      <w:r w:rsidR="00C6488D" w:rsidRPr="00C6488D">
        <w:rPr>
          <w:rFonts w:ascii="Times New Roman" w:hAnsi="Times New Roman" w:cs="Times New Roman"/>
          <w:i/>
          <w:iCs/>
          <w:sz w:val="20"/>
          <w:szCs w:val="20"/>
          <w:vertAlign w:val="superscript"/>
        </w:rPr>
        <w:t>st</w:t>
      </w:r>
      <w:r w:rsidR="00C6488D" w:rsidRPr="00C6488D">
        <w:rPr>
          <w:rFonts w:ascii="Times New Roman" w:hAnsi="Times New Roman" w:cs="Times New Roman"/>
          <w:i/>
          <w:iCs/>
          <w:sz w:val="20"/>
          <w:szCs w:val="20"/>
        </w:rPr>
        <w:t xml:space="preserve"> Century?</w:t>
      </w:r>
      <w:r w:rsidR="00C6488D">
        <w:rPr>
          <w:rFonts w:ascii="Times New Roman" w:hAnsi="Times New Roman" w:cs="Times New Roman"/>
          <w:sz w:val="20"/>
          <w:szCs w:val="20"/>
        </w:rPr>
        <w:t xml:space="preserve"> Oxford: Hart Publishing,</w:t>
      </w:r>
      <w:r w:rsidR="00C6488D" w:rsidRPr="00C6488D">
        <w:rPr>
          <w:rFonts w:ascii="Times New Roman" w:hAnsi="Times New Roman" w:cs="Times New Roman"/>
          <w:sz w:val="20"/>
          <w:szCs w:val="20"/>
        </w:rPr>
        <w:t xml:space="preserve"> </w:t>
      </w:r>
      <w:r w:rsidR="004B2456">
        <w:rPr>
          <w:rFonts w:ascii="Times New Roman" w:hAnsi="Times New Roman" w:cs="Times New Roman"/>
          <w:sz w:val="20"/>
          <w:szCs w:val="20"/>
        </w:rPr>
        <w:t xml:space="preserve">157-175; </w:t>
      </w:r>
      <w:r w:rsidR="004B2456" w:rsidRPr="004B2456">
        <w:rPr>
          <w:rFonts w:ascii="Times New Roman" w:hAnsi="Times New Roman" w:cs="Times New Roman"/>
          <w:b/>
          <w:sz w:val="20"/>
          <w:szCs w:val="20"/>
        </w:rPr>
        <w:t>Nwabueze R N</w:t>
      </w:r>
      <w:r w:rsidR="004B2456">
        <w:rPr>
          <w:rFonts w:ascii="Times New Roman" w:hAnsi="Times New Roman" w:cs="Times New Roman"/>
          <w:sz w:val="20"/>
          <w:szCs w:val="20"/>
        </w:rPr>
        <w:t xml:space="preserve"> (2016) </w:t>
      </w:r>
      <w:r w:rsidR="004B2456" w:rsidRPr="004B2456">
        <w:rPr>
          <w:rFonts w:ascii="Times New Roman" w:hAnsi="Times New Roman" w:cs="Times New Roman"/>
          <w:sz w:val="20"/>
          <w:szCs w:val="20"/>
        </w:rPr>
        <w:t>The Liability Rule, Proprietary Remedies</w:t>
      </w:r>
      <w:r w:rsidR="004B2456">
        <w:rPr>
          <w:rFonts w:ascii="Times New Roman" w:hAnsi="Times New Roman" w:cs="Times New Roman"/>
          <w:sz w:val="20"/>
          <w:szCs w:val="20"/>
        </w:rPr>
        <w:t xml:space="preserve"> and Body Parts.</w:t>
      </w:r>
      <w:r w:rsidR="004B2456" w:rsidRPr="004B2456">
        <w:rPr>
          <w:rFonts w:ascii="Times New Roman" w:hAnsi="Times New Roman" w:cs="Times New Roman"/>
          <w:sz w:val="20"/>
          <w:szCs w:val="20"/>
        </w:rPr>
        <w:t xml:space="preserve"> </w:t>
      </w:r>
      <w:r w:rsidR="004B2456" w:rsidRPr="004B2456">
        <w:rPr>
          <w:rFonts w:ascii="Times New Roman" w:hAnsi="Times New Roman" w:cs="Times New Roman"/>
          <w:i/>
          <w:sz w:val="20"/>
          <w:szCs w:val="20"/>
        </w:rPr>
        <w:t>Liverpool Law Review</w:t>
      </w:r>
      <w:r w:rsidR="004B2456">
        <w:rPr>
          <w:rFonts w:ascii="Times New Roman" w:hAnsi="Times New Roman" w:cs="Times New Roman"/>
          <w:sz w:val="20"/>
          <w:szCs w:val="20"/>
        </w:rPr>
        <w:t xml:space="preserve"> </w:t>
      </w:r>
      <w:r w:rsidR="004B2456" w:rsidRPr="004B2456">
        <w:rPr>
          <w:rFonts w:ascii="Times New Roman" w:hAnsi="Times New Roman" w:cs="Times New Roman"/>
          <w:b/>
          <w:sz w:val="20"/>
          <w:szCs w:val="20"/>
        </w:rPr>
        <w:t>37,</w:t>
      </w:r>
      <w:r w:rsidR="004B2456" w:rsidRPr="004B2456">
        <w:rPr>
          <w:rFonts w:ascii="Times New Roman" w:hAnsi="Times New Roman" w:cs="Times New Roman"/>
          <w:sz w:val="20"/>
          <w:szCs w:val="20"/>
        </w:rPr>
        <w:t xml:space="preserve"> 177-203</w:t>
      </w:r>
      <w:r w:rsidR="004B2456">
        <w:rPr>
          <w:rFonts w:ascii="Times New Roman" w:hAnsi="Times New Roman" w:cs="Times New Roman"/>
          <w:sz w:val="20"/>
          <w:szCs w:val="20"/>
        </w:rPr>
        <w:t>; Nwabueze (n31); Nwabueze (n48).</w:t>
      </w:r>
    </w:p>
  </w:footnote>
  <w:footnote w:id="52">
    <w:p w:rsidR="005A70AA" w:rsidRPr="00F37B4E" w:rsidRDefault="005A70AA" w:rsidP="00F37B4E">
      <w:pPr>
        <w:pStyle w:val="FootnoteText"/>
        <w:jc w:val="both"/>
        <w:rPr>
          <w:rFonts w:asciiTheme="majorBidi" w:hAnsiTheme="majorBidi" w:cstheme="majorBidi"/>
        </w:rPr>
      </w:pPr>
      <w:r>
        <w:rPr>
          <w:rStyle w:val="FootnoteReference"/>
        </w:rPr>
        <w:footnoteRef/>
      </w:r>
      <w:r>
        <w:t xml:space="preserve"> </w:t>
      </w:r>
      <w:r w:rsidRPr="00082300">
        <w:rPr>
          <w:rFonts w:asciiTheme="majorBidi" w:hAnsiTheme="majorBidi" w:cstheme="majorBidi"/>
          <w:i/>
          <w:iCs/>
        </w:rPr>
        <w:t>Moore v Regents of the University of California,</w:t>
      </w:r>
      <w:r>
        <w:rPr>
          <w:rFonts w:asciiTheme="majorBidi" w:hAnsiTheme="majorBidi" w:cstheme="majorBidi"/>
        </w:rPr>
        <w:t xml:space="preserve"> 793 P2d 479 (Cal S Ct 1990).</w:t>
      </w:r>
    </w:p>
  </w:footnote>
  <w:footnote w:id="53">
    <w:p w:rsidR="005A70AA" w:rsidRPr="002A5F95" w:rsidRDefault="005A70AA">
      <w:pPr>
        <w:pStyle w:val="FootnoteText"/>
        <w:rPr>
          <w:rFonts w:asciiTheme="majorBidi" w:hAnsiTheme="majorBidi" w:cstheme="majorBidi"/>
        </w:rPr>
      </w:pPr>
      <w:r>
        <w:rPr>
          <w:rStyle w:val="FootnoteReference"/>
        </w:rPr>
        <w:footnoteRef/>
      </w:r>
      <w:r>
        <w:t xml:space="preserve"> </w:t>
      </w:r>
      <w:r w:rsidRPr="002A5F95">
        <w:rPr>
          <w:rFonts w:asciiTheme="majorBidi" w:hAnsiTheme="majorBidi" w:cstheme="majorBidi"/>
          <w:i/>
          <w:iCs/>
        </w:rPr>
        <w:t>Havasupai Tribe v Arizona Board of Regents</w:t>
      </w:r>
      <w:r w:rsidRPr="002A5F95">
        <w:rPr>
          <w:rFonts w:asciiTheme="majorBidi" w:hAnsiTheme="majorBidi" w:cstheme="majorBidi"/>
        </w:rPr>
        <w:t xml:space="preserve"> (consolidated suit numbers 1 CA-CV 07-0454 and 1 ca-cv 07-0801) (Ca App Ariz 2008)</w:t>
      </w:r>
      <w:r>
        <w:rPr>
          <w:rFonts w:asciiTheme="majorBidi" w:hAnsiTheme="majorBidi" w:cstheme="majorBidi"/>
        </w:rPr>
        <w:t>; eventually settled out of court.</w:t>
      </w:r>
    </w:p>
  </w:footnote>
  <w:footnote w:id="54">
    <w:p w:rsidR="005A70AA" w:rsidRPr="00CA1986" w:rsidRDefault="005A70AA" w:rsidP="00F83644">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Laurie (n33), at 312.</w:t>
      </w:r>
    </w:p>
  </w:footnote>
  <w:footnote w:id="55">
    <w:p w:rsidR="005A70AA" w:rsidRPr="002F1783" w:rsidRDefault="005A70AA" w:rsidP="00982AEF">
      <w:pPr>
        <w:pStyle w:val="FootnoteText"/>
        <w:rPr>
          <w:rFonts w:asciiTheme="majorBidi" w:hAnsiTheme="majorBidi" w:cstheme="majorBidi"/>
        </w:rPr>
      </w:pPr>
      <w:r>
        <w:rPr>
          <w:rStyle w:val="FootnoteReference"/>
        </w:rPr>
        <w:footnoteRef/>
      </w:r>
      <w:r>
        <w:t xml:space="preserve"> </w:t>
      </w:r>
      <w:r w:rsidRPr="00304FBA">
        <w:rPr>
          <w:rFonts w:ascii="Times New Roman" w:hAnsi="Times New Roman" w:cs="Times New Roman"/>
        </w:rPr>
        <w:t>Such as the need to protect the biotechnology industry as acknowledged by</w:t>
      </w:r>
      <w:r w:rsidRPr="002F1783">
        <w:rPr>
          <w:rFonts w:asciiTheme="majorBidi" w:hAnsiTheme="majorBidi" w:cstheme="majorBidi"/>
        </w:rPr>
        <w:t xml:space="preserve"> Panelli </w:t>
      </w:r>
      <w:r>
        <w:rPr>
          <w:rFonts w:asciiTheme="majorBidi" w:hAnsiTheme="majorBidi" w:cstheme="majorBidi"/>
        </w:rPr>
        <w:t xml:space="preserve">J in </w:t>
      </w:r>
      <w:r w:rsidRPr="00982AEF">
        <w:rPr>
          <w:rFonts w:asciiTheme="majorBidi" w:hAnsiTheme="majorBidi" w:cstheme="majorBidi"/>
          <w:i/>
          <w:iCs/>
        </w:rPr>
        <w:t>Moore</w:t>
      </w:r>
      <w:r>
        <w:rPr>
          <w:rFonts w:asciiTheme="majorBidi" w:hAnsiTheme="majorBidi" w:cstheme="majorBidi"/>
        </w:rPr>
        <w:t xml:space="preserve"> (n51).</w:t>
      </w:r>
    </w:p>
  </w:footnote>
  <w:footnote w:id="56">
    <w:p w:rsidR="005A70AA" w:rsidRPr="002D64BA" w:rsidRDefault="005A70AA">
      <w:pPr>
        <w:pStyle w:val="FootnoteText"/>
        <w:rPr>
          <w:rFonts w:asciiTheme="majorBidi" w:hAnsiTheme="majorBidi" w:cstheme="majorBidi"/>
        </w:rPr>
      </w:pPr>
      <w:r>
        <w:rPr>
          <w:rStyle w:val="FootnoteReference"/>
        </w:rPr>
        <w:footnoteRef/>
      </w:r>
      <w:r w:rsidRPr="006A418A">
        <w:rPr>
          <w:rFonts w:asciiTheme="majorBidi" w:hAnsiTheme="majorBidi" w:cstheme="majorBidi"/>
          <w:i/>
          <w:iCs/>
        </w:rPr>
        <w:t>Doodeward v Spence</w:t>
      </w:r>
      <w:r w:rsidRPr="006A418A">
        <w:t xml:space="preserve"> </w:t>
      </w:r>
      <w:r>
        <w:t>[</w:t>
      </w:r>
      <w:r w:rsidRPr="002D64BA">
        <w:rPr>
          <w:rFonts w:asciiTheme="majorBidi" w:hAnsiTheme="majorBidi" w:cstheme="majorBidi"/>
        </w:rPr>
        <w:t>1908] 6 CLR 406 (Aus H Ct).</w:t>
      </w:r>
    </w:p>
  </w:footnote>
  <w:footnote w:id="57">
    <w:p w:rsidR="005A70AA" w:rsidRPr="006A418A" w:rsidRDefault="005A70AA" w:rsidP="002A04A5">
      <w:pPr>
        <w:pStyle w:val="FootnoteText"/>
        <w:rPr>
          <w:rFonts w:asciiTheme="majorBidi" w:hAnsiTheme="majorBidi" w:cstheme="majorBidi"/>
        </w:rPr>
      </w:pPr>
      <w:r>
        <w:rPr>
          <w:rStyle w:val="FootnoteReference"/>
        </w:rPr>
        <w:footnoteRef/>
      </w:r>
      <w:r w:rsidRPr="00855426">
        <w:rPr>
          <w:rFonts w:asciiTheme="majorBidi" w:hAnsiTheme="majorBidi" w:cstheme="majorBidi"/>
          <w:i/>
          <w:iCs/>
        </w:rPr>
        <w:t>Dobson v North Tyneside</w:t>
      </w:r>
      <w:r w:rsidRPr="00082300">
        <w:rPr>
          <w:rFonts w:asciiTheme="majorBidi" w:hAnsiTheme="majorBidi" w:cstheme="majorBidi"/>
        </w:rPr>
        <w:t xml:space="preserve"> [1997] 1 WLR 596; </w:t>
      </w:r>
      <w:r w:rsidRPr="00855426">
        <w:rPr>
          <w:rFonts w:asciiTheme="majorBidi" w:hAnsiTheme="majorBidi" w:cstheme="majorBidi"/>
          <w:i/>
          <w:iCs/>
        </w:rPr>
        <w:t>AB v Leeds Teaching Hospital NHS</w:t>
      </w:r>
      <w:r w:rsidRPr="00082300">
        <w:rPr>
          <w:rFonts w:asciiTheme="majorBidi" w:hAnsiTheme="majorBidi" w:cstheme="majorBidi"/>
        </w:rPr>
        <w:t xml:space="preserve"> [2005] 2 WLR 358</w:t>
      </w:r>
      <w:r w:rsidRPr="006A418A">
        <w:rPr>
          <w:rFonts w:asciiTheme="majorBidi" w:hAnsiTheme="majorBidi" w:cstheme="majorBidi"/>
        </w:rPr>
        <w:t xml:space="preserve">; </w:t>
      </w:r>
      <w:r w:rsidRPr="002D64BA">
        <w:rPr>
          <w:rFonts w:asciiTheme="majorBidi" w:hAnsiTheme="majorBidi" w:cstheme="majorBidi"/>
          <w:i/>
          <w:iCs/>
        </w:rPr>
        <w:t xml:space="preserve">Kelly </w:t>
      </w:r>
      <w:r>
        <w:rPr>
          <w:rFonts w:asciiTheme="majorBidi" w:hAnsiTheme="majorBidi" w:cstheme="majorBidi"/>
        </w:rPr>
        <w:t>(n46)</w:t>
      </w:r>
    </w:p>
  </w:footnote>
  <w:footnote w:id="58">
    <w:p w:rsidR="005A70AA" w:rsidRPr="007F2948" w:rsidRDefault="005A70AA">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Criticism of the exception: </w:t>
      </w:r>
      <w:r w:rsidRPr="00573265">
        <w:rPr>
          <w:rFonts w:asciiTheme="majorBidi" w:hAnsiTheme="majorBidi" w:cstheme="majorBidi"/>
          <w:b/>
        </w:rPr>
        <w:t>Hardcastle R</w:t>
      </w:r>
      <w:r>
        <w:rPr>
          <w:rFonts w:asciiTheme="majorBidi" w:hAnsiTheme="majorBidi" w:cstheme="majorBidi"/>
        </w:rPr>
        <w:t xml:space="preserve"> (2007) </w:t>
      </w:r>
      <w:r w:rsidRPr="007F2948">
        <w:rPr>
          <w:rFonts w:asciiTheme="majorBidi" w:hAnsiTheme="majorBidi" w:cstheme="majorBidi"/>
          <w:i/>
          <w:iCs/>
        </w:rPr>
        <w:t>Law and the Human Body: Property Rights, Ownership and Control</w:t>
      </w:r>
      <w:r>
        <w:rPr>
          <w:rFonts w:asciiTheme="majorBidi" w:hAnsiTheme="majorBidi" w:cstheme="majorBidi"/>
          <w:i/>
          <w:iCs/>
        </w:rPr>
        <w:t>.</w:t>
      </w:r>
      <w:r>
        <w:rPr>
          <w:rFonts w:asciiTheme="majorBidi" w:hAnsiTheme="majorBidi" w:cstheme="majorBidi"/>
        </w:rPr>
        <w:t xml:space="preserve"> Oxford: Hart Publishing, 28-40.</w:t>
      </w:r>
    </w:p>
  </w:footnote>
  <w:footnote w:id="59">
    <w:p w:rsidR="005A70AA" w:rsidRPr="0059494F" w:rsidRDefault="005A70AA">
      <w:pPr>
        <w:pStyle w:val="FootnoteText"/>
      </w:pPr>
      <w:r>
        <w:rPr>
          <w:rStyle w:val="FootnoteReference"/>
        </w:rPr>
        <w:footnoteRef/>
      </w:r>
      <w:r>
        <w:t xml:space="preserve"> </w:t>
      </w:r>
      <w:r w:rsidRPr="0059494F">
        <w:rPr>
          <w:rFonts w:asciiTheme="majorBidi" w:hAnsiTheme="majorBidi" w:cstheme="majorBidi"/>
          <w:i/>
          <w:iCs/>
        </w:rPr>
        <w:t>Washington University v Catalona</w:t>
      </w:r>
      <w:r>
        <w:rPr>
          <w:rFonts w:asciiTheme="majorBidi" w:hAnsiTheme="majorBidi" w:cstheme="majorBidi"/>
        </w:rPr>
        <w:t xml:space="preserve"> 437 F.Supp.2d 985 (Dist. Ct. Missouri, 2006)</w:t>
      </w:r>
    </w:p>
  </w:footnote>
  <w:footnote w:id="60">
    <w:p w:rsidR="005A70AA" w:rsidRPr="0059494F" w:rsidRDefault="005A70AA">
      <w:pPr>
        <w:pStyle w:val="FootnoteText"/>
      </w:pPr>
      <w:r>
        <w:rPr>
          <w:rStyle w:val="FootnoteReference"/>
        </w:rPr>
        <w:footnoteRef/>
      </w:r>
      <w:r>
        <w:t xml:space="preserve"> </w:t>
      </w:r>
      <w:r w:rsidRPr="0059494F">
        <w:rPr>
          <w:rFonts w:asciiTheme="majorBidi" w:hAnsiTheme="majorBidi" w:cstheme="majorBidi"/>
          <w:i/>
          <w:iCs/>
        </w:rPr>
        <w:t>Greenberg v Miami Children’s Hospital Res. Inst.</w:t>
      </w:r>
      <w:r>
        <w:rPr>
          <w:rFonts w:asciiTheme="majorBidi" w:hAnsiTheme="majorBidi" w:cstheme="majorBidi"/>
        </w:rPr>
        <w:t xml:space="preserve"> 264 F.Supp.2d 1064 9SD Fl 2003)</w:t>
      </w:r>
    </w:p>
  </w:footnote>
  <w:footnote w:id="61">
    <w:p w:rsidR="005A70AA" w:rsidRPr="00573265" w:rsidRDefault="005A70AA">
      <w:pPr>
        <w:pStyle w:val="FootnoteText"/>
        <w:rPr>
          <w:rFonts w:ascii="Times New Roman" w:hAnsi="Times New Roman" w:cs="Times New Roman"/>
        </w:rPr>
      </w:pPr>
      <w:r w:rsidRPr="00573265">
        <w:rPr>
          <w:rStyle w:val="FootnoteReference"/>
          <w:rFonts w:ascii="Times New Roman" w:hAnsi="Times New Roman" w:cs="Times New Roman"/>
        </w:rPr>
        <w:footnoteRef/>
      </w:r>
      <w:r w:rsidRPr="00573265">
        <w:rPr>
          <w:rFonts w:ascii="Times New Roman" w:hAnsi="Times New Roman" w:cs="Times New Roman"/>
        </w:rPr>
        <w:t xml:space="preserve"> Laurie (n33), 313.</w:t>
      </w:r>
    </w:p>
  </w:footnote>
  <w:footnote w:id="62">
    <w:p w:rsidR="005A70AA" w:rsidRDefault="005A70AA" w:rsidP="00BA1B6A">
      <w:pPr>
        <w:pStyle w:val="FootnoteText"/>
      </w:pPr>
      <w:r>
        <w:rPr>
          <w:rStyle w:val="FootnoteReference"/>
        </w:rPr>
        <w:footnoteRef/>
      </w:r>
      <w:r w:rsidRPr="003F409B">
        <w:rPr>
          <w:rFonts w:asciiTheme="majorBidi" w:hAnsiTheme="majorBidi" w:cstheme="majorBidi"/>
        </w:rPr>
        <w:t xml:space="preserve"> </w:t>
      </w:r>
      <w:r w:rsidRPr="003F409B">
        <w:rPr>
          <w:rFonts w:asciiTheme="majorBidi" w:hAnsiTheme="majorBidi" w:cstheme="majorBidi"/>
          <w:i/>
          <w:iCs/>
        </w:rPr>
        <w:t>Yearworth v North Bristol NHS Trust</w:t>
      </w:r>
      <w:r>
        <w:rPr>
          <w:rFonts w:asciiTheme="majorBidi" w:hAnsiTheme="majorBidi" w:cstheme="majorBidi"/>
        </w:rPr>
        <w:t xml:space="preserve"> [2010] QB 1 at 20 did not abolish the no-property rule; it undermined the rule. </w:t>
      </w:r>
    </w:p>
  </w:footnote>
  <w:footnote w:id="63">
    <w:p w:rsidR="005A70AA" w:rsidRPr="00573265" w:rsidRDefault="005A70A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For a contrary view: </w:t>
      </w:r>
      <w:r w:rsidRPr="00573265">
        <w:rPr>
          <w:rFonts w:ascii="Times New Roman" w:hAnsi="Times New Roman" w:cs="Times New Roman"/>
          <w:b/>
        </w:rPr>
        <w:t>Handford P</w:t>
      </w:r>
      <w:r>
        <w:rPr>
          <w:rFonts w:ascii="Times New Roman" w:hAnsi="Times New Roman" w:cs="Times New Roman"/>
        </w:rPr>
        <w:t xml:space="preserve"> (2010) Intentional Negligence: A Contradiction in Terms. </w:t>
      </w:r>
      <w:r w:rsidRPr="00573265">
        <w:rPr>
          <w:rFonts w:ascii="Times New Roman" w:hAnsi="Times New Roman" w:cs="Times New Roman"/>
          <w:i/>
        </w:rPr>
        <w:t>Sydney Law Review</w:t>
      </w:r>
      <w:r>
        <w:rPr>
          <w:rFonts w:ascii="Times New Roman" w:hAnsi="Times New Roman" w:cs="Times New Roman"/>
        </w:rPr>
        <w:t xml:space="preserve"> </w:t>
      </w:r>
      <w:r w:rsidRPr="00573265">
        <w:rPr>
          <w:rFonts w:ascii="Times New Roman" w:hAnsi="Times New Roman" w:cs="Times New Roman"/>
          <w:b/>
        </w:rPr>
        <w:t>32</w:t>
      </w:r>
      <w:r>
        <w:rPr>
          <w:rFonts w:ascii="Times New Roman" w:hAnsi="Times New Roman" w:cs="Times New Roman"/>
        </w:rPr>
        <w:t>, 29. Many thanks to one of the journal’s external reviewers for drawing my attention to this.</w:t>
      </w:r>
    </w:p>
  </w:footnote>
  <w:footnote w:id="64">
    <w:p w:rsidR="005A70AA" w:rsidRPr="0087445A" w:rsidRDefault="005A70AA">
      <w:pPr>
        <w:pStyle w:val="FootnoteText"/>
        <w:rPr>
          <w:rFonts w:asciiTheme="majorBidi" w:hAnsiTheme="majorBidi" w:cstheme="majorBidi"/>
        </w:rPr>
      </w:pPr>
      <w:r>
        <w:rPr>
          <w:rStyle w:val="FootnoteReference"/>
        </w:rPr>
        <w:footnoteRef/>
      </w:r>
      <w:r>
        <w:t xml:space="preserve"> </w:t>
      </w:r>
      <w:r w:rsidRPr="00182052">
        <w:rPr>
          <w:rFonts w:asciiTheme="majorBidi" w:hAnsiTheme="majorBidi" w:cstheme="majorBidi"/>
          <w:i/>
          <w:iCs/>
        </w:rPr>
        <w:t>AB v Leeds</w:t>
      </w:r>
      <w:r>
        <w:rPr>
          <w:rFonts w:asciiTheme="majorBidi" w:hAnsiTheme="majorBidi" w:cstheme="majorBidi"/>
        </w:rPr>
        <w:t xml:space="preserve"> (n56).</w:t>
      </w:r>
    </w:p>
  </w:footnote>
  <w:footnote w:id="65">
    <w:p w:rsidR="005A70AA" w:rsidRDefault="005A70AA" w:rsidP="00A7541C">
      <w:pPr>
        <w:pStyle w:val="FootnoteText"/>
        <w:jc w:val="both"/>
        <w:rPr>
          <w:rFonts w:asciiTheme="majorBidi" w:hAnsiTheme="majorBidi" w:cstheme="majorBidi"/>
        </w:rPr>
      </w:pPr>
      <w:r>
        <w:rPr>
          <w:rStyle w:val="FootnoteReference"/>
        </w:rPr>
        <w:footnoteRef/>
      </w:r>
      <w:r>
        <w:t xml:space="preserve"> </w:t>
      </w:r>
      <w:r w:rsidRPr="00082300">
        <w:rPr>
          <w:rFonts w:asciiTheme="majorBidi" w:hAnsiTheme="majorBidi" w:cstheme="majorBidi"/>
          <w:i/>
        </w:rPr>
        <w:t>McLoughlin v O’Brian</w:t>
      </w:r>
      <w:r w:rsidRPr="00082300">
        <w:rPr>
          <w:rFonts w:asciiTheme="majorBidi" w:hAnsiTheme="majorBidi" w:cstheme="majorBidi"/>
        </w:rPr>
        <w:t xml:space="preserve"> [1983] 1 A.C. 410; </w:t>
      </w:r>
      <w:r w:rsidRPr="00082300">
        <w:rPr>
          <w:rFonts w:asciiTheme="majorBidi" w:hAnsiTheme="majorBidi" w:cstheme="majorBidi"/>
          <w:i/>
        </w:rPr>
        <w:t>Alcock v. Chief Constable of South Yorkshire Police</w:t>
      </w:r>
      <w:r w:rsidRPr="00082300">
        <w:rPr>
          <w:rFonts w:asciiTheme="majorBidi" w:hAnsiTheme="majorBidi" w:cstheme="majorBidi"/>
        </w:rPr>
        <w:t xml:space="preserve"> [1992] 1 A.C. </w:t>
      </w:r>
    </w:p>
    <w:p w:rsidR="005A70AA" w:rsidRPr="00A7541C" w:rsidRDefault="005A70AA" w:rsidP="00A7541C">
      <w:pPr>
        <w:pStyle w:val="FootnoteText"/>
        <w:jc w:val="both"/>
        <w:rPr>
          <w:rFonts w:asciiTheme="majorBidi" w:hAnsiTheme="majorBidi" w:cstheme="majorBidi"/>
        </w:rPr>
      </w:pPr>
      <w:r>
        <w:rPr>
          <w:rFonts w:asciiTheme="majorBidi" w:hAnsiTheme="majorBidi" w:cstheme="majorBidi"/>
        </w:rPr>
        <w:t xml:space="preserve">    </w:t>
      </w:r>
      <w:r w:rsidRPr="00082300">
        <w:rPr>
          <w:rFonts w:asciiTheme="majorBidi" w:hAnsiTheme="majorBidi" w:cstheme="majorBidi"/>
        </w:rPr>
        <w:t xml:space="preserve">310; </w:t>
      </w:r>
      <w:r w:rsidRPr="00082300">
        <w:rPr>
          <w:rFonts w:asciiTheme="majorBidi" w:hAnsiTheme="majorBidi" w:cstheme="majorBidi"/>
          <w:i/>
        </w:rPr>
        <w:t>White v. Chief Constable of South Yorkshire Police</w:t>
      </w:r>
      <w:r>
        <w:rPr>
          <w:rFonts w:asciiTheme="majorBidi" w:hAnsiTheme="majorBidi" w:cstheme="majorBidi"/>
        </w:rPr>
        <w:t xml:space="preserve"> [1999] 2 A.C. 455</w:t>
      </w:r>
    </w:p>
  </w:footnote>
  <w:footnote w:id="66">
    <w:p w:rsidR="005A70AA" w:rsidRPr="00A12C00" w:rsidRDefault="005A70AA" w:rsidP="00A12C00">
      <w:pPr>
        <w:pStyle w:val="FootnoteText"/>
        <w:jc w:val="both"/>
        <w:rPr>
          <w:rFonts w:asciiTheme="majorBidi" w:hAnsiTheme="majorBidi" w:cstheme="majorBidi"/>
        </w:rPr>
      </w:pPr>
      <w:r>
        <w:rPr>
          <w:rStyle w:val="FootnoteReference"/>
        </w:rPr>
        <w:footnoteRef/>
      </w:r>
      <w:r w:rsidRPr="00A12C00">
        <w:t xml:space="preserve"> </w:t>
      </w:r>
      <w:r w:rsidRPr="00573265">
        <w:rPr>
          <w:rFonts w:asciiTheme="majorBidi" w:hAnsiTheme="majorBidi" w:cstheme="majorBidi"/>
          <w:b/>
        </w:rPr>
        <w:t>Handford P</w:t>
      </w:r>
      <w:r>
        <w:rPr>
          <w:rFonts w:asciiTheme="majorBidi" w:hAnsiTheme="majorBidi" w:cstheme="majorBidi"/>
        </w:rPr>
        <w:t xml:space="preserve"> (2001)</w:t>
      </w:r>
      <w:r w:rsidRPr="00082300">
        <w:rPr>
          <w:rFonts w:asciiTheme="majorBidi" w:hAnsiTheme="majorBidi" w:cstheme="majorBidi"/>
        </w:rPr>
        <w:t xml:space="preserve"> Psychiatric Damage Where the Defendant is the Immediate Victim</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Law</w:t>
      </w:r>
      <w:r w:rsidR="000B288A">
        <w:rPr>
          <w:rFonts w:asciiTheme="majorBidi" w:hAnsiTheme="majorBidi" w:cstheme="majorBidi"/>
          <w:i/>
        </w:rPr>
        <w:t xml:space="preserve"> </w:t>
      </w:r>
      <w:r w:rsidRPr="00573265">
        <w:rPr>
          <w:rFonts w:asciiTheme="majorBidi" w:hAnsiTheme="majorBidi" w:cstheme="majorBidi"/>
          <w:i/>
        </w:rPr>
        <w:t>Quarterly Review</w:t>
      </w:r>
      <w:r w:rsidRPr="00573265">
        <w:rPr>
          <w:rFonts w:asciiTheme="majorBidi" w:hAnsiTheme="majorBidi" w:cstheme="majorBidi"/>
          <w:b/>
        </w:rPr>
        <w:t xml:space="preserve"> 117</w:t>
      </w:r>
      <w:r>
        <w:rPr>
          <w:rFonts w:asciiTheme="majorBidi" w:hAnsiTheme="majorBidi" w:cstheme="majorBidi"/>
        </w:rPr>
        <w:t>,</w:t>
      </w:r>
      <w:r w:rsidRPr="00082300">
        <w:rPr>
          <w:rFonts w:asciiTheme="majorBidi" w:hAnsiTheme="majorBidi" w:cstheme="majorBidi"/>
        </w:rPr>
        <w:t xml:space="preserve"> 397 at </w:t>
      </w:r>
      <w:r>
        <w:rPr>
          <w:rFonts w:asciiTheme="majorBidi" w:hAnsiTheme="majorBidi" w:cstheme="majorBidi"/>
        </w:rPr>
        <w:t>401.</w:t>
      </w:r>
    </w:p>
  </w:footnote>
  <w:footnote w:id="67">
    <w:p w:rsidR="005A70AA" w:rsidRDefault="005A70AA" w:rsidP="0087445A">
      <w:pPr>
        <w:pStyle w:val="FootnoteText"/>
      </w:pPr>
      <w:r>
        <w:rPr>
          <w:rStyle w:val="FootnoteReference"/>
        </w:rPr>
        <w:footnoteRef/>
      </w:r>
      <w:r>
        <w:t xml:space="preserve"> </w:t>
      </w:r>
      <w:r w:rsidRPr="00082300">
        <w:rPr>
          <w:rFonts w:asciiTheme="majorBidi" w:hAnsiTheme="majorBidi" w:cstheme="majorBidi"/>
          <w:i/>
          <w:iCs/>
        </w:rPr>
        <w:t xml:space="preserve">Wilkinson v Downton </w:t>
      </w:r>
      <w:r w:rsidRPr="00082300">
        <w:rPr>
          <w:rFonts w:asciiTheme="majorBidi" w:hAnsiTheme="majorBidi" w:cstheme="majorBidi"/>
        </w:rPr>
        <w:t>[1897] 2 QB 57</w:t>
      </w:r>
      <w:r>
        <w:rPr>
          <w:rFonts w:asciiTheme="majorBidi" w:hAnsiTheme="majorBidi" w:cstheme="majorBidi"/>
        </w:rPr>
        <w:t>.</w:t>
      </w:r>
    </w:p>
  </w:footnote>
  <w:footnote w:id="68">
    <w:p w:rsidR="005A70AA" w:rsidRPr="00AA529C" w:rsidRDefault="005A70AA">
      <w:pPr>
        <w:pStyle w:val="FootnoteText"/>
        <w:rPr>
          <w:rFonts w:asciiTheme="majorBidi" w:hAnsiTheme="majorBidi" w:cstheme="majorBidi"/>
        </w:rPr>
      </w:pPr>
      <w:r>
        <w:rPr>
          <w:rStyle w:val="FootnoteReference"/>
        </w:rPr>
        <w:footnoteRef/>
      </w:r>
      <w:r>
        <w:t xml:space="preserve"> </w:t>
      </w:r>
      <w:r w:rsidRPr="007502A7">
        <w:rPr>
          <w:rFonts w:asciiTheme="majorBidi" w:hAnsiTheme="majorBidi" w:cstheme="majorBidi"/>
          <w:i/>
          <w:iCs/>
        </w:rPr>
        <w:t>Christensen</w:t>
      </w:r>
      <w:r>
        <w:rPr>
          <w:rFonts w:asciiTheme="majorBidi" w:hAnsiTheme="majorBidi" w:cstheme="majorBidi"/>
          <w:i/>
          <w:iCs/>
        </w:rPr>
        <w:t xml:space="preserve"> v Superior Court, </w:t>
      </w:r>
      <w:r>
        <w:rPr>
          <w:rFonts w:asciiTheme="majorBidi" w:hAnsiTheme="majorBidi" w:cstheme="majorBidi"/>
        </w:rPr>
        <w:t>54 Cal 3d 866 (Su Ct Cal 1992).</w:t>
      </w:r>
    </w:p>
  </w:footnote>
  <w:footnote w:id="69">
    <w:p w:rsidR="005A70AA" w:rsidRPr="00082300" w:rsidRDefault="005A70AA" w:rsidP="00EF3A70">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082300">
        <w:rPr>
          <w:rFonts w:asciiTheme="majorBidi" w:hAnsiTheme="majorBidi" w:cstheme="majorBidi"/>
          <w:i/>
          <w:iCs/>
        </w:rPr>
        <w:t>Wainwright v Home Office</w:t>
      </w:r>
      <w:r>
        <w:rPr>
          <w:rFonts w:asciiTheme="majorBidi" w:hAnsiTheme="majorBidi" w:cstheme="majorBidi"/>
          <w:i/>
          <w:iCs/>
        </w:rPr>
        <w:t xml:space="preserve"> </w:t>
      </w:r>
      <w:r w:rsidRPr="00082300">
        <w:rPr>
          <w:rFonts w:asciiTheme="majorBidi" w:hAnsiTheme="majorBidi" w:cstheme="majorBidi"/>
        </w:rPr>
        <w:t>[2003] UKHL 53.</w:t>
      </w:r>
    </w:p>
  </w:footnote>
  <w:footnote w:id="70">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082300">
        <w:rPr>
          <w:rFonts w:asciiTheme="majorBidi" w:hAnsiTheme="majorBidi" w:cstheme="majorBidi"/>
          <w:i/>
          <w:iCs/>
        </w:rPr>
        <w:t xml:space="preserve">Rhodes v OPO </w:t>
      </w:r>
      <w:r w:rsidRPr="00082300">
        <w:rPr>
          <w:rFonts w:asciiTheme="majorBidi" w:hAnsiTheme="majorBidi" w:cstheme="majorBidi"/>
        </w:rPr>
        <w:t>[2015] UKSC 32.</w:t>
      </w:r>
    </w:p>
  </w:footnote>
  <w:footnote w:id="71">
    <w:p w:rsidR="005A70AA" w:rsidRPr="00082300" w:rsidRDefault="005A70AA" w:rsidP="007502A7">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2C2EE1">
        <w:rPr>
          <w:rFonts w:asciiTheme="majorBidi" w:hAnsiTheme="majorBidi" w:cstheme="majorBidi"/>
          <w:i/>
        </w:rPr>
        <w:t>Ibid.</w:t>
      </w:r>
      <w:r w:rsidRPr="00082300">
        <w:rPr>
          <w:rFonts w:asciiTheme="majorBidi" w:hAnsiTheme="majorBidi" w:cstheme="majorBidi"/>
        </w:rPr>
        <w:t>, at paras. 73-77.</w:t>
      </w:r>
    </w:p>
  </w:footnote>
  <w:footnote w:id="72">
    <w:p w:rsidR="005A70AA" w:rsidRPr="00082300" w:rsidRDefault="005A70AA" w:rsidP="007502A7">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2C2EE1">
        <w:rPr>
          <w:rFonts w:asciiTheme="majorBidi" w:hAnsiTheme="majorBidi" w:cstheme="majorBidi"/>
          <w:i/>
        </w:rPr>
        <w:t>Ibid.</w:t>
      </w:r>
      <w:r w:rsidRPr="00082300">
        <w:rPr>
          <w:rFonts w:asciiTheme="majorBidi" w:hAnsiTheme="majorBidi" w:cstheme="majorBidi"/>
        </w:rPr>
        <w:t>, at para. 74</w:t>
      </w:r>
      <w:r>
        <w:rPr>
          <w:rFonts w:asciiTheme="majorBidi" w:hAnsiTheme="majorBidi" w:cstheme="majorBidi"/>
        </w:rPr>
        <w:t>.</w:t>
      </w:r>
    </w:p>
  </w:footnote>
  <w:footnote w:id="73">
    <w:p w:rsidR="005A70AA" w:rsidRPr="00082300" w:rsidRDefault="005A70AA" w:rsidP="00F00D23">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2C2EE1">
        <w:rPr>
          <w:rFonts w:asciiTheme="majorBidi" w:hAnsiTheme="majorBidi" w:cstheme="majorBidi"/>
          <w:i/>
        </w:rPr>
        <w:t>Ibid</w:t>
      </w:r>
      <w:r>
        <w:rPr>
          <w:rFonts w:asciiTheme="majorBidi" w:hAnsiTheme="majorBidi" w:cstheme="majorBidi"/>
        </w:rPr>
        <w:t>.</w:t>
      </w:r>
      <w:r w:rsidRPr="00082300">
        <w:rPr>
          <w:rFonts w:asciiTheme="majorBidi" w:hAnsiTheme="majorBidi" w:cstheme="majorBidi"/>
        </w:rPr>
        <w:t>, at para. 101.</w:t>
      </w:r>
    </w:p>
  </w:footnote>
  <w:footnote w:id="74">
    <w:p w:rsidR="005A70AA" w:rsidRPr="00082300" w:rsidRDefault="005A70AA" w:rsidP="00F00D23">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2C2EE1">
        <w:rPr>
          <w:rFonts w:asciiTheme="majorBidi" w:hAnsiTheme="majorBidi" w:cstheme="majorBidi"/>
          <w:i/>
        </w:rPr>
        <w:t>Ibid</w:t>
      </w:r>
      <w:r>
        <w:rPr>
          <w:rFonts w:asciiTheme="majorBidi" w:hAnsiTheme="majorBidi" w:cstheme="majorBidi"/>
        </w:rPr>
        <w:t>.</w:t>
      </w:r>
      <w:r w:rsidRPr="00082300">
        <w:rPr>
          <w:rFonts w:asciiTheme="majorBidi" w:hAnsiTheme="majorBidi" w:cstheme="majorBidi"/>
        </w:rPr>
        <w:t>, at para. 103.</w:t>
      </w:r>
    </w:p>
  </w:footnote>
  <w:footnote w:id="75">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Shultz M M</w:t>
      </w:r>
      <w:r>
        <w:rPr>
          <w:rFonts w:asciiTheme="majorBidi" w:hAnsiTheme="majorBidi" w:cstheme="majorBidi"/>
        </w:rPr>
        <w:t xml:space="preserve"> (1985)</w:t>
      </w:r>
      <w:r w:rsidRPr="00082300">
        <w:rPr>
          <w:rFonts w:asciiTheme="majorBidi" w:hAnsiTheme="majorBidi" w:cstheme="majorBidi"/>
        </w:rPr>
        <w:t xml:space="preserve"> From Informed Consent to Patient Choice: A New Protected Interest</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Yale Law Journal</w:t>
      </w:r>
      <w:r>
        <w:rPr>
          <w:rFonts w:asciiTheme="majorBidi" w:hAnsiTheme="majorBidi" w:cstheme="majorBidi"/>
        </w:rPr>
        <w:t xml:space="preserve"> </w:t>
      </w:r>
      <w:r w:rsidRPr="00573265">
        <w:rPr>
          <w:rFonts w:asciiTheme="majorBidi" w:hAnsiTheme="majorBidi" w:cstheme="majorBidi"/>
          <w:b/>
        </w:rPr>
        <w:t>95</w:t>
      </w:r>
      <w:r>
        <w:rPr>
          <w:rFonts w:asciiTheme="majorBidi" w:hAnsiTheme="majorBidi" w:cstheme="majorBidi"/>
        </w:rPr>
        <w:t>,</w:t>
      </w:r>
      <w:r w:rsidRPr="00082300">
        <w:rPr>
          <w:rFonts w:asciiTheme="majorBidi" w:hAnsiTheme="majorBidi" w:cstheme="majorBidi"/>
        </w:rPr>
        <w:t xml:space="preserve"> 219.</w:t>
      </w:r>
    </w:p>
  </w:footnote>
  <w:footnote w:id="76">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040053">
        <w:rPr>
          <w:rFonts w:asciiTheme="majorBidi" w:hAnsiTheme="majorBidi" w:cstheme="majorBidi"/>
          <w:i/>
          <w:iCs/>
        </w:rPr>
        <w:t>Hecht v Kaplan,</w:t>
      </w:r>
      <w:r w:rsidRPr="00040053">
        <w:rPr>
          <w:rFonts w:asciiTheme="majorBidi" w:hAnsiTheme="majorBidi" w:cstheme="majorBidi"/>
        </w:rPr>
        <w:t xml:space="preserve"> 221 AD2d 100 (Sup Ct New York 1996). </w:t>
      </w:r>
      <w:r w:rsidRPr="00145E02">
        <w:rPr>
          <w:rFonts w:asciiTheme="majorBidi" w:hAnsiTheme="majorBidi" w:cstheme="majorBidi"/>
          <w:b/>
        </w:rPr>
        <w:t>Rao</w:t>
      </w:r>
      <w:r w:rsidR="006C4E19" w:rsidRPr="00145E02">
        <w:rPr>
          <w:rFonts w:asciiTheme="majorBidi" w:hAnsiTheme="majorBidi" w:cstheme="majorBidi"/>
          <w:b/>
        </w:rPr>
        <w:t xml:space="preserve"> R</w:t>
      </w:r>
      <w:r w:rsidR="006C4E19">
        <w:rPr>
          <w:rFonts w:asciiTheme="majorBidi" w:hAnsiTheme="majorBidi" w:cstheme="majorBidi"/>
        </w:rPr>
        <w:t xml:space="preserve"> (2000)</w:t>
      </w:r>
      <w:r w:rsidRPr="00040053">
        <w:rPr>
          <w:rFonts w:asciiTheme="majorBidi" w:hAnsiTheme="majorBidi" w:cstheme="majorBidi"/>
        </w:rPr>
        <w:t xml:space="preserve"> Property, Privacy, and the Human Body</w:t>
      </w:r>
      <w:r w:rsidR="006C4E19">
        <w:rPr>
          <w:rFonts w:asciiTheme="majorBidi" w:hAnsiTheme="majorBidi" w:cstheme="majorBidi"/>
        </w:rPr>
        <w:t>.</w:t>
      </w:r>
      <w:r w:rsidRPr="00040053">
        <w:rPr>
          <w:rFonts w:asciiTheme="majorBidi" w:hAnsiTheme="majorBidi" w:cstheme="majorBidi"/>
        </w:rPr>
        <w:t xml:space="preserve"> </w:t>
      </w:r>
      <w:r w:rsidRPr="00145E02">
        <w:rPr>
          <w:rFonts w:asciiTheme="majorBidi" w:hAnsiTheme="majorBidi" w:cstheme="majorBidi"/>
          <w:i/>
        </w:rPr>
        <w:t>Boston Uni</w:t>
      </w:r>
      <w:r w:rsidR="006C4E19" w:rsidRPr="00145E02">
        <w:rPr>
          <w:rFonts w:asciiTheme="majorBidi" w:hAnsiTheme="majorBidi" w:cstheme="majorBidi"/>
          <w:i/>
        </w:rPr>
        <w:t>versity</w:t>
      </w:r>
      <w:r w:rsidRPr="00145E02">
        <w:rPr>
          <w:rFonts w:asciiTheme="majorBidi" w:hAnsiTheme="majorBidi" w:cstheme="majorBidi"/>
          <w:i/>
        </w:rPr>
        <w:t xml:space="preserve"> L</w:t>
      </w:r>
      <w:r w:rsidR="006C4E19" w:rsidRPr="00145E02">
        <w:rPr>
          <w:rFonts w:asciiTheme="majorBidi" w:hAnsiTheme="majorBidi" w:cstheme="majorBidi"/>
          <w:i/>
        </w:rPr>
        <w:t>aw</w:t>
      </w:r>
      <w:r w:rsidRPr="00145E02">
        <w:rPr>
          <w:rFonts w:asciiTheme="majorBidi" w:hAnsiTheme="majorBidi" w:cstheme="majorBidi"/>
          <w:i/>
        </w:rPr>
        <w:t xml:space="preserve"> Rev</w:t>
      </w:r>
      <w:r w:rsidR="006C4E19" w:rsidRPr="00145E02">
        <w:rPr>
          <w:rFonts w:asciiTheme="majorBidi" w:hAnsiTheme="majorBidi" w:cstheme="majorBidi"/>
          <w:i/>
        </w:rPr>
        <w:t>iew</w:t>
      </w:r>
      <w:r w:rsidR="006C4E19">
        <w:rPr>
          <w:rFonts w:asciiTheme="majorBidi" w:hAnsiTheme="majorBidi" w:cstheme="majorBidi"/>
        </w:rPr>
        <w:t xml:space="preserve"> </w:t>
      </w:r>
      <w:r w:rsidR="006C4E19" w:rsidRPr="00145E02">
        <w:rPr>
          <w:rFonts w:asciiTheme="majorBidi" w:hAnsiTheme="majorBidi" w:cstheme="majorBidi"/>
          <w:b/>
        </w:rPr>
        <w:t>80</w:t>
      </w:r>
      <w:r w:rsidR="006C4E19">
        <w:rPr>
          <w:rFonts w:asciiTheme="majorBidi" w:hAnsiTheme="majorBidi" w:cstheme="majorBidi"/>
        </w:rPr>
        <w:t>,</w:t>
      </w:r>
      <w:r w:rsidRPr="00040053">
        <w:rPr>
          <w:rFonts w:asciiTheme="majorBidi" w:hAnsiTheme="majorBidi" w:cstheme="majorBidi"/>
        </w:rPr>
        <w:t xml:space="preserve"> 359. </w:t>
      </w:r>
      <w:r w:rsidRPr="00040053">
        <w:rPr>
          <w:rFonts w:asciiTheme="majorBidi" w:hAnsiTheme="majorBidi" w:cstheme="majorBidi"/>
          <w:i/>
          <w:iCs/>
        </w:rPr>
        <w:t>Doe v High-Tech Institute, Inc,</w:t>
      </w:r>
      <w:r w:rsidRPr="00040053">
        <w:rPr>
          <w:rFonts w:asciiTheme="majorBidi" w:hAnsiTheme="majorBidi" w:cstheme="majorBidi"/>
        </w:rPr>
        <w:t xml:space="preserve"> 972 P 2d 1060 (1998).</w:t>
      </w:r>
    </w:p>
  </w:footnote>
  <w:footnote w:id="77">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082300">
        <w:rPr>
          <w:rFonts w:asciiTheme="majorBidi" w:hAnsiTheme="majorBidi" w:cstheme="majorBidi"/>
          <w:i/>
          <w:iCs/>
        </w:rPr>
        <w:t>Appleby v Sleep</w:t>
      </w:r>
      <w:r w:rsidRPr="00082300">
        <w:rPr>
          <w:rFonts w:asciiTheme="majorBidi" w:hAnsiTheme="majorBidi" w:cstheme="majorBidi"/>
        </w:rPr>
        <w:t xml:space="preserve"> [1968] 1 WLR 948; </w:t>
      </w:r>
      <w:r w:rsidRPr="00082300">
        <w:rPr>
          <w:rFonts w:asciiTheme="majorBidi" w:hAnsiTheme="majorBidi" w:cstheme="majorBidi"/>
          <w:i/>
          <w:iCs/>
        </w:rPr>
        <w:t>Pfizer Corporation v Ministry of Health</w:t>
      </w:r>
      <w:r w:rsidRPr="00082300">
        <w:rPr>
          <w:rFonts w:asciiTheme="majorBidi" w:hAnsiTheme="majorBidi" w:cstheme="majorBidi"/>
        </w:rPr>
        <w:t xml:space="preserve"> [1965] AC 512.</w:t>
      </w:r>
    </w:p>
  </w:footnote>
  <w:footnote w:id="78">
    <w:p w:rsidR="006C4E19" w:rsidRDefault="005A70AA" w:rsidP="00455728">
      <w:pPr>
        <w:pStyle w:val="FootnoteText"/>
        <w:jc w:val="both"/>
        <w:rPr>
          <w:rFonts w:asciiTheme="majorBidi" w:hAnsiTheme="majorBidi" w:cstheme="majorBidi"/>
        </w:rPr>
      </w:pPr>
      <w:r>
        <w:rPr>
          <w:rStyle w:val="FootnoteReference"/>
        </w:rPr>
        <w:footnoteRef/>
      </w:r>
      <w:r>
        <w:t xml:space="preserve"> </w:t>
      </w:r>
      <w:r w:rsidRPr="00573265">
        <w:rPr>
          <w:rFonts w:asciiTheme="majorBidi" w:hAnsiTheme="majorBidi" w:cstheme="majorBidi"/>
          <w:b/>
        </w:rPr>
        <w:t>Nuffield Council on Bioethics</w:t>
      </w:r>
      <w:r>
        <w:rPr>
          <w:rFonts w:asciiTheme="majorBidi" w:hAnsiTheme="majorBidi" w:cstheme="majorBidi"/>
        </w:rPr>
        <w:t xml:space="preserve"> (2011)</w:t>
      </w:r>
      <w:r w:rsidRPr="00455728">
        <w:rPr>
          <w:rFonts w:asciiTheme="majorBidi" w:hAnsiTheme="majorBidi" w:cstheme="majorBidi"/>
        </w:rPr>
        <w:t xml:space="preserve"> </w:t>
      </w:r>
      <w:r w:rsidRPr="00455728">
        <w:rPr>
          <w:rFonts w:asciiTheme="majorBidi" w:hAnsiTheme="majorBidi" w:cstheme="majorBidi"/>
          <w:i/>
          <w:iCs/>
        </w:rPr>
        <w:t>Human Bodies: Donation for Medicine and Research</w:t>
      </w:r>
      <w:r>
        <w:rPr>
          <w:rFonts w:asciiTheme="majorBidi" w:hAnsiTheme="majorBidi" w:cstheme="majorBidi"/>
          <w:i/>
          <w:iCs/>
        </w:rPr>
        <w:t>.</w:t>
      </w:r>
      <w:r>
        <w:rPr>
          <w:rFonts w:asciiTheme="majorBidi" w:hAnsiTheme="majorBidi" w:cstheme="majorBidi"/>
        </w:rPr>
        <w:t xml:space="preserve"> London: NCB,  </w:t>
      </w:r>
      <w:r w:rsidR="006C4E19">
        <w:rPr>
          <w:rFonts w:asciiTheme="majorBidi" w:hAnsiTheme="majorBidi" w:cstheme="majorBidi"/>
        </w:rPr>
        <w:t xml:space="preserve">  </w:t>
      </w:r>
    </w:p>
    <w:p w:rsidR="005A70AA" w:rsidRPr="00455728" w:rsidRDefault="006C4E19" w:rsidP="00455728">
      <w:pPr>
        <w:pStyle w:val="FootnoteText"/>
        <w:jc w:val="both"/>
        <w:rPr>
          <w:rFonts w:asciiTheme="majorBidi" w:hAnsiTheme="majorBidi" w:cstheme="majorBidi"/>
        </w:rPr>
      </w:pPr>
      <w:r>
        <w:rPr>
          <w:rFonts w:asciiTheme="majorBidi" w:hAnsiTheme="majorBidi" w:cstheme="majorBidi"/>
        </w:rPr>
        <w:t xml:space="preserve">    </w:t>
      </w:r>
      <w:r w:rsidR="005A70AA">
        <w:rPr>
          <w:rFonts w:asciiTheme="majorBidi" w:hAnsiTheme="majorBidi" w:cstheme="majorBidi"/>
        </w:rPr>
        <w:t xml:space="preserve">66; </w:t>
      </w:r>
      <w:r w:rsidR="005A70AA" w:rsidRPr="00455728">
        <w:rPr>
          <w:rFonts w:asciiTheme="majorBidi" w:hAnsiTheme="majorBidi" w:cstheme="majorBidi"/>
        </w:rPr>
        <w:t xml:space="preserve"> </w:t>
      </w:r>
      <w:r w:rsidR="005A70AA" w:rsidRPr="00573265">
        <w:rPr>
          <w:rFonts w:asciiTheme="majorBidi" w:hAnsiTheme="majorBidi" w:cstheme="majorBidi"/>
          <w:b/>
        </w:rPr>
        <w:t>Gitter D M</w:t>
      </w:r>
      <w:r w:rsidR="005A70AA">
        <w:rPr>
          <w:rFonts w:asciiTheme="majorBidi" w:hAnsiTheme="majorBidi" w:cstheme="majorBidi"/>
        </w:rPr>
        <w:t xml:space="preserve"> (2004)</w:t>
      </w:r>
      <w:r w:rsidR="005A70AA" w:rsidRPr="00455728">
        <w:rPr>
          <w:rFonts w:asciiTheme="majorBidi" w:hAnsiTheme="majorBidi" w:cstheme="majorBidi"/>
        </w:rPr>
        <w:t xml:space="preserve"> Ownership of Human Tissue: A Proposal for Federal Recognition of Human Research Participants’ Property Rights in Their Biological Material</w:t>
      </w:r>
      <w:r w:rsidR="005A70AA">
        <w:rPr>
          <w:rFonts w:asciiTheme="majorBidi" w:hAnsiTheme="majorBidi" w:cstheme="majorBidi"/>
        </w:rPr>
        <w:t>.</w:t>
      </w:r>
      <w:r>
        <w:rPr>
          <w:rFonts w:asciiTheme="majorBidi" w:hAnsiTheme="majorBidi" w:cstheme="majorBidi"/>
        </w:rPr>
        <w:t xml:space="preserve"> </w:t>
      </w:r>
      <w:r w:rsidR="005A70AA" w:rsidRPr="00573265">
        <w:rPr>
          <w:rFonts w:asciiTheme="majorBidi" w:hAnsiTheme="majorBidi" w:cstheme="majorBidi"/>
          <w:i/>
        </w:rPr>
        <w:t>Washington. &amp; Lee Law Review</w:t>
      </w:r>
      <w:r w:rsidR="005A70AA">
        <w:rPr>
          <w:rFonts w:asciiTheme="majorBidi" w:hAnsiTheme="majorBidi" w:cstheme="majorBidi"/>
        </w:rPr>
        <w:t xml:space="preserve"> </w:t>
      </w:r>
      <w:r w:rsidR="005A70AA" w:rsidRPr="00573265">
        <w:rPr>
          <w:rFonts w:asciiTheme="majorBidi" w:hAnsiTheme="majorBidi" w:cstheme="majorBidi"/>
          <w:b/>
        </w:rPr>
        <w:t>61,</w:t>
      </w:r>
      <w:r w:rsidR="005A70AA">
        <w:rPr>
          <w:rFonts w:asciiTheme="majorBidi" w:hAnsiTheme="majorBidi" w:cstheme="majorBidi"/>
        </w:rPr>
        <w:t xml:space="preserve"> 258.</w:t>
      </w:r>
    </w:p>
  </w:footnote>
  <w:footnote w:id="79">
    <w:p w:rsidR="005A70AA" w:rsidRPr="00082300" w:rsidRDefault="005A70AA" w:rsidP="00007A20">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61FDA">
        <w:rPr>
          <w:rFonts w:asciiTheme="majorBidi" w:hAnsiTheme="majorBidi" w:cstheme="majorBidi"/>
          <w:i/>
          <w:iCs/>
        </w:rPr>
        <w:t>Greenberg</w:t>
      </w:r>
      <w:r w:rsidRPr="00561FDA">
        <w:rPr>
          <w:rFonts w:asciiTheme="majorBidi" w:hAnsiTheme="majorBidi" w:cstheme="majorBidi"/>
        </w:rPr>
        <w:t xml:space="preserve"> (n5</w:t>
      </w:r>
      <w:r>
        <w:rPr>
          <w:rFonts w:asciiTheme="majorBidi" w:hAnsiTheme="majorBidi" w:cstheme="majorBidi"/>
        </w:rPr>
        <w:t>9</w:t>
      </w:r>
      <w:r w:rsidRPr="00561FDA">
        <w:rPr>
          <w:rFonts w:asciiTheme="majorBidi" w:hAnsiTheme="majorBidi" w:cstheme="majorBidi"/>
        </w:rPr>
        <w:t xml:space="preserve">); </w:t>
      </w:r>
      <w:r>
        <w:rPr>
          <w:rFonts w:asciiTheme="majorBidi" w:hAnsiTheme="majorBidi" w:cstheme="majorBidi"/>
        </w:rPr>
        <w:t>u</w:t>
      </w:r>
      <w:r w:rsidRPr="00561FDA">
        <w:rPr>
          <w:rFonts w:asciiTheme="majorBidi" w:hAnsiTheme="majorBidi" w:cstheme="majorBidi"/>
        </w:rPr>
        <w:t>njust enrichment attaches to monetary enrichment, not just any benefit</w:t>
      </w:r>
      <w:r>
        <w:rPr>
          <w:rFonts w:asciiTheme="majorBidi" w:hAnsiTheme="majorBidi" w:cstheme="majorBidi"/>
        </w:rPr>
        <w:t xml:space="preserve">: </w:t>
      </w:r>
      <w:r w:rsidRPr="00573265">
        <w:rPr>
          <w:rFonts w:asciiTheme="majorBidi" w:hAnsiTheme="majorBidi" w:cstheme="majorBidi"/>
          <w:b/>
        </w:rPr>
        <w:t>Birks P</w:t>
      </w:r>
      <w:r>
        <w:rPr>
          <w:rFonts w:asciiTheme="majorBidi" w:hAnsiTheme="majorBidi" w:cstheme="majorBidi"/>
        </w:rPr>
        <w:t xml:space="preserve"> (2005)</w:t>
      </w:r>
      <w:r w:rsidRPr="00561FDA">
        <w:rPr>
          <w:rFonts w:asciiTheme="majorBidi" w:hAnsiTheme="majorBidi" w:cstheme="majorBidi"/>
        </w:rPr>
        <w:t xml:space="preserve"> </w:t>
      </w:r>
      <w:r w:rsidRPr="00573265">
        <w:rPr>
          <w:rFonts w:asciiTheme="majorBidi" w:hAnsiTheme="majorBidi" w:cstheme="majorBidi"/>
          <w:i/>
        </w:rPr>
        <w:t>Unjust Enrichment, 2</w:t>
      </w:r>
      <w:r w:rsidRPr="00573265">
        <w:rPr>
          <w:rFonts w:asciiTheme="majorBidi" w:hAnsiTheme="majorBidi" w:cstheme="majorBidi"/>
          <w:i/>
          <w:vertAlign w:val="superscript"/>
        </w:rPr>
        <w:t>nd</w:t>
      </w:r>
      <w:r w:rsidRPr="00573265">
        <w:rPr>
          <w:rFonts w:asciiTheme="majorBidi" w:hAnsiTheme="majorBidi" w:cstheme="majorBidi"/>
          <w:i/>
        </w:rPr>
        <w:t xml:space="preserve"> ed.</w:t>
      </w:r>
      <w:r w:rsidRPr="00561FDA">
        <w:rPr>
          <w:rFonts w:asciiTheme="majorBidi" w:hAnsiTheme="majorBidi" w:cstheme="majorBidi"/>
        </w:rPr>
        <w:t xml:space="preserve"> Oxford: Oxford University Press, 3; </w:t>
      </w:r>
      <w:r w:rsidRPr="00573265">
        <w:rPr>
          <w:rFonts w:asciiTheme="majorBidi" w:hAnsiTheme="majorBidi" w:cstheme="majorBidi"/>
          <w:b/>
        </w:rPr>
        <w:t>Stoljar S</w:t>
      </w:r>
      <w:r>
        <w:rPr>
          <w:rFonts w:asciiTheme="majorBidi" w:hAnsiTheme="majorBidi" w:cstheme="majorBidi"/>
          <w:b/>
        </w:rPr>
        <w:t xml:space="preserve"> (1987)</w:t>
      </w:r>
      <w:r w:rsidRPr="00561FDA">
        <w:rPr>
          <w:rFonts w:asciiTheme="majorBidi" w:hAnsiTheme="majorBidi" w:cstheme="majorBidi"/>
        </w:rPr>
        <w:t xml:space="preserve"> Unjust Enrichment and Unjust Sacrifice</w:t>
      </w:r>
      <w:r>
        <w:rPr>
          <w:rFonts w:asciiTheme="majorBidi" w:hAnsiTheme="majorBidi" w:cstheme="majorBidi"/>
        </w:rPr>
        <w:t>.</w:t>
      </w:r>
      <w:r w:rsidRPr="00561FDA">
        <w:rPr>
          <w:rFonts w:asciiTheme="majorBidi" w:hAnsiTheme="majorBidi" w:cstheme="majorBidi"/>
        </w:rPr>
        <w:t xml:space="preserve">  </w:t>
      </w:r>
      <w:r w:rsidRPr="00573265">
        <w:rPr>
          <w:rFonts w:asciiTheme="majorBidi" w:hAnsiTheme="majorBidi" w:cstheme="majorBidi"/>
          <w:i/>
        </w:rPr>
        <w:t>Modern Law Review</w:t>
      </w:r>
      <w:r>
        <w:rPr>
          <w:rFonts w:asciiTheme="majorBidi" w:hAnsiTheme="majorBidi" w:cstheme="majorBidi"/>
        </w:rPr>
        <w:t>,</w:t>
      </w:r>
      <w:r w:rsidRPr="00561FDA">
        <w:rPr>
          <w:rFonts w:asciiTheme="majorBidi" w:hAnsiTheme="majorBidi" w:cstheme="majorBidi"/>
        </w:rPr>
        <w:t xml:space="preserve"> 603 at 606</w:t>
      </w:r>
      <w:r>
        <w:rPr>
          <w:rFonts w:asciiTheme="majorBidi" w:hAnsiTheme="majorBidi" w:cstheme="majorBidi"/>
        </w:rPr>
        <w:t>;</w:t>
      </w:r>
      <w:r w:rsidRPr="00561FDA">
        <w:rPr>
          <w:rFonts w:asciiTheme="majorBidi" w:hAnsiTheme="majorBidi" w:cstheme="majorBidi"/>
        </w:rPr>
        <w:t xml:space="preserve"> </w:t>
      </w:r>
      <w:r w:rsidRPr="00573265">
        <w:rPr>
          <w:rFonts w:asciiTheme="majorBidi" w:hAnsiTheme="majorBidi" w:cstheme="majorBidi"/>
          <w:b/>
        </w:rPr>
        <w:t>Virgo G</w:t>
      </w:r>
      <w:r>
        <w:rPr>
          <w:rFonts w:asciiTheme="majorBidi" w:hAnsiTheme="majorBidi" w:cstheme="majorBidi"/>
        </w:rPr>
        <w:t xml:space="preserve"> (2006)</w:t>
      </w:r>
      <w:r w:rsidRPr="00561FDA">
        <w:rPr>
          <w:rFonts w:asciiTheme="majorBidi" w:hAnsiTheme="majorBidi" w:cstheme="majorBidi"/>
        </w:rPr>
        <w:t xml:space="preserve"> </w:t>
      </w:r>
      <w:r w:rsidRPr="00561FDA">
        <w:rPr>
          <w:rFonts w:asciiTheme="majorBidi" w:hAnsiTheme="majorBidi" w:cstheme="majorBidi"/>
          <w:i/>
          <w:iCs/>
        </w:rPr>
        <w:t>The Principles of the Law of Restitution, 2</w:t>
      </w:r>
      <w:r w:rsidRPr="00561FDA">
        <w:rPr>
          <w:rFonts w:asciiTheme="majorBidi" w:hAnsiTheme="majorBidi" w:cstheme="majorBidi"/>
          <w:i/>
          <w:iCs/>
          <w:vertAlign w:val="superscript"/>
        </w:rPr>
        <w:t>nd</w:t>
      </w:r>
      <w:r w:rsidRPr="00561FDA">
        <w:rPr>
          <w:rFonts w:asciiTheme="majorBidi" w:hAnsiTheme="majorBidi" w:cstheme="majorBidi"/>
          <w:i/>
          <w:iCs/>
        </w:rPr>
        <w:t xml:space="preserve"> ed</w:t>
      </w:r>
      <w:r w:rsidRPr="00561FDA">
        <w:rPr>
          <w:rFonts w:asciiTheme="majorBidi" w:hAnsiTheme="majorBidi" w:cstheme="majorBidi"/>
        </w:rPr>
        <w:t>. Oxford: Oxford University Press, 62-64.</w:t>
      </w:r>
      <w:r w:rsidRPr="00082300">
        <w:rPr>
          <w:rFonts w:asciiTheme="majorBidi" w:hAnsiTheme="majorBidi" w:cstheme="majorBidi"/>
        </w:rPr>
        <w:t xml:space="preserve"> </w:t>
      </w:r>
    </w:p>
  </w:footnote>
  <w:footnote w:id="80">
    <w:p w:rsidR="005A70AA" w:rsidRPr="00082300" w:rsidRDefault="005A70AA" w:rsidP="00561FDA">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A45D1D">
        <w:rPr>
          <w:rFonts w:asciiTheme="majorBidi" w:hAnsiTheme="majorBidi" w:cstheme="majorBidi"/>
          <w:i/>
          <w:iCs/>
        </w:rPr>
        <w:t>Campbell v MGN Ltd.</w:t>
      </w:r>
      <w:r w:rsidRPr="00A45D1D">
        <w:rPr>
          <w:rFonts w:asciiTheme="majorBidi" w:hAnsiTheme="majorBidi" w:cstheme="majorBidi"/>
        </w:rPr>
        <w:t xml:space="preserve"> </w:t>
      </w:r>
      <w:r>
        <w:rPr>
          <w:rFonts w:asciiTheme="majorBidi" w:hAnsiTheme="majorBidi" w:cstheme="majorBidi"/>
        </w:rPr>
        <w:t>[2004] 2 AC 457;</w:t>
      </w:r>
      <w:r w:rsidRPr="00A45D1D">
        <w:rPr>
          <w:rFonts w:asciiTheme="majorBidi" w:hAnsiTheme="majorBidi" w:cstheme="majorBidi"/>
          <w:i/>
          <w:iCs/>
        </w:rPr>
        <w:t xml:space="preserve"> Armstrong v H &amp; C Communications</w:t>
      </w:r>
      <w:r w:rsidRPr="00A45D1D">
        <w:rPr>
          <w:rFonts w:asciiTheme="majorBidi" w:hAnsiTheme="majorBidi" w:cstheme="majorBidi"/>
        </w:rPr>
        <w:t xml:space="preserve">, 575 So 2d 280 (Dist. Ct. App 1991); </w:t>
      </w:r>
      <w:r w:rsidRPr="00A45D1D">
        <w:rPr>
          <w:rFonts w:asciiTheme="majorBidi" w:hAnsiTheme="majorBidi" w:cstheme="majorBidi"/>
          <w:i/>
          <w:iCs/>
        </w:rPr>
        <w:t>Waters v Fleetwood</w:t>
      </w:r>
      <w:r w:rsidRPr="00A45D1D">
        <w:rPr>
          <w:rFonts w:asciiTheme="majorBidi" w:hAnsiTheme="majorBidi" w:cstheme="majorBidi"/>
        </w:rPr>
        <w:t>, 212 Ga 161 (1956)</w:t>
      </w:r>
      <w:r>
        <w:rPr>
          <w:rFonts w:asciiTheme="majorBidi" w:hAnsiTheme="majorBidi" w:cstheme="majorBidi"/>
        </w:rPr>
        <w:t>;</w:t>
      </w:r>
      <w:r w:rsidRPr="00573265">
        <w:rPr>
          <w:rFonts w:asciiTheme="majorBidi" w:hAnsiTheme="majorBidi" w:cstheme="majorBidi"/>
          <w:b/>
        </w:rPr>
        <w:t>Keeton W P</w:t>
      </w:r>
      <w:r w:rsidRPr="00A45D1D">
        <w:rPr>
          <w:rFonts w:asciiTheme="majorBidi" w:hAnsiTheme="majorBidi" w:cstheme="majorBidi"/>
        </w:rPr>
        <w:t xml:space="preserve"> et al</w:t>
      </w:r>
      <w:r>
        <w:rPr>
          <w:rFonts w:asciiTheme="majorBidi" w:hAnsiTheme="majorBidi" w:cstheme="majorBidi"/>
        </w:rPr>
        <w:t xml:space="preserve"> (1988)</w:t>
      </w:r>
      <w:r w:rsidRPr="00A45D1D">
        <w:rPr>
          <w:rFonts w:asciiTheme="majorBidi" w:hAnsiTheme="majorBidi" w:cstheme="majorBidi"/>
        </w:rPr>
        <w:t xml:space="preserve"> </w:t>
      </w:r>
      <w:r w:rsidRPr="00A45D1D">
        <w:rPr>
          <w:rFonts w:asciiTheme="majorBidi" w:hAnsiTheme="majorBidi" w:cstheme="majorBidi"/>
          <w:i/>
          <w:iCs/>
        </w:rPr>
        <w:t>Prosser and Keeton on Torts, 5</w:t>
      </w:r>
      <w:r w:rsidRPr="00A45D1D">
        <w:rPr>
          <w:rFonts w:asciiTheme="majorBidi" w:hAnsiTheme="majorBidi" w:cstheme="majorBidi"/>
          <w:i/>
          <w:iCs/>
          <w:vertAlign w:val="superscript"/>
        </w:rPr>
        <w:t>th</w:t>
      </w:r>
      <w:r w:rsidRPr="00A45D1D">
        <w:rPr>
          <w:rFonts w:asciiTheme="majorBidi" w:hAnsiTheme="majorBidi" w:cstheme="majorBidi"/>
          <w:i/>
          <w:iCs/>
        </w:rPr>
        <w:t xml:space="preserve"> ed. </w:t>
      </w:r>
      <w:r w:rsidRPr="00A45D1D">
        <w:rPr>
          <w:rFonts w:asciiTheme="majorBidi" w:hAnsiTheme="majorBidi" w:cstheme="majorBidi"/>
        </w:rPr>
        <w:t xml:space="preserve">St. Paul, MN.: West Publishing Co.,  849-68. </w:t>
      </w:r>
      <w:r>
        <w:rPr>
          <w:rFonts w:asciiTheme="majorBidi" w:hAnsiTheme="majorBidi" w:cstheme="majorBidi"/>
        </w:rPr>
        <w:t>A</w:t>
      </w:r>
      <w:r w:rsidRPr="00A45D1D">
        <w:rPr>
          <w:rFonts w:asciiTheme="majorBidi" w:hAnsiTheme="majorBidi" w:cstheme="majorBidi"/>
        </w:rPr>
        <w:t xml:space="preserve"> privacy claim might succeed in cases alleging unauthorised genetic analysis of bodily parts:</w:t>
      </w:r>
      <w:r>
        <w:rPr>
          <w:rFonts w:asciiTheme="majorBidi" w:hAnsiTheme="majorBidi" w:cstheme="majorBidi"/>
        </w:rPr>
        <w:t xml:space="preserve"> </w:t>
      </w:r>
      <w:r w:rsidRPr="00A45D1D">
        <w:rPr>
          <w:rFonts w:asciiTheme="majorBidi" w:hAnsiTheme="majorBidi" w:cstheme="majorBidi"/>
          <w:i/>
          <w:iCs/>
        </w:rPr>
        <w:t>Norman-Bloodsaw v Lawrence Berkeley Laboratory</w:t>
      </w:r>
      <w:r w:rsidRPr="00A45D1D">
        <w:rPr>
          <w:rFonts w:asciiTheme="majorBidi" w:hAnsiTheme="majorBidi" w:cstheme="majorBidi"/>
        </w:rPr>
        <w:t>, 135 F 3d 1260 (9</w:t>
      </w:r>
      <w:r w:rsidRPr="00A45D1D">
        <w:rPr>
          <w:rFonts w:asciiTheme="majorBidi" w:hAnsiTheme="majorBidi" w:cstheme="majorBidi"/>
          <w:vertAlign w:val="superscript"/>
        </w:rPr>
        <w:t>th</w:t>
      </w:r>
      <w:r w:rsidRPr="00A45D1D">
        <w:rPr>
          <w:rFonts w:asciiTheme="majorBidi" w:hAnsiTheme="majorBidi" w:cstheme="majorBidi"/>
        </w:rPr>
        <w:t xml:space="preserve"> Cir 1998); </w:t>
      </w:r>
      <w:r w:rsidRPr="00A45D1D">
        <w:rPr>
          <w:rFonts w:asciiTheme="majorBidi" w:hAnsiTheme="majorBidi" w:cstheme="majorBidi"/>
          <w:i/>
          <w:iCs/>
        </w:rPr>
        <w:t>Doe v High-Tech Institute, Inc</w:t>
      </w:r>
      <w:r>
        <w:rPr>
          <w:rFonts w:asciiTheme="majorBidi" w:hAnsiTheme="majorBidi" w:cstheme="majorBidi"/>
        </w:rPr>
        <w:t>, 972 P 2d 1060 (1998); might</w:t>
      </w:r>
      <w:r w:rsidRPr="00A45D1D">
        <w:rPr>
          <w:rFonts w:asciiTheme="majorBidi" w:hAnsiTheme="majorBidi" w:cstheme="majorBidi"/>
        </w:rPr>
        <w:t xml:space="preserve"> be an offense under s. 45 of the Human Tissue Act 2004.</w:t>
      </w:r>
      <w:r>
        <w:rPr>
          <w:rFonts w:asciiTheme="majorBidi" w:hAnsiTheme="majorBidi" w:cstheme="majorBidi"/>
          <w:sz w:val="24"/>
          <w:szCs w:val="24"/>
        </w:rPr>
        <w:t xml:space="preserve">   </w:t>
      </w:r>
    </w:p>
  </w:footnote>
  <w:footnote w:id="81">
    <w:p w:rsidR="005A70AA" w:rsidRPr="00946B28" w:rsidRDefault="005A70AA" w:rsidP="00946B28">
      <w:pPr>
        <w:pStyle w:val="FootnoteText"/>
        <w:jc w:val="both"/>
        <w:rPr>
          <w:rFonts w:asciiTheme="majorBidi" w:hAnsiTheme="majorBidi" w:cstheme="majorBidi"/>
        </w:rPr>
      </w:pPr>
      <w:r>
        <w:rPr>
          <w:rStyle w:val="FootnoteReference"/>
        </w:rPr>
        <w:footnoteRef/>
      </w:r>
      <w:r>
        <w:t xml:space="preserve"> </w:t>
      </w:r>
      <w:r w:rsidRPr="00E53133">
        <w:rPr>
          <w:rFonts w:asciiTheme="majorBidi" w:hAnsiTheme="majorBidi" w:cstheme="majorBidi"/>
        </w:rPr>
        <w:t>Mason &amp; Laurie (n3</w:t>
      </w:r>
      <w:r>
        <w:rPr>
          <w:rFonts w:asciiTheme="majorBidi" w:hAnsiTheme="majorBidi" w:cstheme="majorBidi"/>
        </w:rPr>
        <w:t>8</w:t>
      </w:r>
      <w:r w:rsidRPr="00E53133">
        <w:rPr>
          <w:rFonts w:asciiTheme="majorBidi" w:hAnsiTheme="majorBidi" w:cstheme="majorBidi"/>
        </w:rPr>
        <w:t>), at 719.</w:t>
      </w:r>
    </w:p>
  </w:footnote>
  <w:footnote w:id="82">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Strathern</w:t>
      </w:r>
      <w:r>
        <w:rPr>
          <w:rFonts w:asciiTheme="majorBidi" w:hAnsiTheme="majorBidi" w:cstheme="majorBidi"/>
        </w:rPr>
        <w:t xml:space="preserve"> (n49).</w:t>
      </w:r>
    </w:p>
  </w:footnote>
  <w:footnote w:id="83">
    <w:p w:rsidR="005A70AA" w:rsidRPr="000038DA" w:rsidRDefault="005A70AA">
      <w:pPr>
        <w:pStyle w:val="FootnoteText"/>
      </w:pPr>
      <w:r>
        <w:rPr>
          <w:rStyle w:val="FootnoteReference"/>
        </w:rPr>
        <w:footnoteRef/>
      </w:r>
      <w:r>
        <w:t xml:space="preserve"> </w:t>
      </w:r>
      <w:r w:rsidRPr="000038DA">
        <w:rPr>
          <w:rFonts w:asciiTheme="majorBidi" w:hAnsiTheme="majorBidi" w:cstheme="majorBidi"/>
        </w:rPr>
        <w:t xml:space="preserve">Also, </w:t>
      </w:r>
      <w:r w:rsidRPr="000038DA">
        <w:rPr>
          <w:rFonts w:asciiTheme="majorBidi" w:hAnsiTheme="majorBidi" w:cstheme="majorBidi"/>
          <w:i/>
          <w:iCs/>
        </w:rPr>
        <w:t>Green v Commissioner of Internal Revenue</w:t>
      </w:r>
      <w:r w:rsidRPr="000038DA">
        <w:rPr>
          <w:rFonts w:asciiTheme="majorBidi" w:hAnsiTheme="majorBidi" w:cstheme="majorBidi"/>
        </w:rPr>
        <w:t>, 74 T.C. 1229 (US Tax C, 1980).</w:t>
      </w:r>
    </w:p>
  </w:footnote>
  <w:footnote w:id="84">
    <w:p w:rsidR="005A70AA" w:rsidRPr="00521E41" w:rsidRDefault="005A70AA" w:rsidP="008F2281">
      <w:pPr>
        <w:pStyle w:val="FootnoteText"/>
      </w:pPr>
      <w:r>
        <w:rPr>
          <w:rStyle w:val="FootnoteReference"/>
        </w:rPr>
        <w:footnoteRef/>
      </w:r>
      <w:r w:rsidRPr="00521E41">
        <w:t xml:space="preserve"> </w:t>
      </w:r>
      <w:r w:rsidRPr="00521E41">
        <w:rPr>
          <w:rFonts w:asciiTheme="majorBidi" w:hAnsiTheme="majorBidi" w:cstheme="majorBidi"/>
        </w:rPr>
        <w:t>Even when criminal law intervene</w:t>
      </w:r>
      <w:r>
        <w:rPr>
          <w:rFonts w:asciiTheme="majorBidi" w:hAnsiTheme="majorBidi" w:cstheme="majorBidi"/>
        </w:rPr>
        <w:t>d, as in</w:t>
      </w:r>
      <w:r w:rsidRPr="00521E41">
        <w:rPr>
          <w:rFonts w:asciiTheme="majorBidi" w:hAnsiTheme="majorBidi" w:cstheme="majorBidi"/>
        </w:rPr>
        <w:t xml:space="preserve"> </w:t>
      </w:r>
      <w:r w:rsidRPr="000E303D">
        <w:rPr>
          <w:rFonts w:asciiTheme="majorBidi" w:hAnsiTheme="majorBidi" w:cstheme="majorBidi"/>
          <w:i/>
          <w:iCs/>
        </w:rPr>
        <w:t>Kelly</w:t>
      </w:r>
      <w:r w:rsidRPr="00521E41">
        <w:rPr>
          <w:rFonts w:asciiTheme="majorBidi" w:hAnsiTheme="majorBidi" w:cstheme="majorBidi"/>
        </w:rPr>
        <w:t xml:space="preserve"> (n</w:t>
      </w:r>
      <w:r>
        <w:rPr>
          <w:rFonts w:asciiTheme="majorBidi" w:hAnsiTheme="majorBidi" w:cstheme="majorBidi"/>
        </w:rPr>
        <w:t>46</w:t>
      </w:r>
      <w:r w:rsidRPr="00521E41">
        <w:rPr>
          <w:rFonts w:asciiTheme="majorBidi" w:hAnsiTheme="majorBidi" w:cstheme="majorBidi"/>
        </w:rPr>
        <w:t xml:space="preserve">); </w:t>
      </w:r>
      <w:r w:rsidRPr="000E303D">
        <w:rPr>
          <w:rFonts w:asciiTheme="majorBidi" w:hAnsiTheme="majorBidi" w:cstheme="majorBidi"/>
          <w:i/>
          <w:iCs/>
        </w:rPr>
        <w:t>R v Rothery</w:t>
      </w:r>
      <w:r w:rsidRPr="00521E41">
        <w:rPr>
          <w:rFonts w:asciiTheme="majorBidi" w:hAnsiTheme="majorBidi" w:cstheme="majorBidi"/>
        </w:rPr>
        <w:t xml:space="preserve"> [1976] RTR</w:t>
      </w:r>
      <w:r>
        <w:rPr>
          <w:rFonts w:asciiTheme="majorBidi" w:hAnsiTheme="majorBidi" w:cstheme="majorBidi"/>
        </w:rPr>
        <w:t xml:space="preserve"> 550, and </w:t>
      </w:r>
      <w:r w:rsidRPr="000E303D">
        <w:rPr>
          <w:rFonts w:asciiTheme="majorBidi" w:hAnsiTheme="majorBidi" w:cstheme="majorBidi"/>
          <w:i/>
          <w:iCs/>
        </w:rPr>
        <w:t>R v Welsh</w:t>
      </w:r>
      <w:r>
        <w:rPr>
          <w:rFonts w:asciiTheme="majorBidi" w:hAnsiTheme="majorBidi" w:cstheme="majorBidi"/>
        </w:rPr>
        <w:t xml:space="preserve"> [1974] RTR 478, it was unsurprisingly for the benefit of tissue users and institutional entities. Thanks to Professor Jonathan Herring for helpful insights in this section.</w:t>
      </w:r>
    </w:p>
  </w:footnote>
  <w:footnote w:id="85">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70593">
        <w:rPr>
          <w:rFonts w:asciiTheme="majorBidi" w:hAnsiTheme="majorBidi" w:cstheme="majorBidi"/>
          <w:lang w:val="de-DE"/>
        </w:rPr>
        <w:t xml:space="preserve"> </w:t>
      </w:r>
      <w:r w:rsidRPr="00573265">
        <w:rPr>
          <w:rFonts w:asciiTheme="majorBidi" w:hAnsiTheme="majorBidi" w:cstheme="majorBidi"/>
          <w:b/>
          <w:lang w:val="de-DE"/>
        </w:rPr>
        <w:t>Erin C A &amp; Ost S</w:t>
      </w:r>
      <w:r w:rsidRPr="00145E02">
        <w:rPr>
          <w:rFonts w:asciiTheme="majorBidi" w:hAnsiTheme="majorBidi" w:cstheme="majorBidi"/>
          <w:lang w:val="de-DE"/>
        </w:rPr>
        <w:t xml:space="preserve"> (2007)</w:t>
      </w:r>
      <w:r w:rsidRPr="006C4E19">
        <w:rPr>
          <w:rFonts w:asciiTheme="majorBidi" w:hAnsiTheme="majorBidi" w:cstheme="majorBidi"/>
          <w:lang w:val="de-DE"/>
        </w:rPr>
        <w:t xml:space="preserve"> </w:t>
      </w:r>
      <w:r w:rsidRPr="00082300">
        <w:rPr>
          <w:rFonts w:asciiTheme="majorBidi" w:hAnsiTheme="majorBidi" w:cstheme="majorBidi"/>
          <w:i/>
          <w:iCs/>
        </w:rPr>
        <w:t>The Criminal Justice System and Health Care</w:t>
      </w:r>
      <w:r>
        <w:rPr>
          <w:rFonts w:asciiTheme="majorBidi" w:hAnsiTheme="majorBidi" w:cstheme="majorBidi"/>
          <w:i/>
          <w:iCs/>
        </w:rPr>
        <w:t>.</w:t>
      </w:r>
      <w:r w:rsidRPr="00082300">
        <w:rPr>
          <w:rFonts w:asciiTheme="majorBidi" w:hAnsiTheme="majorBidi" w:cstheme="majorBidi"/>
        </w:rPr>
        <w:t xml:space="preserve"> Oxford: Oxford University Press</w:t>
      </w:r>
      <w:r>
        <w:rPr>
          <w:rFonts w:asciiTheme="majorBidi" w:hAnsiTheme="majorBidi" w:cstheme="majorBidi"/>
        </w:rPr>
        <w:t>.</w:t>
      </w:r>
    </w:p>
  </w:footnote>
  <w:footnote w:id="86">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Ost S &amp; Erin C A</w:t>
      </w:r>
      <w:r>
        <w:rPr>
          <w:rFonts w:asciiTheme="majorBidi" w:hAnsiTheme="majorBidi" w:cstheme="majorBidi"/>
          <w:b/>
        </w:rPr>
        <w:t xml:space="preserve"> </w:t>
      </w:r>
      <w:r w:rsidRPr="00145E02">
        <w:rPr>
          <w:rFonts w:asciiTheme="majorBidi" w:hAnsiTheme="majorBidi" w:cstheme="majorBidi"/>
        </w:rPr>
        <w:t>(2007)</w:t>
      </w:r>
      <w:r w:rsidRPr="00082300">
        <w:rPr>
          <w:rFonts w:asciiTheme="majorBidi" w:hAnsiTheme="majorBidi" w:cstheme="majorBidi"/>
        </w:rPr>
        <w:t xml:space="preserve"> </w:t>
      </w:r>
      <w:r>
        <w:rPr>
          <w:rFonts w:asciiTheme="majorBidi" w:hAnsiTheme="majorBidi" w:cstheme="majorBidi"/>
        </w:rPr>
        <w:t>‘</w:t>
      </w:r>
      <w:r w:rsidRPr="00082300">
        <w:rPr>
          <w:rFonts w:asciiTheme="majorBidi" w:hAnsiTheme="majorBidi" w:cstheme="majorBidi"/>
        </w:rPr>
        <w:t>An Ill-Suited and Inappropriate Union? Exploring the Relationship Between the Criminal Justice System</w:t>
      </w:r>
      <w:r>
        <w:rPr>
          <w:rFonts w:asciiTheme="majorBidi" w:hAnsiTheme="majorBidi" w:cstheme="majorBidi"/>
        </w:rPr>
        <w:t xml:space="preserve"> and Health Care’ in Erin &amp; Ost (n84),</w:t>
      </w:r>
      <w:r w:rsidRPr="00082300">
        <w:rPr>
          <w:rFonts w:asciiTheme="majorBidi" w:hAnsiTheme="majorBidi" w:cstheme="majorBidi"/>
        </w:rPr>
        <w:t xml:space="preserve"> 1-14.</w:t>
      </w:r>
    </w:p>
  </w:footnote>
  <w:footnote w:id="87">
    <w:p w:rsidR="005A70AA" w:rsidRPr="00082300" w:rsidRDefault="005A70AA" w:rsidP="00360803">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Ashworth A</w:t>
      </w:r>
      <w:r>
        <w:rPr>
          <w:rFonts w:asciiTheme="majorBidi" w:hAnsiTheme="majorBidi" w:cstheme="majorBidi"/>
        </w:rPr>
        <w:t xml:space="preserve"> (1996)</w:t>
      </w:r>
      <w:r w:rsidRPr="00082300">
        <w:rPr>
          <w:rFonts w:asciiTheme="majorBidi" w:hAnsiTheme="majorBidi" w:cstheme="majorBidi"/>
        </w:rPr>
        <w:t xml:space="preserve"> ‘Criminal Liability in a Medical Context: The Treatment of Good Intentions’ in A</w:t>
      </w:r>
      <w:r>
        <w:rPr>
          <w:rFonts w:asciiTheme="majorBidi" w:hAnsiTheme="majorBidi" w:cstheme="majorBidi"/>
        </w:rPr>
        <w:t xml:space="preserve"> </w:t>
      </w:r>
      <w:r w:rsidRPr="00082300">
        <w:rPr>
          <w:rFonts w:asciiTheme="majorBidi" w:hAnsiTheme="majorBidi" w:cstheme="majorBidi"/>
        </w:rPr>
        <w:t>P Simester &amp; A</w:t>
      </w:r>
      <w:r>
        <w:rPr>
          <w:rFonts w:asciiTheme="majorBidi" w:hAnsiTheme="majorBidi" w:cstheme="majorBidi"/>
        </w:rPr>
        <w:t xml:space="preserve"> </w:t>
      </w:r>
      <w:r w:rsidRPr="00082300">
        <w:rPr>
          <w:rFonts w:asciiTheme="majorBidi" w:hAnsiTheme="majorBidi" w:cstheme="majorBidi"/>
        </w:rPr>
        <w:t>T</w:t>
      </w:r>
      <w:r>
        <w:rPr>
          <w:rFonts w:asciiTheme="majorBidi" w:hAnsiTheme="majorBidi" w:cstheme="majorBidi"/>
        </w:rPr>
        <w:t xml:space="preserve"> </w:t>
      </w:r>
      <w:r w:rsidRPr="00082300">
        <w:rPr>
          <w:rFonts w:asciiTheme="majorBidi" w:hAnsiTheme="majorBidi" w:cstheme="majorBidi"/>
        </w:rPr>
        <w:t xml:space="preserve">H Smith </w:t>
      </w:r>
      <w:r>
        <w:rPr>
          <w:rFonts w:asciiTheme="majorBidi" w:hAnsiTheme="majorBidi" w:cstheme="majorBidi"/>
        </w:rPr>
        <w:t>(</w:t>
      </w:r>
      <w:r w:rsidRPr="00082300">
        <w:rPr>
          <w:rFonts w:asciiTheme="majorBidi" w:hAnsiTheme="majorBidi" w:cstheme="majorBidi"/>
        </w:rPr>
        <w:t>eds</w:t>
      </w:r>
      <w:r>
        <w:rPr>
          <w:rFonts w:asciiTheme="majorBidi" w:hAnsiTheme="majorBidi" w:cstheme="majorBidi"/>
        </w:rPr>
        <w:t>)</w:t>
      </w:r>
      <w:r w:rsidRPr="00082300">
        <w:rPr>
          <w:rFonts w:asciiTheme="majorBidi" w:hAnsiTheme="majorBidi" w:cstheme="majorBidi"/>
        </w:rPr>
        <w:t xml:space="preserve"> </w:t>
      </w:r>
      <w:r w:rsidRPr="00082300">
        <w:rPr>
          <w:rFonts w:asciiTheme="majorBidi" w:hAnsiTheme="majorBidi" w:cstheme="majorBidi"/>
          <w:i/>
          <w:iCs/>
        </w:rPr>
        <w:t>Harm and Culpability</w:t>
      </w:r>
      <w:r>
        <w:rPr>
          <w:rFonts w:asciiTheme="majorBidi" w:hAnsiTheme="majorBidi" w:cstheme="majorBidi"/>
          <w:i/>
          <w:iCs/>
        </w:rPr>
        <w:t>.</w:t>
      </w:r>
      <w:r w:rsidRPr="00082300">
        <w:rPr>
          <w:rFonts w:asciiTheme="majorBidi" w:hAnsiTheme="majorBidi" w:cstheme="majorBidi"/>
        </w:rPr>
        <w:t xml:space="preserve"> Oxford: Clarendon Press, 192.</w:t>
      </w:r>
    </w:p>
  </w:footnote>
  <w:footnote w:id="88">
    <w:p w:rsidR="005A70AA" w:rsidRPr="00007A20" w:rsidRDefault="005A70AA" w:rsidP="00007A20">
      <w:pPr>
        <w:pStyle w:val="FootnoteText"/>
        <w:jc w:val="both"/>
        <w:rPr>
          <w:rFonts w:asciiTheme="majorBidi" w:hAnsiTheme="majorBidi" w:cstheme="majorBidi"/>
          <w:lang w:val="de-DE"/>
        </w:rPr>
      </w:pPr>
      <w:r w:rsidRPr="00082300">
        <w:rPr>
          <w:rStyle w:val="FootnoteReference"/>
          <w:rFonts w:asciiTheme="majorBidi" w:hAnsiTheme="majorBidi" w:cstheme="majorBidi"/>
        </w:rPr>
        <w:footnoteRef/>
      </w:r>
      <w:r w:rsidRPr="00573265">
        <w:rPr>
          <w:rFonts w:asciiTheme="majorBidi" w:hAnsiTheme="majorBidi" w:cstheme="majorBidi"/>
          <w:b/>
          <w:lang w:val="de-DE"/>
        </w:rPr>
        <w:t>Brazier M &amp;Allen N</w:t>
      </w:r>
      <w:r>
        <w:rPr>
          <w:rFonts w:asciiTheme="majorBidi" w:hAnsiTheme="majorBidi" w:cstheme="majorBidi"/>
          <w:lang w:val="de-DE"/>
        </w:rPr>
        <w:t xml:space="preserve"> (2007)</w:t>
      </w:r>
      <w:r w:rsidRPr="00007A20">
        <w:rPr>
          <w:rFonts w:asciiTheme="majorBidi" w:hAnsiTheme="majorBidi" w:cstheme="majorBidi"/>
          <w:lang w:val="de-DE"/>
        </w:rPr>
        <w:t xml:space="preserve"> ‘Criminalizing Medical Malpractice’ in Erin &amp; Ost (n</w:t>
      </w:r>
      <w:r>
        <w:rPr>
          <w:rFonts w:asciiTheme="majorBidi" w:hAnsiTheme="majorBidi" w:cstheme="majorBidi"/>
          <w:lang w:val="de-DE"/>
        </w:rPr>
        <w:t>84</w:t>
      </w:r>
      <w:r w:rsidRPr="00007A20">
        <w:rPr>
          <w:rFonts w:asciiTheme="majorBidi" w:hAnsiTheme="majorBidi" w:cstheme="majorBidi"/>
          <w:lang w:val="de-DE"/>
        </w:rPr>
        <w:t>), 16, 26.</w:t>
      </w:r>
    </w:p>
  </w:footnote>
  <w:footnote w:id="89">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Davies M and Naffine N</w:t>
      </w:r>
      <w:r>
        <w:rPr>
          <w:rFonts w:asciiTheme="majorBidi" w:hAnsiTheme="majorBidi" w:cstheme="majorBidi"/>
        </w:rPr>
        <w:t xml:space="preserve"> (2001)</w:t>
      </w:r>
      <w:r w:rsidRPr="00082300">
        <w:rPr>
          <w:rFonts w:asciiTheme="majorBidi" w:hAnsiTheme="majorBidi" w:cstheme="majorBidi"/>
        </w:rPr>
        <w:t xml:space="preserve"> </w:t>
      </w:r>
      <w:r w:rsidRPr="00AB1BF2">
        <w:rPr>
          <w:rFonts w:asciiTheme="majorBidi" w:hAnsiTheme="majorBidi" w:cstheme="majorBidi"/>
          <w:i/>
          <w:iCs/>
        </w:rPr>
        <w:t>Are Persons Property? Legal Debates About Property and Personality</w:t>
      </w:r>
      <w:r>
        <w:rPr>
          <w:rFonts w:asciiTheme="majorBidi" w:hAnsiTheme="majorBidi" w:cstheme="majorBidi"/>
          <w:i/>
          <w:iCs/>
        </w:rPr>
        <w:t>.</w:t>
      </w:r>
      <w:r w:rsidRPr="00082300">
        <w:rPr>
          <w:rFonts w:asciiTheme="majorBidi" w:hAnsiTheme="majorBidi" w:cstheme="majorBidi"/>
        </w:rPr>
        <w:t xml:space="preserve"> Aldershot: Ashgate</w:t>
      </w:r>
      <w:r w:rsidR="006C4E19">
        <w:rPr>
          <w:rFonts w:asciiTheme="majorBidi" w:hAnsiTheme="majorBidi" w:cstheme="majorBidi"/>
        </w:rPr>
        <w:t xml:space="preserve"> Publishing Ltd</w:t>
      </w:r>
      <w:r>
        <w:rPr>
          <w:rFonts w:asciiTheme="majorBidi" w:hAnsiTheme="majorBidi" w:cstheme="majorBidi"/>
        </w:rPr>
        <w:t>.</w:t>
      </w:r>
    </w:p>
  </w:footnote>
  <w:footnote w:id="90">
    <w:p w:rsidR="005A70AA" w:rsidRPr="00082300" w:rsidRDefault="005A70AA" w:rsidP="00007A20">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Allen N</w:t>
      </w:r>
      <w:r>
        <w:rPr>
          <w:rFonts w:asciiTheme="majorBidi" w:hAnsiTheme="majorBidi" w:cstheme="majorBidi"/>
        </w:rPr>
        <w:t xml:space="preserve"> (2007)</w:t>
      </w:r>
      <w:r w:rsidRPr="00082300">
        <w:rPr>
          <w:rFonts w:asciiTheme="majorBidi" w:hAnsiTheme="majorBidi" w:cstheme="majorBidi"/>
        </w:rPr>
        <w:t xml:space="preserve"> ‘Medical or Managerial Manslaughter?’ in Erin &amp; Ost</w:t>
      </w:r>
      <w:r>
        <w:rPr>
          <w:rFonts w:asciiTheme="majorBidi" w:hAnsiTheme="majorBidi" w:cstheme="majorBidi"/>
        </w:rPr>
        <w:t xml:space="preserve"> (n84),</w:t>
      </w:r>
      <w:r w:rsidRPr="00082300">
        <w:rPr>
          <w:rFonts w:asciiTheme="majorBidi" w:hAnsiTheme="majorBidi" w:cstheme="majorBidi"/>
        </w:rPr>
        <w:t xml:space="preserve"> 52.</w:t>
      </w:r>
    </w:p>
  </w:footnote>
  <w:footnote w:id="91">
    <w:p w:rsidR="005A70AA" w:rsidRDefault="005A70AA" w:rsidP="00007A20">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Montgomery J</w:t>
      </w:r>
      <w:r>
        <w:rPr>
          <w:rFonts w:asciiTheme="majorBidi" w:hAnsiTheme="majorBidi" w:cstheme="majorBidi"/>
        </w:rPr>
        <w:t xml:space="preserve"> (2007)</w:t>
      </w:r>
      <w:r w:rsidRPr="00082300">
        <w:rPr>
          <w:rFonts w:asciiTheme="majorBidi" w:hAnsiTheme="majorBidi" w:cstheme="majorBidi"/>
        </w:rPr>
        <w:t xml:space="preserve"> ‘Medicalizing Crime – Criminalising Health? The Role of Law’ in Erin &amp; Ost</w:t>
      </w:r>
      <w:r>
        <w:rPr>
          <w:rFonts w:asciiTheme="majorBidi" w:hAnsiTheme="majorBidi" w:cstheme="majorBidi"/>
        </w:rPr>
        <w:t xml:space="preserve"> (n84)</w:t>
      </w:r>
      <w:r w:rsidRPr="00082300">
        <w:rPr>
          <w:rFonts w:asciiTheme="majorBidi" w:hAnsiTheme="majorBidi" w:cstheme="majorBidi"/>
        </w:rPr>
        <w:t>,</w:t>
      </w:r>
    </w:p>
    <w:p w:rsidR="005A70AA" w:rsidRDefault="005A70AA" w:rsidP="00007A20">
      <w:pPr>
        <w:pStyle w:val="FootnoteText"/>
        <w:jc w:val="both"/>
        <w:rPr>
          <w:rFonts w:asciiTheme="majorBidi" w:hAnsiTheme="majorBidi" w:cstheme="majorBidi"/>
        </w:rPr>
      </w:pPr>
      <w:r w:rsidRPr="00082300">
        <w:rPr>
          <w:rFonts w:asciiTheme="majorBidi" w:hAnsiTheme="majorBidi" w:cstheme="majorBidi"/>
        </w:rPr>
        <w:t>262-263;</w:t>
      </w:r>
      <w:r w:rsidR="00053981">
        <w:rPr>
          <w:rFonts w:asciiTheme="majorBidi" w:hAnsiTheme="majorBidi" w:cstheme="majorBidi"/>
        </w:rPr>
        <w:t xml:space="preserve"> </w:t>
      </w:r>
      <w:r w:rsidRPr="00573265">
        <w:rPr>
          <w:rFonts w:asciiTheme="majorBidi" w:hAnsiTheme="majorBidi" w:cstheme="majorBidi"/>
          <w:b/>
        </w:rPr>
        <w:t>Merry A F</w:t>
      </w:r>
      <w:r>
        <w:rPr>
          <w:rFonts w:asciiTheme="majorBidi" w:hAnsiTheme="majorBidi" w:cstheme="majorBidi"/>
        </w:rPr>
        <w:t xml:space="preserve"> (2007)</w:t>
      </w:r>
      <w:r w:rsidRPr="00082300">
        <w:rPr>
          <w:rFonts w:asciiTheme="majorBidi" w:hAnsiTheme="majorBidi" w:cstheme="majorBidi"/>
        </w:rPr>
        <w:t xml:space="preserve"> ‘When Are Errors a Crime? – Lessons from New Zealand’ in Erin &amp; Ost</w:t>
      </w:r>
      <w:r>
        <w:rPr>
          <w:rFonts w:asciiTheme="majorBidi" w:hAnsiTheme="majorBidi" w:cstheme="majorBidi"/>
        </w:rPr>
        <w:t xml:space="preserve"> (n834</w:t>
      </w:r>
      <w:r w:rsidRPr="00082300">
        <w:rPr>
          <w:rFonts w:asciiTheme="majorBidi" w:hAnsiTheme="majorBidi" w:cstheme="majorBidi"/>
        </w:rPr>
        <w:t xml:space="preserve">, </w:t>
      </w:r>
    </w:p>
    <w:p w:rsidR="005A70AA" w:rsidRPr="00082300" w:rsidRDefault="005A70AA" w:rsidP="00722644">
      <w:pPr>
        <w:pStyle w:val="FootnoteText"/>
        <w:jc w:val="both"/>
        <w:rPr>
          <w:rFonts w:asciiTheme="majorBidi" w:hAnsiTheme="majorBidi" w:cstheme="majorBidi"/>
        </w:rPr>
      </w:pPr>
      <w:r w:rsidRPr="00082300">
        <w:rPr>
          <w:rFonts w:asciiTheme="majorBidi" w:hAnsiTheme="majorBidi" w:cstheme="majorBidi"/>
        </w:rPr>
        <w:t>68-69, 96.</w:t>
      </w:r>
    </w:p>
  </w:footnote>
  <w:footnote w:id="92">
    <w:p w:rsidR="005A70AA" w:rsidRPr="00082300" w:rsidRDefault="005A70AA" w:rsidP="00004E53">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Spencer J R</w:t>
      </w:r>
      <w:r>
        <w:rPr>
          <w:rFonts w:asciiTheme="majorBidi" w:hAnsiTheme="majorBidi" w:cstheme="majorBidi"/>
        </w:rPr>
        <w:t xml:space="preserve"> (2004).</w:t>
      </w:r>
      <w:r w:rsidRPr="00082300">
        <w:rPr>
          <w:rFonts w:asciiTheme="majorBidi" w:hAnsiTheme="majorBidi" w:cstheme="majorBidi"/>
        </w:rPr>
        <w:t xml:space="preserve"> Criminal Liability for the Desecration of a Corpse</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Archbold News</w:t>
      </w:r>
      <w:r>
        <w:rPr>
          <w:rFonts w:asciiTheme="majorBidi" w:hAnsiTheme="majorBidi" w:cstheme="majorBidi"/>
        </w:rPr>
        <w:t xml:space="preserve"> </w:t>
      </w:r>
      <w:r w:rsidRPr="00573265">
        <w:rPr>
          <w:rFonts w:asciiTheme="majorBidi" w:hAnsiTheme="majorBidi" w:cstheme="majorBidi"/>
          <w:b/>
        </w:rPr>
        <w:t>6,</w:t>
      </w:r>
      <w:r w:rsidRPr="00082300">
        <w:rPr>
          <w:rFonts w:asciiTheme="majorBidi" w:hAnsiTheme="majorBidi" w:cstheme="majorBidi"/>
        </w:rPr>
        <w:t xml:space="preserve"> 7.</w:t>
      </w:r>
    </w:p>
  </w:footnote>
  <w:footnote w:id="93">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Herring J</w:t>
      </w:r>
      <w:r>
        <w:rPr>
          <w:rFonts w:asciiTheme="majorBidi" w:hAnsiTheme="majorBidi" w:cstheme="majorBidi"/>
        </w:rPr>
        <w:t xml:space="preserve"> (2007)</w:t>
      </w:r>
      <w:r w:rsidRPr="00082300">
        <w:rPr>
          <w:rFonts w:asciiTheme="majorBidi" w:hAnsiTheme="majorBidi" w:cstheme="majorBidi"/>
        </w:rPr>
        <w:t xml:space="preserve">, ‘Crimes Against the Dead’ in B Brooks-Gordon et al. (eds) </w:t>
      </w:r>
      <w:r w:rsidRPr="00082300">
        <w:rPr>
          <w:rFonts w:asciiTheme="majorBidi" w:hAnsiTheme="majorBidi" w:cstheme="majorBidi"/>
          <w:i/>
          <w:iCs/>
        </w:rPr>
        <w:t>Death Rites and Rights</w:t>
      </w:r>
      <w:r w:rsidRPr="00082300">
        <w:rPr>
          <w:rFonts w:asciiTheme="majorBidi" w:hAnsiTheme="majorBidi" w:cstheme="majorBidi"/>
        </w:rPr>
        <w:t xml:space="preserve"> Oxford: Hart Publishing, 219.</w:t>
      </w:r>
    </w:p>
  </w:footnote>
  <w:footnote w:id="94">
    <w:p w:rsidR="005A70AA" w:rsidRPr="0022127F" w:rsidRDefault="005A70AA" w:rsidP="00D04405">
      <w:pPr>
        <w:jc w:val="both"/>
        <w:rPr>
          <w:rFonts w:ascii="Times New Roman" w:hAnsi="Times New Roman" w:cs="Times New Roman"/>
        </w:rPr>
      </w:pPr>
      <w:r>
        <w:rPr>
          <w:rStyle w:val="FootnoteReference"/>
        </w:rPr>
        <w:footnoteRef/>
      </w:r>
      <w:r>
        <w:t xml:space="preserve"> </w:t>
      </w:r>
      <w:r w:rsidRPr="0022127F">
        <w:rPr>
          <w:rFonts w:ascii="Times New Roman" w:hAnsi="Times New Roman" w:cs="Times New Roman"/>
          <w:i/>
          <w:iCs/>
          <w:sz w:val="20"/>
          <w:szCs w:val="20"/>
        </w:rPr>
        <w:t>R v Lynn</w:t>
      </w:r>
      <w:r w:rsidRPr="0022127F">
        <w:rPr>
          <w:rFonts w:ascii="Times New Roman" w:hAnsi="Times New Roman" w:cs="Times New Roman"/>
          <w:sz w:val="20"/>
          <w:szCs w:val="20"/>
        </w:rPr>
        <w:t xml:space="preserve"> [1788] 2 T.R. 732</w:t>
      </w:r>
      <w:r w:rsidRPr="0022127F">
        <w:rPr>
          <w:rFonts w:ascii="Times New Roman" w:hAnsi="Times New Roman" w:cs="Times New Roman"/>
        </w:rPr>
        <w:t>;</w:t>
      </w:r>
      <w:r w:rsidRPr="0022127F">
        <w:rPr>
          <w:rFonts w:ascii="Times New Roman" w:hAnsi="Times New Roman" w:cs="Times New Roman"/>
          <w:sz w:val="20"/>
          <w:szCs w:val="20"/>
        </w:rPr>
        <w:t xml:space="preserve"> </w:t>
      </w:r>
      <w:r w:rsidRPr="0022127F">
        <w:rPr>
          <w:rFonts w:ascii="Times New Roman" w:hAnsi="Times New Roman" w:cs="Times New Roman"/>
          <w:i/>
          <w:iCs/>
          <w:sz w:val="20"/>
          <w:szCs w:val="20"/>
        </w:rPr>
        <w:t xml:space="preserve">R v Cundick </w:t>
      </w:r>
      <w:r w:rsidRPr="0022127F">
        <w:rPr>
          <w:rFonts w:ascii="Times New Roman" w:hAnsi="Times New Roman" w:cs="Times New Roman"/>
          <w:sz w:val="20"/>
          <w:szCs w:val="20"/>
        </w:rPr>
        <w:t>[1822] ER 900</w:t>
      </w:r>
      <w:r>
        <w:rPr>
          <w:rFonts w:ascii="Times New Roman" w:hAnsi="Times New Roman" w:cs="Times New Roman"/>
          <w:sz w:val="20"/>
          <w:szCs w:val="20"/>
        </w:rPr>
        <w:t>.</w:t>
      </w:r>
    </w:p>
  </w:footnote>
  <w:footnote w:id="95">
    <w:p w:rsidR="005A70AA" w:rsidRPr="0033280D" w:rsidRDefault="005A70AA" w:rsidP="006F09FC">
      <w:pPr>
        <w:pStyle w:val="FootnoteText"/>
        <w:jc w:val="both"/>
        <w:rPr>
          <w:rFonts w:asciiTheme="majorBidi" w:hAnsiTheme="majorBidi" w:cstheme="majorBidi"/>
          <w:lang w:val="de-DE"/>
        </w:rPr>
      </w:pPr>
      <w:r w:rsidRPr="00082300">
        <w:rPr>
          <w:rStyle w:val="FootnoteReference"/>
          <w:rFonts w:asciiTheme="majorBidi" w:hAnsiTheme="majorBidi" w:cstheme="majorBidi"/>
        </w:rPr>
        <w:footnoteRef/>
      </w:r>
      <w:r w:rsidRPr="0033280D">
        <w:rPr>
          <w:rFonts w:asciiTheme="majorBidi" w:hAnsiTheme="majorBidi" w:cstheme="majorBidi"/>
          <w:lang w:val="de-DE"/>
        </w:rPr>
        <w:t xml:space="preserve"> </w:t>
      </w:r>
      <w:r w:rsidRPr="0033280D">
        <w:rPr>
          <w:rFonts w:asciiTheme="majorBidi" w:hAnsiTheme="majorBidi" w:cstheme="majorBidi"/>
          <w:i/>
          <w:iCs/>
          <w:lang w:val="de-DE"/>
        </w:rPr>
        <w:t>Gilbert v Buzzard</w:t>
      </w:r>
      <w:r w:rsidRPr="0033280D">
        <w:rPr>
          <w:rFonts w:asciiTheme="majorBidi" w:hAnsiTheme="majorBidi" w:cstheme="majorBidi"/>
          <w:lang w:val="de-DE"/>
        </w:rPr>
        <w:t xml:space="preserve"> [1820] 2 HAG. CON. 333.</w:t>
      </w:r>
      <w:r>
        <w:rPr>
          <w:rFonts w:asciiTheme="majorBidi" w:hAnsiTheme="majorBidi" w:cstheme="majorBidi"/>
          <w:lang w:val="de-DE"/>
        </w:rPr>
        <w:t xml:space="preserve"> Interestingly, the no-property rule highlighted above grew out of cases involving body-snatching even though its basis is somewhat unclear. Many thanks to one of the reviewers for bringing this to my attention.</w:t>
      </w:r>
    </w:p>
  </w:footnote>
  <w:footnote w:id="96">
    <w:p w:rsidR="005A70AA" w:rsidRPr="00082300" w:rsidRDefault="005A70AA" w:rsidP="00007A20">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93640D">
        <w:rPr>
          <w:rFonts w:asciiTheme="majorBidi" w:hAnsiTheme="majorBidi" w:cstheme="majorBidi"/>
          <w:i/>
          <w:iCs/>
        </w:rPr>
        <w:t>Lynn</w:t>
      </w:r>
      <w:r>
        <w:rPr>
          <w:rFonts w:asciiTheme="majorBidi" w:hAnsiTheme="majorBidi" w:cstheme="majorBidi"/>
        </w:rPr>
        <w:t xml:space="preserve"> (n93)</w:t>
      </w:r>
      <w:r w:rsidRPr="00082300">
        <w:rPr>
          <w:rFonts w:asciiTheme="majorBidi" w:hAnsiTheme="majorBidi" w:cstheme="majorBidi"/>
        </w:rPr>
        <w:t>, 734.</w:t>
      </w:r>
    </w:p>
  </w:footnote>
  <w:footnote w:id="97">
    <w:p w:rsidR="005A70AA" w:rsidRDefault="005A70AA">
      <w:pPr>
        <w:pStyle w:val="FootnoteText"/>
      </w:pPr>
      <w:r>
        <w:rPr>
          <w:rStyle w:val="FootnoteReference"/>
        </w:rPr>
        <w:footnoteRef/>
      </w:r>
      <w:r>
        <w:t xml:space="preserve"> A</w:t>
      </w:r>
      <w:r w:rsidRPr="00277E55">
        <w:rPr>
          <w:rFonts w:asciiTheme="majorBidi" w:hAnsiTheme="majorBidi" w:cstheme="majorBidi"/>
        </w:rPr>
        <w:t xml:space="preserve"> group of medical students, who were body-snatchers, had attempted to steal a body from the cemetery; they were caught, prosecuted and fined.</w:t>
      </w:r>
    </w:p>
  </w:footnote>
  <w:footnote w:id="98">
    <w:p w:rsidR="005A70AA" w:rsidRPr="00277E55" w:rsidRDefault="005A70AA" w:rsidP="00277E55">
      <w:pPr>
        <w:pStyle w:val="FootnoteText"/>
        <w:jc w:val="both"/>
        <w:rPr>
          <w:rFonts w:asciiTheme="majorBidi" w:hAnsiTheme="majorBidi" w:cstheme="majorBidi"/>
        </w:rPr>
      </w:pPr>
      <w:r>
        <w:rPr>
          <w:rStyle w:val="FootnoteReference"/>
        </w:rPr>
        <w:footnoteRef/>
      </w:r>
      <w:r>
        <w:t xml:space="preserve"> </w:t>
      </w:r>
      <w:r w:rsidRPr="00573265">
        <w:rPr>
          <w:rFonts w:asciiTheme="majorBidi" w:hAnsiTheme="majorBidi" w:cstheme="majorBidi"/>
          <w:b/>
        </w:rPr>
        <w:t>MacGillivary R</w:t>
      </w:r>
      <w:r>
        <w:rPr>
          <w:rFonts w:asciiTheme="majorBidi" w:hAnsiTheme="majorBidi" w:cstheme="majorBidi"/>
        </w:rPr>
        <w:t xml:space="preserve"> (1988)</w:t>
      </w:r>
      <w:r w:rsidRPr="00277E55">
        <w:rPr>
          <w:rFonts w:asciiTheme="majorBidi" w:hAnsiTheme="majorBidi" w:cstheme="majorBidi"/>
        </w:rPr>
        <w:t xml:space="preserve"> Body-Snatching in Ontario</w:t>
      </w:r>
      <w:r w:rsidR="00834F17">
        <w:rPr>
          <w:rFonts w:asciiTheme="majorBidi" w:hAnsiTheme="majorBidi" w:cstheme="majorBidi"/>
        </w:rPr>
        <w:t>.</w:t>
      </w:r>
      <w:r w:rsidR="00053981">
        <w:rPr>
          <w:rFonts w:asciiTheme="majorBidi" w:hAnsiTheme="majorBidi" w:cstheme="majorBidi"/>
        </w:rPr>
        <w:t xml:space="preserve"> </w:t>
      </w:r>
      <w:r w:rsidRPr="00573265">
        <w:rPr>
          <w:rFonts w:asciiTheme="majorBidi" w:hAnsiTheme="majorBidi" w:cstheme="majorBidi"/>
          <w:i/>
        </w:rPr>
        <w:t>C</w:t>
      </w:r>
      <w:r w:rsidR="00834F17" w:rsidRPr="00573265">
        <w:rPr>
          <w:rFonts w:asciiTheme="majorBidi" w:hAnsiTheme="majorBidi" w:cstheme="majorBidi"/>
          <w:i/>
        </w:rPr>
        <w:t xml:space="preserve">anadian </w:t>
      </w:r>
      <w:r w:rsidRPr="00573265">
        <w:rPr>
          <w:rFonts w:asciiTheme="majorBidi" w:hAnsiTheme="majorBidi" w:cstheme="majorBidi"/>
          <w:i/>
        </w:rPr>
        <w:t>B</w:t>
      </w:r>
      <w:r w:rsidR="00834F17" w:rsidRPr="00573265">
        <w:rPr>
          <w:rFonts w:asciiTheme="majorBidi" w:hAnsiTheme="majorBidi" w:cstheme="majorBidi"/>
          <w:i/>
        </w:rPr>
        <w:t xml:space="preserve">ulletin of </w:t>
      </w:r>
      <w:r w:rsidRPr="00573265">
        <w:rPr>
          <w:rFonts w:asciiTheme="majorBidi" w:hAnsiTheme="majorBidi" w:cstheme="majorBidi"/>
          <w:i/>
        </w:rPr>
        <w:t>M</w:t>
      </w:r>
      <w:r w:rsidR="00834F17" w:rsidRPr="00573265">
        <w:rPr>
          <w:rFonts w:asciiTheme="majorBidi" w:hAnsiTheme="majorBidi" w:cstheme="majorBidi"/>
          <w:i/>
        </w:rPr>
        <w:t xml:space="preserve">edical </w:t>
      </w:r>
      <w:r w:rsidRPr="00573265">
        <w:rPr>
          <w:rFonts w:asciiTheme="majorBidi" w:hAnsiTheme="majorBidi" w:cstheme="majorBidi"/>
          <w:i/>
        </w:rPr>
        <w:t>H</w:t>
      </w:r>
      <w:r w:rsidR="00834F17" w:rsidRPr="00573265">
        <w:rPr>
          <w:rFonts w:asciiTheme="majorBidi" w:hAnsiTheme="majorBidi" w:cstheme="majorBidi"/>
          <w:i/>
        </w:rPr>
        <w:t>istory</w:t>
      </w:r>
      <w:r w:rsidR="00834F17">
        <w:rPr>
          <w:rFonts w:asciiTheme="majorBidi" w:hAnsiTheme="majorBidi" w:cstheme="majorBidi"/>
        </w:rPr>
        <w:t xml:space="preserve"> </w:t>
      </w:r>
      <w:r w:rsidR="00834F17" w:rsidRPr="00573265">
        <w:rPr>
          <w:rFonts w:asciiTheme="majorBidi" w:hAnsiTheme="majorBidi" w:cstheme="majorBidi"/>
          <w:b/>
        </w:rPr>
        <w:t>5,</w:t>
      </w:r>
      <w:r w:rsidRPr="00277E55">
        <w:rPr>
          <w:rFonts w:asciiTheme="majorBidi" w:hAnsiTheme="majorBidi" w:cstheme="majorBidi"/>
        </w:rPr>
        <w:t xml:space="preserve"> 51 at 58: ‘this prosecution may have been a collusive action between the magistrate and the culprit for the purpose of placating an understandably aroused public’. </w:t>
      </w:r>
    </w:p>
  </w:footnote>
  <w:footnote w:id="99">
    <w:p w:rsidR="005A70AA"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Drimmer</w:t>
      </w:r>
      <w:r w:rsidR="00834F17" w:rsidRPr="00573265">
        <w:rPr>
          <w:rFonts w:asciiTheme="majorBidi" w:hAnsiTheme="majorBidi" w:cstheme="majorBidi"/>
          <w:b/>
        </w:rPr>
        <w:t xml:space="preserve"> F</w:t>
      </w:r>
      <w:r w:rsidR="00834F17">
        <w:rPr>
          <w:rFonts w:asciiTheme="majorBidi" w:hAnsiTheme="majorBidi" w:cstheme="majorBidi"/>
          <w:b/>
        </w:rPr>
        <w:t xml:space="preserve"> (1981)</w:t>
      </w:r>
      <w:r w:rsidRPr="00082300">
        <w:rPr>
          <w:rFonts w:asciiTheme="majorBidi" w:hAnsiTheme="majorBidi" w:cstheme="majorBidi"/>
        </w:rPr>
        <w:t xml:space="preserve"> </w:t>
      </w:r>
      <w:r w:rsidRPr="00082300">
        <w:rPr>
          <w:rFonts w:asciiTheme="majorBidi" w:hAnsiTheme="majorBidi" w:cstheme="majorBidi"/>
          <w:i/>
          <w:iCs/>
        </w:rPr>
        <w:t>The Body Snatchers: stiffs and other Ghoulish Delights</w:t>
      </w:r>
      <w:r w:rsidR="00834F17">
        <w:rPr>
          <w:rFonts w:asciiTheme="majorBidi" w:hAnsiTheme="majorBidi" w:cstheme="majorBidi"/>
          <w:i/>
          <w:iCs/>
        </w:rPr>
        <w:t>.</w:t>
      </w:r>
      <w:r w:rsidRPr="00082300">
        <w:rPr>
          <w:rFonts w:asciiTheme="majorBidi" w:hAnsiTheme="majorBidi" w:cstheme="majorBidi"/>
        </w:rPr>
        <w:t xml:space="preserve"> New York: Citadel Press, </w:t>
      </w:r>
    </w:p>
    <w:p w:rsidR="005A70AA" w:rsidRPr="00082300" w:rsidRDefault="005A70AA" w:rsidP="006F09FC">
      <w:pPr>
        <w:pStyle w:val="FootnoteText"/>
        <w:jc w:val="both"/>
        <w:rPr>
          <w:rFonts w:asciiTheme="majorBidi" w:hAnsiTheme="majorBidi" w:cstheme="majorBidi"/>
        </w:rPr>
      </w:pPr>
      <w:r w:rsidRPr="00082300">
        <w:rPr>
          <w:rFonts w:asciiTheme="majorBidi" w:hAnsiTheme="majorBidi" w:cstheme="majorBidi"/>
        </w:rPr>
        <w:t>29-31.</w:t>
      </w:r>
    </w:p>
  </w:footnote>
  <w:footnote w:id="100">
    <w:p w:rsidR="005A70AA" w:rsidRPr="00082300" w:rsidRDefault="005A70AA" w:rsidP="00DC6908">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Richardson</w:t>
      </w:r>
      <w:r w:rsidR="00AF1AE2" w:rsidRPr="00573265">
        <w:rPr>
          <w:rFonts w:asciiTheme="majorBidi" w:hAnsiTheme="majorBidi" w:cstheme="majorBidi"/>
          <w:b/>
        </w:rPr>
        <w:t xml:space="preserve"> R</w:t>
      </w:r>
      <w:r w:rsidR="00AF1AE2">
        <w:rPr>
          <w:rFonts w:asciiTheme="majorBidi" w:hAnsiTheme="majorBidi" w:cstheme="majorBidi"/>
        </w:rPr>
        <w:t xml:space="preserve"> (1988)</w:t>
      </w:r>
      <w:r>
        <w:rPr>
          <w:rFonts w:asciiTheme="majorBidi" w:hAnsiTheme="majorBidi" w:cstheme="majorBidi"/>
        </w:rPr>
        <w:t xml:space="preserve"> </w:t>
      </w:r>
      <w:r w:rsidRPr="00DC6908">
        <w:rPr>
          <w:rFonts w:asciiTheme="majorBidi" w:hAnsiTheme="majorBidi" w:cstheme="majorBidi"/>
          <w:i/>
          <w:iCs/>
        </w:rPr>
        <w:t>Death, Dissection and the Destitute</w:t>
      </w:r>
      <w:r w:rsidR="00AF1AE2">
        <w:rPr>
          <w:rFonts w:asciiTheme="majorBidi" w:hAnsiTheme="majorBidi" w:cstheme="majorBidi"/>
          <w:i/>
          <w:iCs/>
        </w:rPr>
        <w:t>.</w:t>
      </w:r>
      <w:r w:rsidRPr="00082300">
        <w:rPr>
          <w:rFonts w:asciiTheme="majorBidi" w:hAnsiTheme="majorBidi" w:cstheme="majorBidi"/>
        </w:rPr>
        <w:t xml:space="preserve"> </w:t>
      </w:r>
      <w:r>
        <w:rPr>
          <w:rFonts w:asciiTheme="majorBidi" w:hAnsiTheme="majorBidi" w:cstheme="majorBidi"/>
        </w:rPr>
        <w:t>London: Routledge and Kegan Paul, 131-143.</w:t>
      </w:r>
    </w:p>
  </w:footnote>
  <w:footnote w:id="101">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00AF1AE2" w:rsidRPr="00573265">
        <w:rPr>
          <w:rFonts w:asciiTheme="majorBidi" w:hAnsiTheme="majorBidi" w:cstheme="majorBidi"/>
          <w:b/>
        </w:rPr>
        <w:t>The House of Commons</w:t>
      </w:r>
      <w:r w:rsidR="00AF1AE2">
        <w:rPr>
          <w:rFonts w:asciiTheme="majorBidi" w:hAnsiTheme="majorBidi" w:cstheme="majorBidi"/>
        </w:rPr>
        <w:t xml:space="preserve"> (1828) </w:t>
      </w:r>
      <w:r w:rsidRPr="00082300">
        <w:rPr>
          <w:rFonts w:asciiTheme="majorBidi" w:hAnsiTheme="majorBidi" w:cstheme="majorBidi"/>
          <w:i/>
          <w:iCs/>
        </w:rPr>
        <w:t>Report From The Select Committee On Anatomy</w:t>
      </w:r>
      <w:r w:rsidRPr="00082300">
        <w:rPr>
          <w:rFonts w:asciiTheme="majorBidi" w:hAnsiTheme="majorBidi" w:cstheme="majorBidi"/>
        </w:rPr>
        <w:t xml:space="preserve"> London: The House of Commons</w:t>
      </w:r>
      <w:r w:rsidR="00AF1AE2">
        <w:rPr>
          <w:rFonts w:asciiTheme="majorBidi" w:hAnsiTheme="majorBidi" w:cstheme="majorBidi"/>
        </w:rPr>
        <w:t>.</w:t>
      </w:r>
    </w:p>
  </w:footnote>
  <w:footnote w:id="102">
    <w:p w:rsidR="005A70AA" w:rsidRPr="00082300" w:rsidRDefault="005A70AA" w:rsidP="0052739B">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Drimmer</w:t>
      </w:r>
      <w:r>
        <w:rPr>
          <w:rFonts w:asciiTheme="majorBidi" w:hAnsiTheme="majorBidi" w:cstheme="majorBidi"/>
        </w:rPr>
        <w:t xml:space="preserve"> (n9</w:t>
      </w:r>
      <w:r w:rsidR="00AF1AE2">
        <w:rPr>
          <w:rFonts w:asciiTheme="majorBidi" w:hAnsiTheme="majorBidi" w:cstheme="majorBidi"/>
        </w:rPr>
        <w:t>8</w:t>
      </w:r>
      <w:r>
        <w:rPr>
          <w:rFonts w:asciiTheme="majorBidi" w:hAnsiTheme="majorBidi" w:cstheme="majorBidi"/>
        </w:rPr>
        <w:t>)</w:t>
      </w:r>
      <w:r w:rsidRPr="00082300">
        <w:rPr>
          <w:rFonts w:asciiTheme="majorBidi" w:hAnsiTheme="majorBidi" w:cstheme="majorBidi"/>
        </w:rPr>
        <w:t>, 75-94.</w:t>
      </w:r>
    </w:p>
  </w:footnote>
  <w:footnote w:id="103">
    <w:p w:rsidR="005A70AA" w:rsidRPr="00082300" w:rsidRDefault="005A70AA" w:rsidP="00007A20">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MacGillivary</w:t>
      </w:r>
      <w:r>
        <w:rPr>
          <w:rFonts w:asciiTheme="majorBidi" w:hAnsiTheme="majorBidi" w:cstheme="majorBidi"/>
        </w:rPr>
        <w:t xml:space="preserve"> (n9</w:t>
      </w:r>
      <w:r w:rsidR="00AF1AE2">
        <w:rPr>
          <w:rFonts w:asciiTheme="majorBidi" w:hAnsiTheme="majorBidi" w:cstheme="majorBidi"/>
        </w:rPr>
        <w:t>7</w:t>
      </w:r>
      <w:r>
        <w:rPr>
          <w:rFonts w:asciiTheme="majorBidi" w:hAnsiTheme="majorBidi" w:cstheme="majorBidi"/>
        </w:rPr>
        <w:t>)</w:t>
      </w:r>
      <w:r w:rsidRPr="00082300">
        <w:rPr>
          <w:rFonts w:asciiTheme="majorBidi" w:hAnsiTheme="majorBidi" w:cstheme="majorBidi"/>
        </w:rPr>
        <w:t xml:space="preserve">, 59. </w:t>
      </w:r>
      <w:r w:rsidRPr="00082300">
        <w:rPr>
          <w:rFonts w:asciiTheme="majorBidi" w:hAnsiTheme="majorBidi" w:cstheme="majorBidi"/>
          <w:i/>
          <w:iCs/>
        </w:rPr>
        <w:t>Doodeward</w:t>
      </w:r>
      <w:r>
        <w:rPr>
          <w:rFonts w:asciiTheme="majorBidi" w:hAnsiTheme="majorBidi" w:cstheme="majorBidi"/>
        </w:rPr>
        <w:t xml:space="preserve"> (n55)</w:t>
      </w:r>
      <w:r w:rsidR="00AF1AE2">
        <w:rPr>
          <w:rFonts w:asciiTheme="majorBidi" w:hAnsiTheme="majorBidi" w:cstheme="majorBidi"/>
        </w:rPr>
        <w:t>,</w:t>
      </w:r>
      <w:r w:rsidRPr="00082300">
        <w:rPr>
          <w:rFonts w:asciiTheme="majorBidi" w:hAnsiTheme="majorBidi" w:cstheme="majorBidi"/>
        </w:rPr>
        <w:t xml:space="preserve"> 423.</w:t>
      </w:r>
    </w:p>
  </w:footnote>
  <w:footnote w:id="104">
    <w:p w:rsidR="005A70AA" w:rsidRPr="00C0441A" w:rsidRDefault="005A70AA">
      <w:pPr>
        <w:pStyle w:val="FootnoteText"/>
      </w:pPr>
      <w:r>
        <w:rPr>
          <w:rStyle w:val="FootnoteReference"/>
        </w:rPr>
        <w:footnoteRef/>
      </w:r>
      <w:r>
        <w:rPr>
          <w:rFonts w:asciiTheme="majorBidi" w:hAnsiTheme="majorBidi" w:cstheme="majorBidi"/>
          <w:sz w:val="24"/>
          <w:szCs w:val="24"/>
        </w:rPr>
        <w:t xml:space="preserve"> </w:t>
      </w:r>
      <w:r w:rsidRPr="00C0441A">
        <w:rPr>
          <w:rFonts w:asciiTheme="majorBidi" w:hAnsiTheme="majorBidi" w:cstheme="majorBidi"/>
          <w:i/>
          <w:iCs/>
        </w:rPr>
        <w:t>R v Sharpe</w:t>
      </w:r>
      <w:r w:rsidRPr="00C0441A">
        <w:rPr>
          <w:rFonts w:asciiTheme="majorBidi" w:hAnsiTheme="majorBidi" w:cstheme="majorBidi"/>
        </w:rPr>
        <w:t xml:space="preserve"> [1857] DEARS &amp; BELL 159 at 163</w:t>
      </w:r>
      <w:r>
        <w:rPr>
          <w:rFonts w:asciiTheme="majorBidi" w:hAnsiTheme="majorBidi" w:cstheme="majorBidi"/>
        </w:rPr>
        <w:t>;</w:t>
      </w:r>
      <w:r w:rsidRPr="00C0441A">
        <w:rPr>
          <w:rFonts w:asciiTheme="majorBidi" w:hAnsiTheme="majorBidi" w:cstheme="majorBidi"/>
          <w:i/>
          <w:iCs/>
        </w:rPr>
        <w:t xml:space="preserve"> R v Feist</w:t>
      </w:r>
      <w:r w:rsidRPr="00C0441A">
        <w:rPr>
          <w:rFonts w:asciiTheme="majorBidi" w:hAnsiTheme="majorBidi" w:cstheme="majorBidi"/>
        </w:rPr>
        <w:t xml:space="preserve"> [1858] 169 Eng. Rep. 1132 at 1135.</w:t>
      </w:r>
    </w:p>
  </w:footnote>
  <w:footnote w:id="105">
    <w:p w:rsidR="005A70AA" w:rsidRPr="00A62D85" w:rsidRDefault="005A70AA" w:rsidP="006F09FC">
      <w:pPr>
        <w:pStyle w:val="FootnoteText"/>
        <w:jc w:val="both"/>
        <w:rPr>
          <w:rFonts w:asciiTheme="majorBidi" w:hAnsiTheme="majorBidi"/>
        </w:rPr>
      </w:pPr>
      <w:r w:rsidRPr="00082300">
        <w:rPr>
          <w:rStyle w:val="FootnoteReference"/>
          <w:rFonts w:asciiTheme="majorBidi" w:hAnsiTheme="majorBidi" w:cstheme="majorBidi"/>
        </w:rPr>
        <w:footnoteRef/>
      </w:r>
      <w:r w:rsidRPr="00B017D7">
        <w:rPr>
          <w:rFonts w:asciiTheme="majorBidi" w:hAnsiTheme="majorBidi"/>
        </w:rPr>
        <w:t xml:space="preserve"> </w:t>
      </w:r>
      <w:r w:rsidRPr="00B017D7">
        <w:rPr>
          <w:rFonts w:asciiTheme="majorBidi" w:hAnsiTheme="majorBidi"/>
          <w:i/>
        </w:rPr>
        <w:t>R v Gibson</w:t>
      </w:r>
      <w:r w:rsidRPr="00B017D7">
        <w:rPr>
          <w:rFonts w:asciiTheme="majorBidi" w:hAnsiTheme="majorBidi"/>
        </w:rPr>
        <w:t xml:space="preserve"> [1991] 1 All ER 439 (CA Crim.)</w:t>
      </w:r>
      <w:r>
        <w:rPr>
          <w:rFonts w:asciiTheme="majorBidi" w:hAnsiTheme="majorBidi"/>
        </w:rPr>
        <w:t>.</w:t>
      </w:r>
    </w:p>
  </w:footnote>
  <w:footnote w:id="106">
    <w:p w:rsidR="005A70AA" w:rsidRPr="00165F9D" w:rsidRDefault="005A70AA" w:rsidP="00165F9D">
      <w:pPr>
        <w:jc w:val="both"/>
        <w:rPr>
          <w:rFonts w:asciiTheme="majorBidi" w:hAnsiTheme="majorBidi" w:cstheme="majorBidi"/>
          <w:sz w:val="20"/>
          <w:szCs w:val="20"/>
        </w:rPr>
      </w:pPr>
      <w:r w:rsidRPr="00082300">
        <w:rPr>
          <w:rStyle w:val="FootnoteReference"/>
          <w:rFonts w:asciiTheme="majorBidi" w:hAnsiTheme="majorBidi" w:cstheme="majorBidi"/>
        </w:rPr>
        <w:footnoteRef/>
      </w:r>
      <w:r w:rsidRPr="00525249">
        <w:rPr>
          <w:rFonts w:asciiTheme="majorBidi" w:hAnsiTheme="majorBidi" w:cstheme="majorBidi"/>
        </w:rPr>
        <w:t xml:space="preserve"> </w:t>
      </w:r>
      <w:r w:rsidRPr="00525249">
        <w:rPr>
          <w:rFonts w:asciiTheme="majorBidi" w:hAnsiTheme="majorBidi" w:cstheme="majorBidi"/>
          <w:i/>
          <w:iCs/>
        </w:rPr>
        <w:t>Kelly</w:t>
      </w:r>
      <w:r>
        <w:rPr>
          <w:rFonts w:asciiTheme="majorBidi" w:hAnsiTheme="majorBidi" w:cstheme="majorBidi"/>
        </w:rPr>
        <w:t xml:space="preserve"> </w:t>
      </w:r>
      <w:r w:rsidRPr="004A2907">
        <w:rPr>
          <w:rFonts w:asciiTheme="majorBidi" w:hAnsiTheme="majorBidi" w:cstheme="majorBidi"/>
          <w:sz w:val="20"/>
          <w:szCs w:val="20"/>
        </w:rPr>
        <w:t>(n4</w:t>
      </w:r>
      <w:r>
        <w:rPr>
          <w:rFonts w:asciiTheme="majorBidi" w:hAnsiTheme="majorBidi" w:cstheme="majorBidi"/>
          <w:sz w:val="20"/>
          <w:szCs w:val="20"/>
        </w:rPr>
        <w:t>6</w:t>
      </w:r>
      <w:r>
        <w:rPr>
          <w:rFonts w:asciiTheme="majorBidi" w:hAnsiTheme="majorBidi" w:cstheme="majorBidi"/>
        </w:rPr>
        <w:t>)</w:t>
      </w:r>
      <w:r w:rsidRPr="00165F9D">
        <w:rPr>
          <w:rFonts w:asciiTheme="majorBidi" w:hAnsiTheme="majorBidi" w:cstheme="majorBidi"/>
          <w:sz w:val="20"/>
          <w:szCs w:val="20"/>
        </w:rPr>
        <w:t>.</w:t>
      </w:r>
    </w:p>
  </w:footnote>
  <w:footnote w:id="107">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Pr>
          <w:rFonts w:asciiTheme="majorBidi" w:hAnsiTheme="majorBidi" w:cstheme="majorBidi"/>
        </w:rPr>
        <w:t>German organ prosecution (n45).</w:t>
      </w:r>
    </w:p>
  </w:footnote>
  <w:footnote w:id="108">
    <w:p w:rsidR="005A70AA" w:rsidRPr="00082300" w:rsidRDefault="005A70AA" w:rsidP="000D00C3">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9E212E">
        <w:rPr>
          <w:rFonts w:asciiTheme="majorBidi" w:hAnsiTheme="majorBidi" w:cstheme="majorBidi"/>
          <w:i/>
        </w:rPr>
        <w:t>Ibid.</w:t>
      </w:r>
    </w:p>
  </w:footnote>
  <w:footnote w:id="109">
    <w:p w:rsidR="005A70AA" w:rsidRPr="00082300" w:rsidRDefault="005A70AA" w:rsidP="000D00C3">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9E212E">
        <w:rPr>
          <w:rFonts w:asciiTheme="majorBidi" w:hAnsiTheme="majorBidi" w:cstheme="majorBidi"/>
          <w:i/>
        </w:rPr>
        <w:t>Ibid</w:t>
      </w:r>
      <w:r>
        <w:rPr>
          <w:rFonts w:asciiTheme="majorBidi" w:hAnsiTheme="majorBidi" w:cstheme="majorBidi"/>
        </w:rPr>
        <w:t>.</w:t>
      </w:r>
    </w:p>
  </w:footnote>
  <w:footnote w:id="110">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Th</w:t>
      </w:r>
      <w:r>
        <w:rPr>
          <w:rFonts w:asciiTheme="majorBidi" w:hAnsiTheme="majorBidi" w:cstheme="majorBidi"/>
        </w:rPr>
        <w:t>is</w:t>
      </w:r>
      <w:r w:rsidRPr="00082300">
        <w:rPr>
          <w:rFonts w:asciiTheme="majorBidi" w:hAnsiTheme="majorBidi" w:cstheme="majorBidi"/>
        </w:rPr>
        <w:t xml:space="preserve"> proximity test is the common law’s precursor to </w:t>
      </w:r>
      <w:r>
        <w:rPr>
          <w:rFonts w:asciiTheme="majorBidi" w:hAnsiTheme="majorBidi" w:cstheme="majorBidi"/>
        </w:rPr>
        <w:t xml:space="preserve">the </w:t>
      </w:r>
      <w:r w:rsidRPr="00082300">
        <w:rPr>
          <w:rFonts w:asciiTheme="majorBidi" w:hAnsiTheme="majorBidi" w:cstheme="majorBidi"/>
        </w:rPr>
        <w:t>test under s.1(1) of the Criminal Attempts Act 1981.</w:t>
      </w:r>
    </w:p>
  </w:footnote>
  <w:footnote w:id="111">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Criminal Attempts Act 1981, s. 1(1).</w:t>
      </w:r>
    </w:p>
  </w:footnote>
  <w:footnote w:id="112">
    <w:p w:rsidR="005A70AA" w:rsidRPr="00082300" w:rsidRDefault="005A70AA" w:rsidP="00796904">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Card</w:t>
      </w:r>
      <w:r w:rsidR="00AF1AE2" w:rsidRPr="00573265">
        <w:rPr>
          <w:rFonts w:asciiTheme="majorBidi" w:hAnsiTheme="majorBidi" w:cstheme="majorBidi"/>
          <w:b/>
        </w:rPr>
        <w:t xml:space="preserve"> R</w:t>
      </w:r>
      <w:r w:rsidR="00AF1AE2">
        <w:rPr>
          <w:rFonts w:asciiTheme="majorBidi" w:hAnsiTheme="majorBidi" w:cstheme="majorBidi"/>
        </w:rPr>
        <w:t xml:space="preserve"> (2008)</w:t>
      </w:r>
      <w:r>
        <w:rPr>
          <w:rFonts w:asciiTheme="majorBidi" w:hAnsiTheme="majorBidi" w:cstheme="majorBidi"/>
        </w:rPr>
        <w:t xml:space="preserve">, </w:t>
      </w:r>
      <w:r w:rsidRPr="00796904">
        <w:rPr>
          <w:rFonts w:asciiTheme="majorBidi" w:hAnsiTheme="majorBidi" w:cstheme="majorBidi"/>
          <w:i/>
          <w:iCs/>
        </w:rPr>
        <w:t>Card, Cross and Jones Criminal Law, 18</w:t>
      </w:r>
      <w:r w:rsidRPr="00796904">
        <w:rPr>
          <w:rFonts w:asciiTheme="majorBidi" w:hAnsiTheme="majorBidi" w:cstheme="majorBidi"/>
          <w:i/>
          <w:iCs/>
          <w:vertAlign w:val="superscript"/>
        </w:rPr>
        <w:t>th</w:t>
      </w:r>
      <w:r w:rsidRPr="00796904">
        <w:rPr>
          <w:rFonts w:asciiTheme="majorBidi" w:hAnsiTheme="majorBidi" w:cstheme="majorBidi"/>
          <w:i/>
          <w:iCs/>
        </w:rPr>
        <w:t xml:space="preserve"> ed.</w:t>
      </w:r>
      <w:r w:rsidRPr="00082300">
        <w:rPr>
          <w:rFonts w:asciiTheme="majorBidi" w:hAnsiTheme="majorBidi" w:cstheme="majorBidi"/>
        </w:rPr>
        <w:t xml:space="preserve"> </w:t>
      </w:r>
      <w:r>
        <w:rPr>
          <w:rFonts w:asciiTheme="majorBidi" w:hAnsiTheme="majorBidi" w:cstheme="majorBidi"/>
        </w:rPr>
        <w:t xml:space="preserve">Oxford; Oxford University Press, </w:t>
      </w:r>
      <w:r w:rsidRPr="00082300">
        <w:rPr>
          <w:rFonts w:asciiTheme="majorBidi" w:hAnsiTheme="majorBidi" w:cstheme="majorBidi"/>
        </w:rPr>
        <w:t xml:space="preserve"> 609</w:t>
      </w:r>
      <w:r>
        <w:rPr>
          <w:rFonts w:asciiTheme="majorBidi" w:hAnsiTheme="majorBidi" w:cstheme="majorBidi"/>
        </w:rPr>
        <w:t>.</w:t>
      </w:r>
    </w:p>
  </w:footnote>
  <w:footnote w:id="113">
    <w:p w:rsidR="005A70AA" w:rsidRPr="00082300" w:rsidRDefault="005A70AA" w:rsidP="00430F45">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Simester</w:t>
      </w:r>
      <w:r w:rsidR="00AF1AE2" w:rsidRPr="00573265">
        <w:rPr>
          <w:rFonts w:asciiTheme="majorBidi" w:hAnsiTheme="majorBidi" w:cstheme="majorBidi"/>
          <w:b/>
        </w:rPr>
        <w:t xml:space="preserve"> A P</w:t>
      </w:r>
      <w:r w:rsidRPr="00082300">
        <w:rPr>
          <w:rFonts w:asciiTheme="majorBidi" w:hAnsiTheme="majorBidi" w:cstheme="majorBidi"/>
        </w:rPr>
        <w:t xml:space="preserve"> et al.</w:t>
      </w:r>
      <w:r w:rsidR="00BB31AF">
        <w:rPr>
          <w:rFonts w:asciiTheme="majorBidi" w:hAnsiTheme="majorBidi" w:cstheme="majorBidi"/>
        </w:rPr>
        <w:t>(2010)</w:t>
      </w:r>
      <w:r w:rsidRPr="00082300">
        <w:rPr>
          <w:rFonts w:asciiTheme="majorBidi" w:hAnsiTheme="majorBidi" w:cstheme="majorBidi"/>
        </w:rPr>
        <w:t xml:space="preserve"> </w:t>
      </w:r>
      <w:r w:rsidRPr="00082300">
        <w:rPr>
          <w:rFonts w:asciiTheme="majorBidi" w:hAnsiTheme="majorBidi" w:cstheme="majorBidi"/>
          <w:i/>
          <w:iCs/>
        </w:rPr>
        <w:t>Simester and Sullivan’s</w:t>
      </w:r>
      <w:r w:rsidRPr="00082300">
        <w:rPr>
          <w:rFonts w:asciiTheme="majorBidi" w:hAnsiTheme="majorBidi" w:cstheme="majorBidi"/>
        </w:rPr>
        <w:t xml:space="preserve"> </w:t>
      </w:r>
      <w:r w:rsidRPr="00082300">
        <w:rPr>
          <w:rFonts w:asciiTheme="majorBidi" w:hAnsiTheme="majorBidi" w:cstheme="majorBidi"/>
          <w:i/>
          <w:iCs/>
        </w:rPr>
        <w:t>Criminal Law: Theory and Doctrine, 4</w:t>
      </w:r>
      <w:r w:rsidRPr="00082300">
        <w:rPr>
          <w:rFonts w:asciiTheme="majorBidi" w:hAnsiTheme="majorBidi" w:cstheme="majorBidi"/>
          <w:i/>
          <w:iCs/>
          <w:vertAlign w:val="superscript"/>
        </w:rPr>
        <w:t>th</w:t>
      </w:r>
      <w:r w:rsidRPr="00082300">
        <w:rPr>
          <w:rFonts w:asciiTheme="majorBidi" w:hAnsiTheme="majorBidi" w:cstheme="majorBidi"/>
          <w:i/>
          <w:iCs/>
        </w:rPr>
        <w:t xml:space="preserve"> ed</w:t>
      </w:r>
      <w:r w:rsidR="00BB31AF">
        <w:rPr>
          <w:rFonts w:asciiTheme="majorBidi" w:hAnsiTheme="majorBidi" w:cstheme="majorBidi"/>
          <w:i/>
          <w:iCs/>
        </w:rPr>
        <w:t>.</w:t>
      </w:r>
      <w:r w:rsidRPr="00082300">
        <w:rPr>
          <w:rFonts w:asciiTheme="majorBidi" w:hAnsiTheme="majorBidi" w:cstheme="majorBidi"/>
        </w:rPr>
        <w:t xml:space="preserve"> Oxford: Hart Publishing,  297.</w:t>
      </w:r>
    </w:p>
  </w:footnote>
  <w:footnote w:id="114">
    <w:p w:rsidR="005A70AA" w:rsidRPr="00082300" w:rsidRDefault="005A70AA" w:rsidP="00430F45">
      <w:pPr>
        <w:pStyle w:val="FootnoteText"/>
        <w:jc w:val="both"/>
        <w:rPr>
          <w:rFonts w:asciiTheme="majorBidi" w:hAnsiTheme="majorBidi" w:cstheme="majorBidi"/>
          <w:lang w:val="pt-PT"/>
        </w:rPr>
      </w:pPr>
      <w:r w:rsidRPr="00082300">
        <w:rPr>
          <w:rStyle w:val="FootnoteReference"/>
          <w:rFonts w:asciiTheme="majorBidi" w:hAnsiTheme="majorBidi" w:cstheme="majorBidi"/>
        </w:rPr>
        <w:footnoteRef/>
      </w:r>
      <w:r w:rsidRPr="00082300">
        <w:rPr>
          <w:rFonts w:asciiTheme="majorBidi" w:hAnsiTheme="majorBidi" w:cstheme="majorBidi"/>
          <w:lang w:val="pt-PT"/>
        </w:rPr>
        <w:t xml:space="preserve"> </w:t>
      </w:r>
      <w:r w:rsidRPr="00430F45">
        <w:rPr>
          <w:rFonts w:asciiTheme="majorBidi" w:hAnsiTheme="majorBidi" w:cstheme="majorBidi"/>
          <w:i/>
          <w:iCs/>
          <w:lang w:val="pt-PT"/>
        </w:rPr>
        <w:t>R v Morrison</w:t>
      </w:r>
      <w:r w:rsidRPr="00082300">
        <w:rPr>
          <w:rFonts w:asciiTheme="majorBidi" w:hAnsiTheme="majorBidi" w:cstheme="majorBidi"/>
          <w:lang w:val="pt-PT"/>
        </w:rPr>
        <w:t xml:space="preserve"> [2003] EWCA Crim 1722</w:t>
      </w:r>
      <w:r>
        <w:rPr>
          <w:rFonts w:asciiTheme="majorBidi" w:hAnsiTheme="majorBidi" w:cstheme="majorBidi"/>
          <w:lang w:val="pt-PT"/>
        </w:rPr>
        <w:t>.</w:t>
      </w:r>
    </w:p>
  </w:footnote>
  <w:footnote w:id="115">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Ormerod</w:t>
      </w:r>
      <w:r w:rsidR="00BB31AF" w:rsidRPr="00573265">
        <w:rPr>
          <w:rFonts w:asciiTheme="majorBidi" w:hAnsiTheme="majorBidi" w:cstheme="majorBidi"/>
          <w:b/>
        </w:rPr>
        <w:t xml:space="preserve"> D</w:t>
      </w:r>
      <w:r w:rsidRPr="00573265">
        <w:rPr>
          <w:rFonts w:asciiTheme="majorBidi" w:hAnsiTheme="majorBidi" w:cstheme="majorBidi"/>
          <w:b/>
        </w:rPr>
        <w:t xml:space="preserve"> &amp;Laird</w:t>
      </w:r>
      <w:r w:rsidR="00BB31AF" w:rsidRPr="00573265">
        <w:rPr>
          <w:rFonts w:asciiTheme="majorBidi" w:hAnsiTheme="majorBidi" w:cstheme="majorBidi"/>
          <w:b/>
        </w:rPr>
        <w:t xml:space="preserve"> K</w:t>
      </w:r>
      <w:r w:rsidR="00BB31AF">
        <w:rPr>
          <w:rFonts w:asciiTheme="majorBidi" w:hAnsiTheme="majorBidi" w:cstheme="majorBidi"/>
        </w:rPr>
        <w:t xml:space="preserve"> (2015)</w:t>
      </w:r>
      <w:r w:rsidRPr="00082300">
        <w:rPr>
          <w:rFonts w:asciiTheme="majorBidi" w:hAnsiTheme="majorBidi" w:cstheme="majorBidi"/>
        </w:rPr>
        <w:t xml:space="preserve"> </w:t>
      </w:r>
      <w:r w:rsidRPr="00082300">
        <w:rPr>
          <w:rFonts w:asciiTheme="majorBidi" w:hAnsiTheme="majorBidi" w:cstheme="majorBidi"/>
          <w:i/>
          <w:iCs/>
        </w:rPr>
        <w:t>Smith and Hogan’s Criminal Law, 14</w:t>
      </w:r>
      <w:r w:rsidRPr="00082300">
        <w:rPr>
          <w:rFonts w:asciiTheme="majorBidi" w:hAnsiTheme="majorBidi" w:cstheme="majorBidi"/>
          <w:i/>
          <w:iCs/>
          <w:vertAlign w:val="superscript"/>
        </w:rPr>
        <w:t>th</w:t>
      </w:r>
      <w:r w:rsidRPr="00082300">
        <w:rPr>
          <w:rFonts w:asciiTheme="majorBidi" w:hAnsiTheme="majorBidi" w:cstheme="majorBidi"/>
          <w:i/>
          <w:iCs/>
        </w:rPr>
        <w:t xml:space="preserve"> ed.</w:t>
      </w:r>
      <w:r w:rsidRPr="00082300">
        <w:rPr>
          <w:rFonts w:asciiTheme="majorBidi" w:hAnsiTheme="majorBidi" w:cstheme="majorBidi"/>
        </w:rPr>
        <w:t xml:space="preserve"> Oxford; Oxford University Press, 460.</w:t>
      </w:r>
    </w:p>
  </w:footnote>
  <w:footnote w:id="116">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Sections 2-4 of the Fraud Act 2006.</w:t>
      </w:r>
    </w:p>
  </w:footnote>
  <w:footnote w:id="117">
    <w:p w:rsidR="005A70AA" w:rsidRPr="00082300" w:rsidRDefault="005A70AA" w:rsidP="00F76D26">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A fraud charge relating to a </w:t>
      </w:r>
      <w:r w:rsidRPr="00082300">
        <w:rPr>
          <w:rFonts w:asciiTheme="majorBidi" w:hAnsiTheme="majorBidi" w:cstheme="majorBidi"/>
          <w:i/>
          <w:iCs/>
        </w:rPr>
        <w:t>failure to disclose</w:t>
      </w:r>
      <w:r w:rsidRPr="00082300">
        <w:rPr>
          <w:rFonts w:asciiTheme="majorBidi" w:hAnsiTheme="majorBidi" w:cstheme="majorBidi"/>
        </w:rPr>
        <w:t xml:space="preserve"> is not relevant here, </w:t>
      </w:r>
      <w:r>
        <w:rPr>
          <w:rFonts w:asciiTheme="majorBidi" w:hAnsiTheme="majorBidi" w:cstheme="majorBidi"/>
        </w:rPr>
        <w:t>nor is</w:t>
      </w:r>
      <w:r w:rsidRPr="00082300">
        <w:rPr>
          <w:rFonts w:asciiTheme="majorBidi" w:hAnsiTheme="majorBidi" w:cstheme="majorBidi"/>
        </w:rPr>
        <w:t xml:space="preserve"> a charge of abuse of position</w:t>
      </w:r>
      <w:r>
        <w:rPr>
          <w:rFonts w:asciiTheme="majorBidi" w:hAnsiTheme="majorBidi" w:cstheme="majorBidi"/>
        </w:rPr>
        <w:t>.</w:t>
      </w:r>
    </w:p>
  </w:footnote>
  <w:footnote w:id="118">
    <w:p w:rsidR="005A70AA" w:rsidRPr="00082300" w:rsidRDefault="005A70AA" w:rsidP="00A1382B">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F76D26">
        <w:rPr>
          <w:rFonts w:asciiTheme="majorBidi" w:hAnsiTheme="majorBidi" w:cstheme="majorBidi"/>
          <w:i/>
          <w:iCs/>
        </w:rPr>
        <w:t>Smith and Hogan</w:t>
      </w:r>
      <w:r>
        <w:rPr>
          <w:rFonts w:asciiTheme="majorBidi" w:hAnsiTheme="majorBidi" w:cstheme="majorBidi"/>
        </w:rPr>
        <w:t xml:space="preserve"> (n11</w:t>
      </w:r>
      <w:r w:rsidR="008C5DC3">
        <w:rPr>
          <w:rFonts w:asciiTheme="majorBidi" w:hAnsiTheme="majorBidi" w:cstheme="majorBidi"/>
        </w:rPr>
        <w:t>4</w:t>
      </w:r>
      <w:r>
        <w:rPr>
          <w:rFonts w:asciiTheme="majorBidi" w:hAnsiTheme="majorBidi" w:cstheme="majorBidi"/>
        </w:rPr>
        <w:t>)</w:t>
      </w:r>
      <w:r w:rsidRPr="00082300">
        <w:rPr>
          <w:rFonts w:asciiTheme="majorBidi" w:hAnsiTheme="majorBidi" w:cstheme="majorBidi"/>
        </w:rPr>
        <w:t xml:space="preserve">, 991; s.5 of the Fraud Act 2006. </w:t>
      </w:r>
    </w:p>
  </w:footnote>
  <w:footnote w:id="119">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Section 5 of the Act defines </w:t>
      </w:r>
      <w:r w:rsidRPr="00082300">
        <w:rPr>
          <w:rFonts w:asciiTheme="majorBidi" w:hAnsiTheme="majorBidi" w:cstheme="majorBidi"/>
          <w:i/>
          <w:iCs/>
        </w:rPr>
        <w:t>gain</w:t>
      </w:r>
      <w:r w:rsidRPr="00082300">
        <w:rPr>
          <w:rFonts w:asciiTheme="majorBidi" w:hAnsiTheme="majorBidi" w:cstheme="majorBidi"/>
        </w:rPr>
        <w:t xml:space="preserve"> and </w:t>
      </w:r>
      <w:r w:rsidRPr="00082300">
        <w:rPr>
          <w:rFonts w:asciiTheme="majorBidi" w:hAnsiTheme="majorBidi" w:cstheme="majorBidi"/>
          <w:i/>
          <w:iCs/>
        </w:rPr>
        <w:t>loss</w:t>
      </w:r>
      <w:r w:rsidRPr="00082300">
        <w:rPr>
          <w:rFonts w:asciiTheme="majorBidi" w:hAnsiTheme="majorBidi" w:cstheme="majorBidi"/>
        </w:rPr>
        <w:t xml:space="preserve"> only in relation to property.</w:t>
      </w:r>
    </w:p>
  </w:footnote>
  <w:footnote w:id="120">
    <w:p w:rsidR="005A70AA" w:rsidRPr="00082300" w:rsidRDefault="005A70AA" w:rsidP="00A1382B">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F76D26">
        <w:rPr>
          <w:rFonts w:asciiTheme="majorBidi" w:hAnsiTheme="majorBidi" w:cstheme="majorBidi"/>
          <w:i/>
          <w:iCs/>
        </w:rPr>
        <w:t>Smith and Hogan</w:t>
      </w:r>
      <w:r>
        <w:rPr>
          <w:rFonts w:asciiTheme="majorBidi" w:hAnsiTheme="majorBidi" w:cstheme="majorBidi"/>
        </w:rPr>
        <w:t xml:space="preserve"> (n11</w:t>
      </w:r>
      <w:r w:rsidR="008C5DC3">
        <w:rPr>
          <w:rFonts w:asciiTheme="majorBidi" w:hAnsiTheme="majorBidi" w:cstheme="majorBidi"/>
        </w:rPr>
        <w:t>4</w:t>
      </w:r>
      <w:r>
        <w:rPr>
          <w:rFonts w:asciiTheme="majorBidi" w:hAnsiTheme="majorBidi" w:cstheme="majorBidi"/>
        </w:rPr>
        <w:t>)</w:t>
      </w:r>
      <w:r w:rsidRPr="00082300">
        <w:rPr>
          <w:rFonts w:asciiTheme="majorBidi" w:hAnsiTheme="majorBidi" w:cstheme="majorBidi"/>
        </w:rPr>
        <w:t>, 1002-1003</w:t>
      </w:r>
      <w:r>
        <w:rPr>
          <w:rFonts w:asciiTheme="majorBidi" w:hAnsiTheme="majorBidi" w:cstheme="majorBidi"/>
        </w:rPr>
        <w:t>.</w:t>
      </w:r>
    </w:p>
  </w:footnote>
  <w:footnote w:id="121">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33280D">
        <w:rPr>
          <w:rFonts w:asciiTheme="majorBidi" w:hAnsiTheme="majorBidi" w:cstheme="majorBidi"/>
          <w:lang w:val="fr-FR"/>
        </w:rPr>
        <w:t xml:space="preserve"> </w:t>
      </w:r>
      <w:r w:rsidRPr="00573265">
        <w:rPr>
          <w:rFonts w:asciiTheme="majorBidi" w:hAnsiTheme="majorBidi" w:cstheme="majorBidi"/>
          <w:b/>
          <w:lang w:val="fr-FR"/>
        </w:rPr>
        <w:t>Kant</w:t>
      </w:r>
      <w:r w:rsidR="008C5DC3" w:rsidRPr="00573265">
        <w:rPr>
          <w:rFonts w:asciiTheme="majorBidi" w:hAnsiTheme="majorBidi" w:cstheme="majorBidi"/>
          <w:b/>
          <w:lang w:val="fr-FR"/>
        </w:rPr>
        <w:t xml:space="preserve"> I</w:t>
      </w:r>
      <w:r w:rsidR="008C5DC3">
        <w:rPr>
          <w:rFonts w:asciiTheme="majorBidi" w:hAnsiTheme="majorBidi" w:cstheme="majorBidi"/>
          <w:lang w:val="fr-FR"/>
        </w:rPr>
        <w:t xml:space="preserve"> (1963)</w:t>
      </w:r>
      <w:r w:rsidRPr="0033280D">
        <w:rPr>
          <w:rFonts w:asciiTheme="majorBidi" w:hAnsiTheme="majorBidi" w:cstheme="majorBidi"/>
          <w:lang w:val="fr-FR"/>
        </w:rPr>
        <w:t xml:space="preserve">, </w:t>
      </w:r>
      <w:r w:rsidRPr="0033280D">
        <w:rPr>
          <w:rFonts w:asciiTheme="majorBidi" w:hAnsiTheme="majorBidi" w:cstheme="majorBidi"/>
          <w:i/>
          <w:iCs/>
          <w:lang w:val="fr-FR"/>
        </w:rPr>
        <w:t>Lectures on Ethics</w:t>
      </w:r>
      <w:r w:rsidRPr="0033280D">
        <w:rPr>
          <w:rFonts w:asciiTheme="majorBidi" w:hAnsiTheme="majorBidi" w:cstheme="majorBidi"/>
          <w:lang w:val="fr-FR"/>
        </w:rPr>
        <w:t xml:space="preserve"> (Trans. </w:t>
      </w:r>
      <w:r w:rsidRPr="00082300">
        <w:rPr>
          <w:rFonts w:asciiTheme="majorBidi" w:hAnsiTheme="majorBidi" w:cstheme="majorBidi"/>
        </w:rPr>
        <w:t>L Infield) Cambridge : Hackett Publishing Co.,  165.</w:t>
      </w:r>
    </w:p>
  </w:footnote>
  <w:footnote w:id="122">
    <w:p w:rsidR="005A70AA" w:rsidRPr="00082300" w:rsidRDefault="005A70AA" w:rsidP="009A23C4">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Pr>
          <w:rFonts w:asciiTheme="majorBidi" w:hAnsiTheme="majorBidi" w:cstheme="majorBidi"/>
        </w:rPr>
        <w:t>Ibid.,</w:t>
      </w:r>
      <w:r w:rsidRPr="00082300">
        <w:rPr>
          <w:rFonts w:asciiTheme="majorBidi" w:hAnsiTheme="majorBidi" w:cstheme="majorBidi"/>
        </w:rPr>
        <w:t xml:space="preserve"> at 124.</w:t>
      </w:r>
    </w:p>
  </w:footnote>
  <w:footnote w:id="123">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kant</w:t>
      </w:r>
      <w:r w:rsidR="008C5DC3" w:rsidRPr="00573265">
        <w:rPr>
          <w:rFonts w:asciiTheme="majorBidi" w:hAnsiTheme="majorBidi" w:cstheme="majorBidi"/>
          <w:b/>
        </w:rPr>
        <w:t xml:space="preserve"> I</w:t>
      </w:r>
      <w:r w:rsidR="008C5DC3">
        <w:rPr>
          <w:rFonts w:asciiTheme="majorBidi" w:hAnsiTheme="majorBidi" w:cstheme="majorBidi"/>
        </w:rPr>
        <w:t xml:space="preserve"> (1996)</w:t>
      </w:r>
      <w:r w:rsidRPr="00082300">
        <w:rPr>
          <w:rFonts w:asciiTheme="majorBidi" w:hAnsiTheme="majorBidi" w:cstheme="majorBidi"/>
        </w:rPr>
        <w:t xml:space="preserve"> ‘Groundwork of the Metaphysics of Morals’ in M Gregor </w:t>
      </w:r>
      <w:r w:rsidR="008C5DC3">
        <w:rPr>
          <w:rFonts w:asciiTheme="majorBidi" w:hAnsiTheme="majorBidi" w:cstheme="majorBidi"/>
        </w:rPr>
        <w:t>(</w:t>
      </w:r>
      <w:r w:rsidRPr="00082300">
        <w:rPr>
          <w:rFonts w:asciiTheme="majorBidi" w:hAnsiTheme="majorBidi" w:cstheme="majorBidi"/>
        </w:rPr>
        <w:t>ed</w:t>
      </w:r>
      <w:r w:rsidR="008C5DC3">
        <w:rPr>
          <w:rFonts w:asciiTheme="majorBidi" w:hAnsiTheme="majorBidi" w:cstheme="majorBidi"/>
        </w:rPr>
        <w:t>)</w:t>
      </w:r>
      <w:r w:rsidRPr="00082300">
        <w:rPr>
          <w:rFonts w:asciiTheme="majorBidi" w:hAnsiTheme="majorBidi" w:cstheme="majorBidi"/>
        </w:rPr>
        <w:t xml:space="preserve"> </w:t>
      </w:r>
      <w:r w:rsidRPr="00082300">
        <w:rPr>
          <w:rFonts w:asciiTheme="majorBidi" w:hAnsiTheme="majorBidi" w:cstheme="majorBidi"/>
          <w:i/>
          <w:iCs/>
        </w:rPr>
        <w:t>Practical Philosophy</w:t>
      </w:r>
      <w:r w:rsidRPr="00082300">
        <w:rPr>
          <w:rFonts w:asciiTheme="majorBidi" w:hAnsiTheme="majorBidi" w:cstheme="majorBidi"/>
        </w:rPr>
        <w:t xml:space="preserve"> Cambridge: Cambridge University Press,  37.</w:t>
      </w:r>
    </w:p>
  </w:footnote>
  <w:footnote w:id="124">
    <w:p w:rsidR="005A70AA" w:rsidRPr="00082300" w:rsidRDefault="005A70AA" w:rsidP="009A23C4">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Davies</w:t>
      </w:r>
      <w:r w:rsidR="008C5DC3" w:rsidRPr="00573265">
        <w:rPr>
          <w:rFonts w:asciiTheme="majorBidi" w:hAnsiTheme="majorBidi" w:cstheme="majorBidi"/>
          <w:b/>
        </w:rPr>
        <w:t xml:space="preserve"> M</w:t>
      </w:r>
      <w:r w:rsidR="008C5DC3">
        <w:rPr>
          <w:rFonts w:asciiTheme="majorBidi" w:hAnsiTheme="majorBidi" w:cstheme="majorBidi"/>
        </w:rPr>
        <w:t xml:space="preserve"> (2007)</w:t>
      </w:r>
      <w:r w:rsidRPr="00082300">
        <w:rPr>
          <w:rFonts w:asciiTheme="majorBidi" w:hAnsiTheme="majorBidi" w:cstheme="majorBidi"/>
        </w:rPr>
        <w:t xml:space="preserve"> </w:t>
      </w:r>
      <w:r w:rsidRPr="00082300">
        <w:rPr>
          <w:rFonts w:asciiTheme="majorBidi" w:hAnsiTheme="majorBidi" w:cstheme="majorBidi"/>
          <w:i/>
          <w:iCs/>
        </w:rPr>
        <w:t>Property: Meanings, Histories, Theories</w:t>
      </w:r>
      <w:r w:rsidR="008C5DC3">
        <w:rPr>
          <w:rFonts w:asciiTheme="majorBidi" w:hAnsiTheme="majorBidi" w:cstheme="majorBidi"/>
          <w:i/>
          <w:iCs/>
        </w:rPr>
        <w:t>.</w:t>
      </w:r>
      <w:r w:rsidRPr="00082300">
        <w:rPr>
          <w:rFonts w:asciiTheme="majorBidi" w:hAnsiTheme="majorBidi" w:cstheme="majorBidi"/>
        </w:rPr>
        <w:t xml:space="preserve"> Oxford: Routledge-Cavendish</w:t>
      </w:r>
      <w:r w:rsidR="008C5DC3">
        <w:rPr>
          <w:rFonts w:asciiTheme="majorBidi" w:hAnsiTheme="majorBidi" w:cstheme="majorBidi"/>
        </w:rPr>
        <w:t>.</w:t>
      </w:r>
    </w:p>
  </w:footnote>
  <w:footnote w:id="125">
    <w:p w:rsidR="005A70AA" w:rsidRPr="00082300" w:rsidRDefault="005A70AA" w:rsidP="009A23C4">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Nwabueze</w:t>
      </w:r>
      <w:r>
        <w:rPr>
          <w:rFonts w:asciiTheme="majorBidi" w:hAnsiTheme="majorBidi" w:cstheme="majorBidi"/>
        </w:rPr>
        <w:t xml:space="preserve"> (n48)</w:t>
      </w:r>
      <w:r w:rsidRPr="00082300">
        <w:rPr>
          <w:rFonts w:asciiTheme="majorBidi" w:hAnsiTheme="majorBidi" w:cstheme="majorBidi"/>
        </w:rPr>
        <w:t xml:space="preserve">; </w:t>
      </w:r>
      <w:r w:rsidRPr="00573265">
        <w:rPr>
          <w:rFonts w:asciiTheme="majorBidi" w:hAnsiTheme="majorBidi" w:cstheme="majorBidi"/>
          <w:b/>
        </w:rPr>
        <w:t>Munzer</w:t>
      </w:r>
      <w:r w:rsidR="008C5DC3" w:rsidRPr="00573265">
        <w:rPr>
          <w:rFonts w:asciiTheme="majorBidi" w:hAnsiTheme="majorBidi" w:cstheme="majorBidi"/>
          <w:b/>
        </w:rPr>
        <w:t xml:space="preserve"> S R</w:t>
      </w:r>
      <w:r w:rsidR="008C5DC3">
        <w:rPr>
          <w:rFonts w:asciiTheme="majorBidi" w:hAnsiTheme="majorBidi" w:cstheme="majorBidi"/>
        </w:rPr>
        <w:t xml:space="preserve"> (1993)</w:t>
      </w:r>
      <w:r w:rsidRPr="00082300">
        <w:rPr>
          <w:rFonts w:asciiTheme="majorBidi" w:hAnsiTheme="majorBidi" w:cstheme="majorBidi"/>
        </w:rPr>
        <w:t xml:space="preserve"> Kant and </w:t>
      </w:r>
      <w:r>
        <w:rPr>
          <w:rFonts w:asciiTheme="majorBidi" w:hAnsiTheme="majorBidi" w:cstheme="majorBidi"/>
        </w:rPr>
        <w:t>Property Rights in Body Parts</w:t>
      </w:r>
      <w:r w:rsidR="008E36F9">
        <w:rPr>
          <w:rFonts w:asciiTheme="majorBidi" w:hAnsiTheme="majorBidi" w:cstheme="majorBidi"/>
        </w:rPr>
        <w:t xml:space="preserve">. </w:t>
      </w:r>
      <w:r w:rsidRPr="00573265">
        <w:rPr>
          <w:rFonts w:asciiTheme="majorBidi" w:hAnsiTheme="majorBidi" w:cstheme="majorBidi"/>
          <w:i/>
        </w:rPr>
        <w:t>Can</w:t>
      </w:r>
      <w:r w:rsidR="008C5DC3" w:rsidRPr="00573265">
        <w:rPr>
          <w:rFonts w:asciiTheme="majorBidi" w:hAnsiTheme="majorBidi" w:cstheme="majorBidi"/>
          <w:i/>
        </w:rPr>
        <w:t>adian</w:t>
      </w:r>
      <w:r w:rsidRPr="00573265">
        <w:rPr>
          <w:rFonts w:asciiTheme="majorBidi" w:hAnsiTheme="majorBidi" w:cstheme="majorBidi"/>
          <w:i/>
        </w:rPr>
        <w:t xml:space="preserve"> J</w:t>
      </w:r>
      <w:r w:rsidR="008C5DC3" w:rsidRPr="00573265">
        <w:rPr>
          <w:rFonts w:asciiTheme="majorBidi" w:hAnsiTheme="majorBidi" w:cstheme="majorBidi"/>
          <w:i/>
        </w:rPr>
        <w:t xml:space="preserve">ournal </w:t>
      </w:r>
      <w:r w:rsidR="008E36F9">
        <w:rPr>
          <w:rFonts w:asciiTheme="majorBidi" w:hAnsiTheme="majorBidi" w:cstheme="majorBidi"/>
          <w:i/>
        </w:rPr>
        <w:t>o</w:t>
      </w:r>
      <w:r w:rsidR="008C5DC3" w:rsidRPr="00573265">
        <w:rPr>
          <w:rFonts w:asciiTheme="majorBidi" w:hAnsiTheme="majorBidi" w:cstheme="majorBidi"/>
          <w:i/>
        </w:rPr>
        <w:t xml:space="preserve">f </w:t>
      </w:r>
      <w:r w:rsidRPr="00573265">
        <w:rPr>
          <w:rFonts w:asciiTheme="majorBidi" w:hAnsiTheme="majorBidi" w:cstheme="majorBidi"/>
          <w:i/>
        </w:rPr>
        <w:t>L</w:t>
      </w:r>
      <w:r w:rsidR="008C5DC3" w:rsidRPr="00573265">
        <w:rPr>
          <w:rFonts w:asciiTheme="majorBidi" w:hAnsiTheme="majorBidi" w:cstheme="majorBidi"/>
          <w:i/>
        </w:rPr>
        <w:t>aw</w:t>
      </w:r>
      <w:r w:rsidRPr="00573265">
        <w:rPr>
          <w:rFonts w:asciiTheme="majorBidi" w:hAnsiTheme="majorBidi" w:cstheme="majorBidi"/>
          <w:i/>
        </w:rPr>
        <w:t xml:space="preserve"> &amp; Jurisprudenc</w:t>
      </w:r>
      <w:r w:rsidRPr="00082300">
        <w:rPr>
          <w:rFonts w:asciiTheme="majorBidi" w:hAnsiTheme="majorBidi" w:cstheme="majorBidi"/>
        </w:rPr>
        <w:t>e</w:t>
      </w:r>
      <w:r w:rsidR="008C5DC3">
        <w:rPr>
          <w:rFonts w:asciiTheme="majorBidi" w:hAnsiTheme="majorBidi" w:cstheme="majorBidi"/>
        </w:rPr>
        <w:t xml:space="preserve"> </w:t>
      </w:r>
      <w:r w:rsidR="008C5DC3" w:rsidRPr="00573265">
        <w:rPr>
          <w:rFonts w:asciiTheme="majorBidi" w:hAnsiTheme="majorBidi" w:cstheme="majorBidi"/>
          <w:b/>
        </w:rPr>
        <w:t>6</w:t>
      </w:r>
      <w:r w:rsidR="008C5DC3">
        <w:rPr>
          <w:rFonts w:asciiTheme="majorBidi" w:hAnsiTheme="majorBidi" w:cstheme="majorBidi"/>
        </w:rPr>
        <w:t>,</w:t>
      </w:r>
      <w:r w:rsidRPr="00082300">
        <w:rPr>
          <w:rFonts w:asciiTheme="majorBidi" w:hAnsiTheme="majorBidi" w:cstheme="majorBidi"/>
        </w:rPr>
        <w:t xml:space="preserve"> 319.</w:t>
      </w:r>
    </w:p>
  </w:footnote>
  <w:footnote w:id="126">
    <w:p w:rsidR="005A70AA" w:rsidRPr="00082300" w:rsidRDefault="005A70AA" w:rsidP="00BB6246">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Frow </w:t>
      </w:r>
      <w:r>
        <w:rPr>
          <w:rFonts w:asciiTheme="majorBidi" w:hAnsiTheme="majorBidi" w:cstheme="majorBidi"/>
        </w:rPr>
        <w:t>acknowledged</w:t>
      </w:r>
      <w:r w:rsidRPr="00082300">
        <w:rPr>
          <w:rFonts w:asciiTheme="majorBidi" w:hAnsiTheme="majorBidi" w:cstheme="majorBidi"/>
        </w:rPr>
        <w:t xml:space="preserve"> the reflexivity of the human body: </w:t>
      </w:r>
      <w:r w:rsidRPr="00573265">
        <w:rPr>
          <w:rFonts w:asciiTheme="majorBidi" w:hAnsiTheme="majorBidi" w:cstheme="majorBidi"/>
          <w:b/>
        </w:rPr>
        <w:t>Frow</w:t>
      </w:r>
      <w:r w:rsidR="00A419FB" w:rsidRPr="00573265">
        <w:rPr>
          <w:rFonts w:asciiTheme="majorBidi" w:hAnsiTheme="majorBidi" w:cstheme="majorBidi"/>
          <w:b/>
        </w:rPr>
        <w:t xml:space="preserve"> J</w:t>
      </w:r>
      <w:r w:rsidR="00A419FB">
        <w:rPr>
          <w:rFonts w:asciiTheme="majorBidi" w:hAnsiTheme="majorBidi" w:cstheme="majorBidi"/>
        </w:rPr>
        <w:t xml:space="preserve"> (1995)</w:t>
      </w:r>
      <w:r w:rsidR="008442D8">
        <w:rPr>
          <w:rFonts w:asciiTheme="majorBidi" w:hAnsiTheme="majorBidi" w:cstheme="majorBidi"/>
        </w:rPr>
        <w:t xml:space="preserve"> </w:t>
      </w:r>
      <w:r w:rsidRPr="00082300">
        <w:rPr>
          <w:rFonts w:asciiTheme="majorBidi" w:hAnsiTheme="majorBidi" w:cstheme="majorBidi"/>
        </w:rPr>
        <w:t xml:space="preserve">Elvis’ Fame: The Commodity Form and the Form of the Person </w:t>
      </w:r>
      <w:r w:rsidRPr="00573265">
        <w:rPr>
          <w:rFonts w:asciiTheme="majorBidi" w:hAnsiTheme="majorBidi" w:cstheme="majorBidi"/>
          <w:i/>
        </w:rPr>
        <w:t>Cardozo Studies in Law &amp; Literature</w:t>
      </w:r>
      <w:r w:rsidR="002E5C93">
        <w:rPr>
          <w:rFonts w:asciiTheme="majorBidi" w:hAnsiTheme="majorBidi" w:cstheme="majorBidi"/>
        </w:rPr>
        <w:t xml:space="preserve"> </w:t>
      </w:r>
      <w:r w:rsidR="002E5C93" w:rsidRPr="00573265">
        <w:rPr>
          <w:rFonts w:asciiTheme="majorBidi" w:hAnsiTheme="majorBidi" w:cstheme="majorBidi"/>
          <w:b/>
        </w:rPr>
        <w:t>7</w:t>
      </w:r>
      <w:r w:rsidR="002E5C93">
        <w:rPr>
          <w:rFonts w:asciiTheme="majorBidi" w:hAnsiTheme="majorBidi" w:cstheme="majorBidi"/>
        </w:rPr>
        <w:t>,</w:t>
      </w:r>
      <w:r w:rsidRPr="00082300">
        <w:rPr>
          <w:rFonts w:asciiTheme="majorBidi" w:hAnsiTheme="majorBidi" w:cstheme="majorBidi"/>
        </w:rPr>
        <w:t xml:space="preserve"> 131 at 155.</w:t>
      </w:r>
    </w:p>
  </w:footnote>
  <w:footnote w:id="127">
    <w:p w:rsidR="005A70AA" w:rsidRDefault="005A70AA" w:rsidP="00BB6246">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Locke</w:t>
      </w:r>
      <w:r w:rsidR="002E5C93" w:rsidRPr="00573265">
        <w:rPr>
          <w:rFonts w:asciiTheme="majorBidi" w:hAnsiTheme="majorBidi" w:cstheme="majorBidi"/>
          <w:b/>
        </w:rPr>
        <w:t xml:space="preserve"> J</w:t>
      </w:r>
      <w:r w:rsidR="002E5C93">
        <w:rPr>
          <w:rFonts w:asciiTheme="majorBidi" w:hAnsiTheme="majorBidi" w:cstheme="majorBidi"/>
        </w:rPr>
        <w:t xml:space="preserve"> (1988)</w:t>
      </w:r>
      <w:r w:rsidRPr="00082300">
        <w:rPr>
          <w:rFonts w:asciiTheme="majorBidi" w:hAnsiTheme="majorBidi" w:cstheme="majorBidi"/>
        </w:rPr>
        <w:t xml:space="preserve"> </w:t>
      </w:r>
      <w:r w:rsidRPr="00082300">
        <w:rPr>
          <w:rFonts w:asciiTheme="majorBidi" w:hAnsiTheme="majorBidi" w:cstheme="majorBidi"/>
          <w:i/>
          <w:iCs/>
        </w:rPr>
        <w:t xml:space="preserve">Two Treaties of Government </w:t>
      </w:r>
      <w:r w:rsidRPr="00082300">
        <w:rPr>
          <w:rFonts w:asciiTheme="majorBidi" w:hAnsiTheme="majorBidi" w:cstheme="majorBidi"/>
        </w:rPr>
        <w:t xml:space="preserve">(P Laslett, ed.) Cambridge: Cambridge University Press,  </w:t>
      </w:r>
    </w:p>
    <w:p w:rsidR="005A70AA" w:rsidRPr="002D64BA" w:rsidRDefault="005A70AA" w:rsidP="00BB6246">
      <w:pPr>
        <w:pStyle w:val="FootnoteText"/>
        <w:jc w:val="both"/>
        <w:rPr>
          <w:rFonts w:asciiTheme="majorBidi" w:hAnsiTheme="majorBidi"/>
        </w:rPr>
      </w:pPr>
      <w:r w:rsidRPr="002D64BA">
        <w:rPr>
          <w:rFonts w:asciiTheme="majorBidi" w:hAnsiTheme="majorBidi"/>
        </w:rPr>
        <w:t>para. 27 (ch. 5).</w:t>
      </w:r>
    </w:p>
  </w:footnote>
  <w:footnote w:id="128">
    <w:p w:rsidR="005A70AA" w:rsidRPr="002D64BA" w:rsidRDefault="005A70AA" w:rsidP="00A1382B">
      <w:pPr>
        <w:pStyle w:val="FootnoteText"/>
        <w:jc w:val="both"/>
        <w:rPr>
          <w:rFonts w:asciiTheme="majorBidi" w:hAnsiTheme="majorBidi"/>
        </w:rPr>
      </w:pPr>
      <w:r w:rsidRPr="00082300">
        <w:rPr>
          <w:rStyle w:val="FootnoteReference"/>
          <w:rFonts w:asciiTheme="majorBidi" w:hAnsiTheme="majorBidi" w:cstheme="majorBidi"/>
        </w:rPr>
        <w:footnoteRef/>
      </w:r>
      <w:r w:rsidRPr="002D64BA">
        <w:rPr>
          <w:rFonts w:asciiTheme="majorBidi" w:hAnsiTheme="majorBidi"/>
        </w:rPr>
        <w:t xml:space="preserve"> Davies &amp; Naffine (n</w:t>
      </w:r>
      <w:r>
        <w:rPr>
          <w:rFonts w:asciiTheme="majorBidi" w:hAnsiTheme="majorBidi"/>
        </w:rPr>
        <w:t>8</w:t>
      </w:r>
      <w:r w:rsidR="002E5C93">
        <w:rPr>
          <w:rFonts w:asciiTheme="majorBidi" w:hAnsiTheme="majorBidi"/>
        </w:rPr>
        <w:t>8</w:t>
      </w:r>
      <w:r w:rsidRPr="002D64BA">
        <w:rPr>
          <w:rFonts w:asciiTheme="majorBidi" w:hAnsiTheme="majorBidi"/>
        </w:rPr>
        <w:t>),  67, 183-184.</w:t>
      </w:r>
    </w:p>
  </w:footnote>
  <w:footnote w:id="129">
    <w:p w:rsidR="005A70AA" w:rsidRPr="00082300" w:rsidRDefault="005A70AA" w:rsidP="00BB6246">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Hegal</w:t>
      </w:r>
      <w:r w:rsidR="002E5C93" w:rsidRPr="00573265">
        <w:rPr>
          <w:rFonts w:asciiTheme="majorBidi" w:hAnsiTheme="majorBidi" w:cstheme="majorBidi"/>
          <w:b/>
        </w:rPr>
        <w:t xml:space="preserve"> G W F</w:t>
      </w:r>
      <w:r w:rsidR="002E5C93">
        <w:rPr>
          <w:rFonts w:asciiTheme="majorBidi" w:hAnsiTheme="majorBidi" w:cstheme="majorBidi"/>
        </w:rPr>
        <w:t xml:space="preserve"> (2005)</w:t>
      </w:r>
      <w:r w:rsidRPr="00082300">
        <w:rPr>
          <w:rFonts w:asciiTheme="majorBidi" w:hAnsiTheme="majorBidi" w:cstheme="majorBidi"/>
          <w:i/>
          <w:iCs/>
        </w:rPr>
        <w:t xml:space="preserve"> Philosophy of Right </w:t>
      </w:r>
      <w:r w:rsidRPr="00082300">
        <w:rPr>
          <w:rFonts w:asciiTheme="majorBidi" w:hAnsiTheme="majorBidi" w:cstheme="majorBidi"/>
        </w:rPr>
        <w:t>(Trans. S W Dyde) New York: Dover Publications, Inc.</w:t>
      </w:r>
    </w:p>
  </w:footnote>
  <w:footnote w:id="130">
    <w:p w:rsidR="005A70AA" w:rsidRPr="00082300" w:rsidRDefault="005A70AA" w:rsidP="00F74824">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Macpherson</w:t>
      </w:r>
      <w:r w:rsidR="002E5C93" w:rsidRPr="00573265">
        <w:rPr>
          <w:rFonts w:asciiTheme="majorBidi" w:hAnsiTheme="majorBidi" w:cstheme="majorBidi"/>
          <w:b/>
        </w:rPr>
        <w:t xml:space="preserve"> C B</w:t>
      </w:r>
      <w:r w:rsidR="002E5C93">
        <w:rPr>
          <w:rFonts w:asciiTheme="majorBidi" w:hAnsiTheme="majorBidi" w:cstheme="majorBidi"/>
        </w:rPr>
        <w:t xml:space="preserve"> (1962)</w:t>
      </w:r>
      <w:r w:rsidRPr="00082300">
        <w:rPr>
          <w:rFonts w:asciiTheme="majorBidi" w:hAnsiTheme="majorBidi" w:cstheme="majorBidi"/>
        </w:rPr>
        <w:t xml:space="preserve"> </w:t>
      </w:r>
      <w:r w:rsidRPr="00082300">
        <w:rPr>
          <w:rFonts w:asciiTheme="majorBidi" w:hAnsiTheme="majorBidi" w:cstheme="majorBidi"/>
          <w:i/>
          <w:iCs/>
        </w:rPr>
        <w:t>The Political Theory of Possessive Individualism: Hobbes To Locke</w:t>
      </w:r>
      <w:r w:rsidR="002E5C93">
        <w:rPr>
          <w:rFonts w:asciiTheme="majorBidi" w:hAnsiTheme="majorBidi" w:cstheme="majorBidi"/>
          <w:i/>
          <w:iCs/>
        </w:rPr>
        <w:t>.</w:t>
      </w:r>
      <w:r w:rsidRPr="00082300">
        <w:rPr>
          <w:rFonts w:asciiTheme="majorBidi" w:hAnsiTheme="majorBidi" w:cstheme="majorBidi"/>
        </w:rPr>
        <w:t xml:space="preserve"> Oxford: Oxford University Press</w:t>
      </w:r>
      <w:r w:rsidR="002E5C93">
        <w:rPr>
          <w:rFonts w:asciiTheme="majorBidi" w:hAnsiTheme="majorBidi" w:cstheme="majorBidi"/>
        </w:rPr>
        <w:t>.</w:t>
      </w:r>
    </w:p>
  </w:footnote>
  <w:footnote w:id="131">
    <w:p w:rsidR="005A70AA" w:rsidRPr="00082300" w:rsidRDefault="005A70AA" w:rsidP="00F74824">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Strathern</w:t>
      </w:r>
      <w:r>
        <w:rPr>
          <w:rFonts w:asciiTheme="majorBidi" w:hAnsiTheme="majorBidi" w:cstheme="majorBidi"/>
        </w:rPr>
        <w:t xml:space="preserve"> (n49)</w:t>
      </w:r>
      <w:r w:rsidRPr="00082300">
        <w:rPr>
          <w:rFonts w:asciiTheme="majorBidi" w:hAnsiTheme="majorBidi" w:cstheme="majorBidi"/>
        </w:rPr>
        <w:t xml:space="preserve">, 6-11. </w:t>
      </w:r>
      <w:r w:rsidRPr="00573265">
        <w:rPr>
          <w:rFonts w:asciiTheme="majorBidi" w:hAnsiTheme="majorBidi" w:cstheme="majorBidi"/>
          <w:b/>
        </w:rPr>
        <w:t>Edwards</w:t>
      </w:r>
      <w:r w:rsidR="002E5C93" w:rsidRPr="00573265">
        <w:rPr>
          <w:rFonts w:asciiTheme="majorBidi" w:hAnsiTheme="majorBidi" w:cstheme="majorBidi"/>
          <w:b/>
        </w:rPr>
        <w:t xml:space="preserve"> J</w:t>
      </w:r>
      <w:r w:rsidRPr="00573265">
        <w:rPr>
          <w:rFonts w:asciiTheme="majorBidi" w:hAnsiTheme="majorBidi" w:cstheme="majorBidi"/>
          <w:b/>
        </w:rPr>
        <w:t xml:space="preserve"> &amp; Petrović-Šteger</w:t>
      </w:r>
      <w:r w:rsidR="002E5C93" w:rsidRPr="00573265">
        <w:rPr>
          <w:rFonts w:asciiTheme="majorBidi" w:hAnsiTheme="majorBidi" w:cstheme="majorBidi"/>
          <w:b/>
        </w:rPr>
        <w:t xml:space="preserve"> M</w:t>
      </w:r>
      <w:r w:rsidR="002E5C93">
        <w:rPr>
          <w:rFonts w:asciiTheme="majorBidi" w:hAnsiTheme="majorBidi" w:cstheme="majorBidi"/>
        </w:rPr>
        <w:t xml:space="preserve"> (2011)</w:t>
      </w:r>
      <w:r w:rsidRPr="00082300">
        <w:rPr>
          <w:rFonts w:asciiTheme="majorBidi" w:hAnsiTheme="majorBidi" w:cstheme="majorBidi"/>
        </w:rPr>
        <w:t xml:space="preserve"> ‘On Recombinant Knowledge and Debts That Inspire’ in J Edwards &amp; M Petrović-Šteger (eds) </w:t>
      </w:r>
      <w:r w:rsidRPr="00082300">
        <w:rPr>
          <w:rFonts w:asciiTheme="majorBidi" w:hAnsiTheme="majorBidi" w:cstheme="majorBidi"/>
          <w:i/>
          <w:iCs/>
        </w:rPr>
        <w:t>Recasting Anthropological Knowledge: Inspiration and Social Science</w:t>
      </w:r>
      <w:r w:rsidR="002E5C93">
        <w:rPr>
          <w:rFonts w:asciiTheme="majorBidi" w:hAnsiTheme="majorBidi" w:cstheme="majorBidi"/>
          <w:i/>
          <w:iCs/>
        </w:rPr>
        <w:t>.</w:t>
      </w:r>
      <w:r w:rsidRPr="00082300">
        <w:rPr>
          <w:rFonts w:asciiTheme="majorBidi" w:hAnsiTheme="majorBidi" w:cstheme="majorBidi"/>
        </w:rPr>
        <w:t xml:space="preserve"> Cambridge: Cambridge University Press, 3-4.</w:t>
      </w:r>
    </w:p>
  </w:footnote>
  <w:footnote w:id="132">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Strathern</w:t>
      </w:r>
      <w:r>
        <w:rPr>
          <w:rFonts w:asciiTheme="majorBidi" w:hAnsiTheme="majorBidi" w:cstheme="majorBidi"/>
        </w:rPr>
        <w:t xml:space="preserve"> (n49)</w:t>
      </w:r>
      <w:r w:rsidRPr="00082300">
        <w:rPr>
          <w:rFonts w:asciiTheme="majorBidi" w:hAnsiTheme="majorBidi" w:cstheme="majorBidi"/>
        </w:rPr>
        <w:t>, at 22-25.</w:t>
      </w:r>
    </w:p>
  </w:footnote>
  <w:footnote w:id="133">
    <w:p w:rsidR="005A70AA" w:rsidRPr="00082300" w:rsidRDefault="005A70AA" w:rsidP="00F74824">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9E212E">
        <w:rPr>
          <w:rFonts w:asciiTheme="majorBidi" w:hAnsiTheme="majorBidi" w:cstheme="majorBidi"/>
          <w:i/>
        </w:rPr>
        <w:t>Ibid</w:t>
      </w:r>
      <w:r>
        <w:rPr>
          <w:rFonts w:asciiTheme="majorBidi" w:hAnsiTheme="majorBidi" w:cstheme="majorBidi"/>
        </w:rPr>
        <w:t>.,</w:t>
      </w:r>
      <w:r w:rsidRPr="00082300">
        <w:rPr>
          <w:rFonts w:asciiTheme="majorBidi" w:hAnsiTheme="majorBidi" w:cstheme="majorBidi"/>
        </w:rPr>
        <w:t xml:space="preserve"> at 82.</w:t>
      </w:r>
    </w:p>
  </w:footnote>
  <w:footnote w:id="134">
    <w:p w:rsidR="005A70AA" w:rsidRPr="00082300" w:rsidRDefault="005A70AA" w:rsidP="00916452">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Riles</w:t>
      </w:r>
      <w:r w:rsidR="002E5C93" w:rsidRPr="00573265">
        <w:rPr>
          <w:rFonts w:asciiTheme="majorBidi" w:hAnsiTheme="majorBidi" w:cstheme="majorBidi"/>
          <w:b/>
        </w:rPr>
        <w:t xml:space="preserve"> A</w:t>
      </w:r>
      <w:r w:rsidR="002E5C93">
        <w:rPr>
          <w:rFonts w:asciiTheme="majorBidi" w:hAnsiTheme="majorBidi" w:cstheme="majorBidi"/>
        </w:rPr>
        <w:t xml:space="preserve"> (2011)</w:t>
      </w:r>
      <w:r w:rsidRPr="00082300">
        <w:rPr>
          <w:rFonts w:asciiTheme="majorBidi" w:hAnsiTheme="majorBidi" w:cstheme="majorBidi"/>
        </w:rPr>
        <w:t>, ‘Too Big to Fail’ in Edwards &amp; Petrović-Šteger (</w:t>
      </w:r>
      <w:r>
        <w:rPr>
          <w:rFonts w:asciiTheme="majorBidi" w:hAnsiTheme="majorBidi" w:cstheme="majorBidi"/>
        </w:rPr>
        <w:t>n1</w:t>
      </w:r>
      <w:r w:rsidR="002E5C93">
        <w:rPr>
          <w:rFonts w:asciiTheme="majorBidi" w:hAnsiTheme="majorBidi" w:cstheme="majorBidi"/>
        </w:rPr>
        <w:t>30</w:t>
      </w:r>
      <w:r w:rsidRPr="00082300">
        <w:rPr>
          <w:rFonts w:asciiTheme="majorBidi" w:hAnsiTheme="majorBidi" w:cstheme="majorBidi"/>
        </w:rPr>
        <w:t xml:space="preserve">), 43. </w:t>
      </w:r>
      <w:r w:rsidRPr="00573265">
        <w:rPr>
          <w:rFonts w:asciiTheme="majorBidi" w:hAnsiTheme="majorBidi" w:cstheme="majorBidi"/>
          <w:b/>
        </w:rPr>
        <w:t>Putniṋa</w:t>
      </w:r>
      <w:r w:rsidR="002E5C93" w:rsidRPr="00573265">
        <w:rPr>
          <w:rFonts w:asciiTheme="majorBidi" w:hAnsiTheme="majorBidi" w:cstheme="majorBidi"/>
          <w:b/>
        </w:rPr>
        <w:t xml:space="preserve"> A</w:t>
      </w:r>
      <w:r w:rsidR="002E5C93">
        <w:rPr>
          <w:rFonts w:asciiTheme="majorBidi" w:hAnsiTheme="majorBidi" w:cstheme="majorBidi"/>
        </w:rPr>
        <w:t xml:space="preserve"> (2011)</w:t>
      </w:r>
      <w:r w:rsidRPr="00082300">
        <w:rPr>
          <w:rFonts w:asciiTheme="majorBidi" w:hAnsiTheme="majorBidi" w:cstheme="majorBidi"/>
        </w:rPr>
        <w:t>, ‘Invisible Families: Imagining Relations in Families Based on Same-Sex Partnerships’ in Edwards &amp; Petrović-Šteger (</w:t>
      </w:r>
      <w:r>
        <w:rPr>
          <w:rFonts w:asciiTheme="majorBidi" w:hAnsiTheme="majorBidi" w:cstheme="majorBidi"/>
        </w:rPr>
        <w:t>n1</w:t>
      </w:r>
      <w:r w:rsidR="002E5C93">
        <w:rPr>
          <w:rFonts w:asciiTheme="majorBidi" w:hAnsiTheme="majorBidi" w:cstheme="majorBidi"/>
        </w:rPr>
        <w:t>30</w:t>
      </w:r>
      <w:r w:rsidRPr="00082300">
        <w:rPr>
          <w:rFonts w:asciiTheme="majorBidi" w:hAnsiTheme="majorBidi" w:cstheme="majorBidi"/>
        </w:rPr>
        <w:t>), 108.</w:t>
      </w:r>
    </w:p>
  </w:footnote>
  <w:footnote w:id="135">
    <w:p w:rsidR="005A70AA" w:rsidRPr="00082300" w:rsidRDefault="005A70AA" w:rsidP="00916452">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Matthews</w:t>
      </w:r>
      <w:r>
        <w:rPr>
          <w:rFonts w:asciiTheme="majorBidi" w:hAnsiTheme="majorBidi" w:cstheme="majorBidi"/>
        </w:rPr>
        <w:t xml:space="preserve"> (n4</w:t>
      </w:r>
      <w:r w:rsidR="000F4E46">
        <w:rPr>
          <w:rFonts w:asciiTheme="majorBidi" w:hAnsiTheme="majorBidi" w:cstheme="majorBidi"/>
        </w:rPr>
        <w:t>8</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b/>
        </w:rPr>
        <w:t>Naffine</w:t>
      </w:r>
      <w:r w:rsidR="000F4E46" w:rsidRPr="00573265">
        <w:rPr>
          <w:rFonts w:asciiTheme="majorBidi" w:hAnsiTheme="majorBidi" w:cstheme="majorBidi"/>
          <w:b/>
        </w:rPr>
        <w:t xml:space="preserve"> N</w:t>
      </w:r>
      <w:r w:rsidR="000F4E46">
        <w:rPr>
          <w:rFonts w:asciiTheme="majorBidi" w:hAnsiTheme="majorBidi" w:cstheme="majorBidi"/>
        </w:rPr>
        <w:t xml:space="preserve"> (1999)</w:t>
      </w:r>
      <w:r w:rsidRPr="00082300">
        <w:rPr>
          <w:rFonts w:asciiTheme="majorBidi" w:hAnsiTheme="majorBidi" w:cstheme="majorBidi"/>
        </w:rPr>
        <w:t xml:space="preserve"> ‘“But a Lump of Earth”? The Legal Status of the Corpse’ in D Manderson </w:t>
      </w:r>
      <w:r w:rsidR="000F4E46">
        <w:rPr>
          <w:rFonts w:asciiTheme="majorBidi" w:hAnsiTheme="majorBidi" w:cstheme="majorBidi"/>
        </w:rPr>
        <w:t>(</w:t>
      </w:r>
      <w:r w:rsidRPr="00082300">
        <w:rPr>
          <w:rFonts w:asciiTheme="majorBidi" w:hAnsiTheme="majorBidi" w:cstheme="majorBidi"/>
        </w:rPr>
        <w:t>ed</w:t>
      </w:r>
      <w:r w:rsidR="000F4E46">
        <w:rPr>
          <w:rFonts w:asciiTheme="majorBidi" w:hAnsiTheme="majorBidi" w:cstheme="majorBidi"/>
        </w:rPr>
        <w:t>)</w:t>
      </w:r>
      <w:r w:rsidRPr="00082300">
        <w:rPr>
          <w:rFonts w:asciiTheme="majorBidi" w:hAnsiTheme="majorBidi" w:cstheme="majorBidi"/>
        </w:rPr>
        <w:t xml:space="preserve"> </w:t>
      </w:r>
      <w:r w:rsidRPr="00082300">
        <w:rPr>
          <w:rFonts w:asciiTheme="majorBidi" w:hAnsiTheme="majorBidi" w:cstheme="majorBidi"/>
          <w:i/>
          <w:iCs/>
        </w:rPr>
        <w:t>Courting Death: The Law of Mortality</w:t>
      </w:r>
      <w:r w:rsidR="000F4E46">
        <w:rPr>
          <w:rFonts w:asciiTheme="majorBidi" w:hAnsiTheme="majorBidi" w:cstheme="majorBidi"/>
          <w:i/>
          <w:iCs/>
        </w:rPr>
        <w:t>.</w:t>
      </w:r>
      <w:r w:rsidRPr="00082300">
        <w:rPr>
          <w:rFonts w:asciiTheme="majorBidi" w:hAnsiTheme="majorBidi" w:cstheme="majorBidi"/>
        </w:rPr>
        <w:t xml:space="preserve"> London: Pluto Press, 95-106</w:t>
      </w:r>
      <w:r>
        <w:rPr>
          <w:rFonts w:asciiTheme="majorBidi" w:hAnsiTheme="majorBidi" w:cstheme="majorBidi"/>
        </w:rPr>
        <w:t>.</w:t>
      </w:r>
    </w:p>
  </w:footnote>
  <w:footnote w:id="136">
    <w:p w:rsidR="005A70AA" w:rsidRPr="00082300" w:rsidRDefault="005A70AA" w:rsidP="00D14C0A">
      <w:pPr>
        <w:pStyle w:val="FootnoteText"/>
        <w:jc w:val="both"/>
        <w:rPr>
          <w:rFonts w:asciiTheme="majorBidi" w:hAnsiTheme="majorBidi" w:cstheme="majorBidi"/>
        </w:rPr>
      </w:pPr>
      <w:r w:rsidRPr="00082300">
        <w:rPr>
          <w:rStyle w:val="FootnoteReference"/>
          <w:rFonts w:asciiTheme="majorBidi" w:hAnsiTheme="majorBidi" w:cstheme="majorBidi"/>
        </w:rPr>
        <w:footnoteRef/>
      </w:r>
      <w:r>
        <w:rPr>
          <w:rFonts w:asciiTheme="majorBidi" w:hAnsiTheme="majorBidi" w:cstheme="majorBidi"/>
        </w:rPr>
        <w:t xml:space="preserve"> </w:t>
      </w:r>
      <w:r w:rsidRPr="00573265">
        <w:rPr>
          <w:rFonts w:asciiTheme="majorBidi" w:hAnsiTheme="majorBidi" w:cstheme="majorBidi"/>
          <w:b/>
        </w:rPr>
        <w:t>Scott</w:t>
      </w:r>
      <w:r w:rsidR="000F4E46" w:rsidRPr="00573265">
        <w:rPr>
          <w:rFonts w:asciiTheme="majorBidi" w:hAnsiTheme="majorBidi" w:cstheme="majorBidi"/>
          <w:b/>
        </w:rPr>
        <w:t xml:space="preserve"> R </w:t>
      </w:r>
      <w:r w:rsidR="000F4E46">
        <w:rPr>
          <w:rFonts w:asciiTheme="majorBidi" w:hAnsiTheme="majorBidi" w:cstheme="majorBidi"/>
        </w:rPr>
        <w:t>(1981)</w:t>
      </w:r>
      <w:r w:rsidRPr="00082300">
        <w:rPr>
          <w:rFonts w:asciiTheme="majorBidi" w:hAnsiTheme="majorBidi" w:cstheme="majorBidi"/>
        </w:rPr>
        <w:t xml:space="preserve"> </w:t>
      </w:r>
      <w:r w:rsidRPr="00082300">
        <w:rPr>
          <w:rFonts w:asciiTheme="majorBidi" w:hAnsiTheme="majorBidi" w:cstheme="majorBidi"/>
          <w:i/>
          <w:iCs/>
        </w:rPr>
        <w:t>The Body As Property</w:t>
      </w:r>
      <w:r w:rsidR="000F4E46">
        <w:rPr>
          <w:rFonts w:asciiTheme="majorBidi" w:hAnsiTheme="majorBidi" w:cstheme="majorBidi"/>
          <w:i/>
          <w:iCs/>
        </w:rPr>
        <w:t>.</w:t>
      </w:r>
      <w:r w:rsidRPr="00082300">
        <w:rPr>
          <w:rFonts w:asciiTheme="majorBidi" w:hAnsiTheme="majorBidi" w:cstheme="majorBidi"/>
        </w:rPr>
        <w:t xml:space="preserve"> New York: The Viking Press</w:t>
      </w:r>
      <w:r w:rsidR="000F4E46">
        <w:rPr>
          <w:rFonts w:asciiTheme="majorBidi" w:hAnsiTheme="majorBidi" w:cstheme="majorBidi"/>
        </w:rPr>
        <w:t>.</w:t>
      </w:r>
    </w:p>
  </w:footnote>
  <w:footnote w:id="137">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Physician Act 1540 (Privileges) c. 40; Act Concerning Barbers and Chirurgians 1540, c. 42.</w:t>
      </w:r>
    </w:p>
  </w:footnote>
  <w:footnote w:id="138">
    <w:p w:rsidR="008442D8"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Ball</w:t>
      </w:r>
      <w:r w:rsidR="000F4E46" w:rsidRPr="00573265">
        <w:rPr>
          <w:rFonts w:asciiTheme="majorBidi" w:hAnsiTheme="majorBidi" w:cstheme="majorBidi"/>
          <w:b/>
        </w:rPr>
        <w:t xml:space="preserve"> J M</w:t>
      </w:r>
      <w:r w:rsidR="000F4E46">
        <w:rPr>
          <w:rFonts w:asciiTheme="majorBidi" w:hAnsiTheme="majorBidi" w:cstheme="majorBidi"/>
        </w:rPr>
        <w:t xml:space="preserve"> (1989)</w:t>
      </w:r>
      <w:r w:rsidRPr="00082300">
        <w:rPr>
          <w:rFonts w:asciiTheme="majorBidi" w:hAnsiTheme="majorBidi" w:cstheme="majorBidi"/>
        </w:rPr>
        <w:t xml:space="preserve"> </w:t>
      </w:r>
      <w:r w:rsidRPr="00082300">
        <w:rPr>
          <w:rFonts w:asciiTheme="majorBidi" w:hAnsiTheme="majorBidi" w:cstheme="majorBidi"/>
          <w:i/>
          <w:iCs/>
        </w:rPr>
        <w:t>The Body Snatchers: Doctors, Grave Robbers and the Law</w:t>
      </w:r>
      <w:r w:rsidR="000F4E46">
        <w:rPr>
          <w:rFonts w:asciiTheme="majorBidi" w:hAnsiTheme="majorBidi" w:cstheme="majorBidi"/>
          <w:i/>
          <w:iCs/>
        </w:rPr>
        <w:t>.</w:t>
      </w:r>
      <w:r w:rsidRPr="00082300">
        <w:rPr>
          <w:rFonts w:asciiTheme="majorBidi" w:hAnsiTheme="majorBidi" w:cstheme="majorBidi"/>
        </w:rPr>
        <w:t xml:space="preserve"> New York: Dorset Press,  </w:t>
      </w:r>
    </w:p>
    <w:p w:rsidR="005A70AA" w:rsidRPr="00082300" w:rsidRDefault="008442D8" w:rsidP="006F09FC">
      <w:pPr>
        <w:pStyle w:val="FootnoteText"/>
        <w:jc w:val="both"/>
        <w:rPr>
          <w:rFonts w:asciiTheme="majorBidi" w:hAnsiTheme="majorBidi" w:cstheme="majorBidi"/>
        </w:rPr>
      </w:pPr>
      <w:r>
        <w:rPr>
          <w:rFonts w:asciiTheme="majorBidi" w:hAnsiTheme="majorBidi" w:cstheme="majorBidi"/>
        </w:rPr>
        <w:t xml:space="preserve">      </w:t>
      </w:r>
      <w:r w:rsidR="005A70AA" w:rsidRPr="00082300">
        <w:rPr>
          <w:rFonts w:asciiTheme="majorBidi" w:hAnsiTheme="majorBidi" w:cstheme="majorBidi"/>
        </w:rPr>
        <w:t>59-</w:t>
      </w:r>
      <w:r w:rsidR="005A70AA">
        <w:rPr>
          <w:rFonts w:asciiTheme="majorBidi" w:hAnsiTheme="majorBidi" w:cstheme="majorBidi"/>
        </w:rPr>
        <w:t xml:space="preserve"> </w:t>
      </w:r>
      <w:r w:rsidR="005A70AA" w:rsidRPr="00082300">
        <w:rPr>
          <w:rFonts w:asciiTheme="majorBidi" w:hAnsiTheme="majorBidi" w:cstheme="majorBidi"/>
        </w:rPr>
        <w:t>60.</w:t>
      </w:r>
    </w:p>
  </w:footnote>
  <w:footnote w:id="139">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Pr>
          <w:rFonts w:asciiTheme="majorBidi" w:hAnsiTheme="majorBidi" w:cstheme="majorBidi"/>
        </w:rPr>
        <w:t xml:space="preserve"> </w:t>
      </w:r>
      <w:r w:rsidRPr="00573265">
        <w:rPr>
          <w:rFonts w:asciiTheme="majorBidi" w:hAnsiTheme="majorBidi" w:cstheme="majorBidi"/>
          <w:b/>
        </w:rPr>
        <w:t>Mahony</w:t>
      </w:r>
      <w:r w:rsidR="000F4E46" w:rsidRPr="00573265">
        <w:rPr>
          <w:rFonts w:asciiTheme="majorBidi" w:hAnsiTheme="majorBidi" w:cstheme="majorBidi"/>
          <w:b/>
        </w:rPr>
        <w:t xml:space="preserve"> J D</w:t>
      </w:r>
      <w:r w:rsidR="000F4E46">
        <w:rPr>
          <w:rFonts w:asciiTheme="majorBidi" w:hAnsiTheme="majorBidi" w:cstheme="majorBidi"/>
        </w:rPr>
        <w:t xml:space="preserve"> (2000)</w:t>
      </w:r>
      <w:r w:rsidRPr="00082300">
        <w:rPr>
          <w:rFonts w:asciiTheme="majorBidi" w:hAnsiTheme="majorBidi" w:cstheme="majorBidi"/>
        </w:rPr>
        <w:t xml:space="preserve"> The Market for Human Tissue</w:t>
      </w:r>
      <w:r w:rsidR="000F4E46">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i/>
        </w:rPr>
        <w:t>V</w:t>
      </w:r>
      <w:r w:rsidR="000F4E46" w:rsidRPr="00573265">
        <w:rPr>
          <w:rFonts w:asciiTheme="majorBidi" w:hAnsiTheme="majorBidi" w:cstheme="majorBidi"/>
          <w:i/>
        </w:rPr>
        <w:t>irgini</w:t>
      </w:r>
      <w:r w:rsidRPr="00573265">
        <w:rPr>
          <w:rFonts w:asciiTheme="majorBidi" w:hAnsiTheme="majorBidi" w:cstheme="majorBidi"/>
          <w:i/>
        </w:rPr>
        <w:t>a L</w:t>
      </w:r>
      <w:r w:rsidR="000F4E46" w:rsidRPr="00573265">
        <w:rPr>
          <w:rFonts w:asciiTheme="majorBidi" w:hAnsiTheme="majorBidi" w:cstheme="majorBidi"/>
          <w:i/>
        </w:rPr>
        <w:t>aw</w:t>
      </w:r>
      <w:r w:rsidRPr="00573265">
        <w:rPr>
          <w:rFonts w:asciiTheme="majorBidi" w:hAnsiTheme="majorBidi" w:cstheme="majorBidi"/>
          <w:i/>
        </w:rPr>
        <w:t xml:space="preserve"> Rev</w:t>
      </w:r>
      <w:r w:rsidR="000F4E46" w:rsidRPr="00573265">
        <w:rPr>
          <w:rFonts w:asciiTheme="majorBidi" w:hAnsiTheme="majorBidi" w:cstheme="majorBidi"/>
          <w:i/>
        </w:rPr>
        <w:t>iew</w:t>
      </w:r>
      <w:r w:rsidR="000F4E46">
        <w:rPr>
          <w:rFonts w:asciiTheme="majorBidi" w:hAnsiTheme="majorBidi" w:cstheme="majorBidi"/>
        </w:rPr>
        <w:t xml:space="preserve"> </w:t>
      </w:r>
      <w:r w:rsidR="000F4E46" w:rsidRPr="00573265">
        <w:rPr>
          <w:rFonts w:asciiTheme="majorBidi" w:hAnsiTheme="majorBidi" w:cstheme="majorBidi"/>
          <w:b/>
        </w:rPr>
        <w:t>86,</w:t>
      </w:r>
      <w:r w:rsidRPr="00082300">
        <w:rPr>
          <w:rFonts w:asciiTheme="majorBidi" w:hAnsiTheme="majorBidi" w:cstheme="majorBidi"/>
        </w:rPr>
        <w:t xml:space="preserve"> 163.</w:t>
      </w:r>
    </w:p>
  </w:footnote>
  <w:footnote w:id="140">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Noble</w:t>
      </w:r>
      <w:r>
        <w:rPr>
          <w:rFonts w:asciiTheme="majorBidi" w:hAnsiTheme="majorBidi" w:cstheme="majorBidi"/>
        </w:rPr>
        <w:t xml:space="preserve"> (n9)</w:t>
      </w:r>
      <w:r w:rsidRPr="00082300">
        <w:rPr>
          <w:rFonts w:asciiTheme="majorBidi" w:hAnsiTheme="majorBidi" w:cstheme="majorBidi"/>
        </w:rPr>
        <w:t>, at 27.</w:t>
      </w:r>
    </w:p>
  </w:footnote>
  <w:footnote w:id="141">
    <w:p w:rsidR="005A70AA" w:rsidRPr="00082300" w:rsidRDefault="005A70AA" w:rsidP="00D14C0A">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Richardson (</w:t>
      </w:r>
      <w:r>
        <w:rPr>
          <w:rFonts w:asciiTheme="majorBidi" w:hAnsiTheme="majorBidi" w:cstheme="majorBidi"/>
        </w:rPr>
        <w:t>n26</w:t>
      </w:r>
      <w:r w:rsidRPr="00082300">
        <w:rPr>
          <w:rFonts w:asciiTheme="majorBidi" w:hAnsiTheme="majorBidi" w:cstheme="majorBidi"/>
        </w:rPr>
        <w:t>), at 156.</w:t>
      </w:r>
    </w:p>
  </w:footnote>
  <w:footnote w:id="142">
    <w:p w:rsidR="005A70AA" w:rsidRPr="00082300" w:rsidRDefault="005A70AA" w:rsidP="00916452">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D14C0A">
        <w:rPr>
          <w:rFonts w:asciiTheme="majorBidi" w:hAnsiTheme="majorBidi" w:cstheme="majorBidi"/>
          <w:i/>
          <w:iCs/>
        </w:rPr>
        <w:t>Dobson</w:t>
      </w:r>
      <w:r>
        <w:rPr>
          <w:rFonts w:asciiTheme="majorBidi" w:hAnsiTheme="majorBidi" w:cstheme="majorBidi"/>
        </w:rPr>
        <w:t xml:space="preserve"> (n56).</w:t>
      </w:r>
    </w:p>
  </w:footnote>
  <w:footnote w:id="143">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Farrell</w:t>
      </w:r>
      <w:r w:rsidR="000F4E46" w:rsidRPr="00573265">
        <w:rPr>
          <w:rFonts w:asciiTheme="majorBidi" w:hAnsiTheme="majorBidi" w:cstheme="majorBidi"/>
          <w:b/>
        </w:rPr>
        <w:t xml:space="preserve"> A</w:t>
      </w:r>
      <w:r w:rsidR="000F4E46">
        <w:rPr>
          <w:rFonts w:asciiTheme="majorBidi" w:hAnsiTheme="majorBidi" w:cstheme="majorBidi"/>
        </w:rPr>
        <w:t xml:space="preserve"> (2012)</w:t>
      </w:r>
      <w:r w:rsidRPr="00082300">
        <w:rPr>
          <w:rFonts w:asciiTheme="majorBidi" w:hAnsiTheme="majorBidi" w:cstheme="majorBidi"/>
        </w:rPr>
        <w:t xml:space="preserve"> </w:t>
      </w:r>
      <w:r w:rsidRPr="00082300">
        <w:rPr>
          <w:rFonts w:asciiTheme="majorBidi" w:hAnsiTheme="majorBidi" w:cstheme="majorBidi"/>
          <w:i/>
          <w:iCs/>
        </w:rPr>
        <w:t>The Politics of Blood: Ethics, Innovation and the Regulation of Risk</w:t>
      </w:r>
      <w:r w:rsidR="000F4E46">
        <w:rPr>
          <w:rFonts w:asciiTheme="majorBidi" w:hAnsiTheme="majorBidi" w:cstheme="majorBidi"/>
          <w:i/>
          <w:iCs/>
        </w:rPr>
        <w:t>.</w:t>
      </w:r>
      <w:r w:rsidRPr="00082300">
        <w:rPr>
          <w:rFonts w:asciiTheme="majorBidi" w:hAnsiTheme="majorBidi" w:cstheme="majorBidi"/>
        </w:rPr>
        <w:t xml:space="preserve"> Cambridge: Cambridge University Press</w:t>
      </w:r>
      <w:r w:rsidR="000F4E46">
        <w:rPr>
          <w:rFonts w:asciiTheme="majorBidi" w:hAnsiTheme="majorBidi" w:cstheme="majorBidi"/>
        </w:rPr>
        <w:t>.</w:t>
      </w:r>
    </w:p>
  </w:footnote>
  <w:footnote w:id="144">
    <w:p w:rsidR="005A70AA" w:rsidRPr="00082300" w:rsidRDefault="005A70AA" w:rsidP="00916452">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Pr>
          <w:rFonts w:asciiTheme="majorBidi" w:hAnsiTheme="majorBidi" w:cstheme="majorBidi"/>
        </w:rPr>
        <w:t>Mahony (n13</w:t>
      </w:r>
      <w:r w:rsidR="007321F0">
        <w:rPr>
          <w:rFonts w:asciiTheme="majorBidi" w:hAnsiTheme="majorBidi" w:cstheme="majorBidi"/>
        </w:rPr>
        <w:t>8</w:t>
      </w:r>
      <w:r>
        <w:rPr>
          <w:rFonts w:asciiTheme="majorBidi" w:hAnsiTheme="majorBidi" w:cstheme="majorBidi"/>
        </w:rPr>
        <w:t>)</w:t>
      </w:r>
      <w:r w:rsidRPr="00082300">
        <w:rPr>
          <w:rFonts w:asciiTheme="majorBidi" w:hAnsiTheme="majorBidi" w:cstheme="majorBidi"/>
        </w:rPr>
        <w:t xml:space="preserve">; </w:t>
      </w:r>
      <w:r w:rsidRPr="00573265">
        <w:rPr>
          <w:rFonts w:asciiTheme="majorBidi" w:hAnsiTheme="majorBidi" w:cstheme="majorBidi"/>
          <w:b/>
        </w:rPr>
        <w:t>Goodwin</w:t>
      </w:r>
      <w:r w:rsidR="007321F0" w:rsidRPr="00573265">
        <w:rPr>
          <w:rFonts w:asciiTheme="majorBidi" w:hAnsiTheme="majorBidi" w:cstheme="majorBidi"/>
          <w:b/>
        </w:rPr>
        <w:t xml:space="preserve"> M</w:t>
      </w:r>
      <w:r w:rsidR="007321F0">
        <w:rPr>
          <w:rFonts w:asciiTheme="majorBidi" w:hAnsiTheme="majorBidi" w:cstheme="majorBidi"/>
        </w:rPr>
        <w:t xml:space="preserve"> (2006)</w:t>
      </w:r>
      <w:r w:rsidRPr="00082300">
        <w:rPr>
          <w:rFonts w:asciiTheme="majorBidi" w:hAnsiTheme="majorBidi" w:cstheme="majorBidi"/>
        </w:rPr>
        <w:t xml:space="preserve"> </w:t>
      </w:r>
      <w:r w:rsidRPr="00082300">
        <w:rPr>
          <w:rFonts w:asciiTheme="majorBidi" w:hAnsiTheme="majorBidi" w:cstheme="majorBidi"/>
          <w:i/>
          <w:iCs/>
        </w:rPr>
        <w:t>Black Markets: The Supply and Demand of Body Parts</w:t>
      </w:r>
      <w:r w:rsidR="007321F0">
        <w:rPr>
          <w:rFonts w:asciiTheme="majorBidi" w:hAnsiTheme="majorBidi" w:cstheme="majorBidi"/>
          <w:i/>
          <w:iCs/>
        </w:rPr>
        <w:t>.</w:t>
      </w:r>
      <w:r w:rsidRPr="00082300">
        <w:rPr>
          <w:rFonts w:asciiTheme="majorBidi" w:hAnsiTheme="majorBidi" w:cstheme="majorBidi"/>
        </w:rPr>
        <w:t xml:space="preserve"> New York: Cambridge University Press</w:t>
      </w:r>
      <w:r w:rsidR="007321F0">
        <w:rPr>
          <w:rFonts w:asciiTheme="majorBidi" w:hAnsiTheme="majorBidi" w:cstheme="majorBidi"/>
        </w:rPr>
        <w:t>.</w:t>
      </w:r>
    </w:p>
  </w:footnote>
  <w:footnote w:id="145">
    <w:p w:rsidR="005A70AA" w:rsidRPr="00082300" w:rsidRDefault="005A70AA" w:rsidP="00916452">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082300">
        <w:rPr>
          <w:rFonts w:asciiTheme="majorBidi" w:hAnsiTheme="majorBidi" w:cstheme="majorBidi"/>
          <w:i/>
          <w:iCs/>
        </w:rPr>
        <w:t>Catalona</w:t>
      </w:r>
      <w:r w:rsidRPr="00082300">
        <w:rPr>
          <w:rFonts w:asciiTheme="majorBidi" w:hAnsiTheme="majorBidi" w:cstheme="majorBidi"/>
        </w:rPr>
        <w:t xml:space="preserve"> </w:t>
      </w:r>
      <w:r>
        <w:rPr>
          <w:rFonts w:asciiTheme="majorBidi" w:hAnsiTheme="majorBidi" w:cstheme="majorBidi"/>
        </w:rPr>
        <w:t>(n58)</w:t>
      </w:r>
      <w:r w:rsidRPr="00082300">
        <w:rPr>
          <w:rFonts w:asciiTheme="majorBidi" w:hAnsiTheme="majorBidi" w:cstheme="majorBidi"/>
        </w:rPr>
        <w:t xml:space="preserve">; </w:t>
      </w:r>
      <w:r w:rsidRPr="00082300">
        <w:rPr>
          <w:rFonts w:asciiTheme="majorBidi" w:hAnsiTheme="majorBidi" w:cstheme="majorBidi"/>
          <w:i/>
          <w:iCs/>
        </w:rPr>
        <w:t>Greenberg</w:t>
      </w:r>
      <w:r>
        <w:rPr>
          <w:rFonts w:asciiTheme="majorBidi" w:hAnsiTheme="majorBidi" w:cstheme="majorBidi"/>
        </w:rPr>
        <w:t xml:space="preserve"> (n59).</w:t>
      </w:r>
    </w:p>
  </w:footnote>
  <w:footnote w:id="146">
    <w:p w:rsidR="005A70AA" w:rsidRPr="00082300" w:rsidRDefault="005A70AA" w:rsidP="006227BD">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70127D">
        <w:rPr>
          <w:rFonts w:asciiTheme="majorBidi" w:hAnsiTheme="majorBidi" w:cstheme="majorBidi"/>
          <w:i/>
          <w:iCs/>
        </w:rPr>
        <w:t>Greenberg</w:t>
      </w:r>
      <w:r>
        <w:rPr>
          <w:rFonts w:asciiTheme="majorBidi" w:hAnsiTheme="majorBidi" w:cstheme="majorBidi"/>
        </w:rPr>
        <w:t xml:space="preserve"> (n59); </w:t>
      </w:r>
      <w:r w:rsidRPr="0070127D">
        <w:rPr>
          <w:rFonts w:asciiTheme="majorBidi" w:hAnsiTheme="majorBidi" w:cstheme="majorBidi"/>
          <w:i/>
          <w:iCs/>
        </w:rPr>
        <w:t>Catalona</w:t>
      </w:r>
      <w:r>
        <w:rPr>
          <w:rFonts w:asciiTheme="majorBidi" w:hAnsiTheme="majorBidi" w:cstheme="majorBidi"/>
        </w:rPr>
        <w:t xml:space="preserve"> (n58); </w:t>
      </w:r>
      <w:r w:rsidRPr="00082300">
        <w:rPr>
          <w:rFonts w:asciiTheme="majorBidi" w:hAnsiTheme="majorBidi" w:cstheme="majorBidi"/>
          <w:i/>
          <w:iCs/>
        </w:rPr>
        <w:t>Moore</w:t>
      </w:r>
      <w:r>
        <w:rPr>
          <w:rFonts w:asciiTheme="majorBidi" w:hAnsiTheme="majorBidi" w:cstheme="majorBidi"/>
        </w:rPr>
        <w:t xml:space="preserve"> (n51)</w:t>
      </w:r>
      <w:r w:rsidRPr="00082300">
        <w:rPr>
          <w:rFonts w:asciiTheme="majorBidi" w:hAnsiTheme="majorBidi" w:cstheme="majorBidi"/>
        </w:rPr>
        <w:t>;</w:t>
      </w:r>
      <w:r w:rsidR="008442D8">
        <w:rPr>
          <w:rFonts w:asciiTheme="majorBidi" w:hAnsiTheme="majorBidi" w:cstheme="majorBidi"/>
        </w:rPr>
        <w:t xml:space="preserve"> </w:t>
      </w:r>
      <w:r w:rsidRPr="00573265">
        <w:rPr>
          <w:rFonts w:asciiTheme="majorBidi" w:hAnsiTheme="majorBidi" w:cstheme="majorBidi"/>
          <w:b/>
        </w:rPr>
        <w:t>Price</w:t>
      </w:r>
      <w:r w:rsidR="007321F0" w:rsidRPr="00573265">
        <w:rPr>
          <w:rFonts w:asciiTheme="majorBidi" w:hAnsiTheme="majorBidi" w:cstheme="majorBidi"/>
          <w:b/>
        </w:rPr>
        <w:t xml:space="preserve"> D</w:t>
      </w:r>
      <w:r w:rsidR="007321F0">
        <w:rPr>
          <w:rFonts w:asciiTheme="majorBidi" w:hAnsiTheme="majorBidi" w:cstheme="majorBidi"/>
        </w:rPr>
        <w:t xml:space="preserve"> (2010)</w:t>
      </w:r>
      <w:r w:rsidRPr="00082300">
        <w:rPr>
          <w:rFonts w:asciiTheme="majorBidi" w:hAnsiTheme="majorBidi" w:cstheme="majorBidi"/>
        </w:rPr>
        <w:t xml:space="preserve"> </w:t>
      </w:r>
      <w:r w:rsidRPr="00082300">
        <w:rPr>
          <w:rFonts w:asciiTheme="majorBidi" w:hAnsiTheme="majorBidi" w:cstheme="majorBidi"/>
          <w:i/>
          <w:iCs/>
        </w:rPr>
        <w:t>Human Tissue in Transplantation and Research</w:t>
      </w:r>
      <w:r>
        <w:rPr>
          <w:rFonts w:asciiTheme="majorBidi" w:hAnsiTheme="majorBidi" w:cstheme="majorBidi"/>
          <w:i/>
          <w:iCs/>
        </w:rPr>
        <w:t>:</w:t>
      </w:r>
      <w:r w:rsidRPr="00082300">
        <w:rPr>
          <w:rFonts w:asciiTheme="majorBidi" w:hAnsiTheme="majorBidi" w:cstheme="majorBidi"/>
          <w:i/>
          <w:iCs/>
        </w:rPr>
        <w:t xml:space="preserve"> A Model Legal and Ethical Donation Framework</w:t>
      </w:r>
      <w:r w:rsidR="007321F0">
        <w:rPr>
          <w:rFonts w:asciiTheme="majorBidi" w:hAnsiTheme="majorBidi" w:cstheme="majorBidi"/>
          <w:i/>
          <w:iCs/>
        </w:rPr>
        <w:t>.</w:t>
      </w:r>
      <w:r w:rsidRPr="00082300">
        <w:rPr>
          <w:rFonts w:asciiTheme="majorBidi" w:hAnsiTheme="majorBidi" w:cstheme="majorBidi"/>
        </w:rPr>
        <w:t xml:space="preserve"> Cambridge: Cambridge University Press, 230.</w:t>
      </w:r>
    </w:p>
  </w:footnote>
  <w:footnote w:id="147">
    <w:p w:rsidR="005A70AA" w:rsidRPr="00082300" w:rsidRDefault="005A70AA" w:rsidP="003806C5">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Mason &amp; Laurie</w:t>
      </w:r>
      <w:r>
        <w:rPr>
          <w:rFonts w:asciiTheme="majorBidi" w:hAnsiTheme="majorBidi" w:cstheme="majorBidi"/>
        </w:rPr>
        <w:t xml:space="preserve"> (n39)</w:t>
      </w:r>
      <w:r w:rsidRPr="00082300">
        <w:rPr>
          <w:rFonts w:asciiTheme="majorBidi" w:hAnsiTheme="majorBidi" w:cstheme="majorBidi"/>
        </w:rPr>
        <w:t>, 719</w:t>
      </w:r>
      <w:r>
        <w:rPr>
          <w:rFonts w:asciiTheme="majorBidi" w:hAnsiTheme="majorBidi" w:cstheme="majorBidi"/>
        </w:rPr>
        <w:t>,</w:t>
      </w:r>
      <w:r w:rsidRPr="00082300">
        <w:rPr>
          <w:rFonts w:asciiTheme="majorBidi" w:hAnsiTheme="majorBidi" w:cstheme="majorBidi"/>
        </w:rPr>
        <w:t xml:space="preserve"> 725.</w:t>
      </w:r>
    </w:p>
  </w:footnote>
  <w:footnote w:id="148">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Brazier</w:t>
      </w:r>
      <w:r w:rsidR="007321F0" w:rsidRPr="00573265">
        <w:rPr>
          <w:rFonts w:asciiTheme="majorBidi" w:hAnsiTheme="majorBidi" w:cstheme="majorBidi"/>
          <w:b/>
        </w:rPr>
        <w:t xml:space="preserve"> M</w:t>
      </w:r>
      <w:r w:rsidR="007321F0">
        <w:rPr>
          <w:rFonts w:asciiTheme="majorBidi" w:hAnsiTheme="majorBidi" w:cstheme="majorBidi"/>
        </w:rPr>
        <w:t xml:space="preserve"> (2002)</w:t>
      </w:r>
      <w:r w:rsidRPr="00082300">
        <w:rPr>
          <w:rFonts w:asciiTheme="majorBidi" w:hAnsiTheme="majorBidi" w:cstheme="majorBidi"/>
        </w:rPr>
        <w:t xml:space="preserve"> Retained organs; ethics and humanity</w:t>
      </w:r>
      <w:r w:rsidR="008442D8">
        <w:rPr>
          <w:rFonts w:asciiTheme="majorBidi" w:hAnsiTheme="majorBidi" w:cstheme="majorBidi"/>
        </w:rPr>
        <w:t xml:space="preserve">. </w:t>
      </w:r>
      <w:r w:rsidRPr="00573265">
        <w:rPr>
          <w:rFonts w:asciiTheme="majorBidi" w:hAnsiTheme="majorBidi" w:cstheme="majorBidi"/>
          <w:i/>
        </w:rPr>
        <w:t>Legal Stud</w:t>
      </w:r>
      <w:r w:rsidR="007321F0" w:rsidRPr="00573265">
        <w:rPr>
          <w:rFonts w:asciiTheme="majorBidi" w:hAnsiTheme="majorBidi" w:cstheme="majorBidi"/>
          <w:i/>
        </w:rPr>
        <w:t>ies</w:t>
      </w:r>
      <w:r w:rsidR="007321F0">
        <w:rPr>
          <w:rFonts w:asciiTheme="majorBidi" w:hAnsiTheme="majorBidi" w:cstheme="majorBidi"/>
        </w:rPr>
        <w:t xml:space="preserve"> </w:t>
      </w:r>
      <w:r w:rsidR="007321F0" w:rsidRPr="00573265">
        <w:rPr>
          <w:rFonts w:asciiTheme="majorBidi" w:hAnsiTheme="majorBidi" w:cstheme="majorBidi"/>
          <w:b/>
        </w:rPr>
        <w:t>22</w:t>
      </w:r>
      <w:r w:rsidR="007321F0">
        <w:rPr>
          <w:rFonts w:asciiTheme="majorBidi" w:hAnsiTheme="majorBidi" w:cstheme="majorBidi"/>
        </w:rPr>
        <w:t>,</w:t>
      </w:r>
      <w:r w:rsidRPr="00082300">
        <w:rPr>
          <w:rFonts w:asciiTheme="majorBidi" w:hAnsiTheme="majorBidi" w:cstheme="majorBidi"/>
        </w:rPr>
        <w:t xml:space="preserve"> 550 at 563.</w:t>
      </w:r>
    </w:p>
  </w:footnote>
  <w:footnote w:id="149">
    <w:p w:rsidR="005A70AA" w:rsidRPr="00E95A2C" w:rsidRDefault="005A70AA">
      <w:pPr>
        <w:pStyle w:val="FootnoteText"/>
        <w:rPr>
          <w:rFonts w:asciiTheme="majorBidi" w:hAnsiTheme="majorBidi" w:cstheme="majorBidi"/>
        </w:rPr>
      </w:pPr>
      <w:r>
        <w:rPr>
          <w:rStyle w:val="FootnoteReference"/>
        </w:rPr>
        <w:footnoteRef/>
      </w:r>
      <w:r>
        <w:t xml:space="preserve"> </w:t>
      </w:r>
      <w:r w:rsidRPr="00573265">
        <w:rPr>
          <w:rFonts w:asciiTheme="majorBidi" w:hAnsiTheme="majorBidi" w:cstheme="majorBidi"/>
          <w:b/>
        </w:rPr>
        <w:t>Van Fraassen</w:t>
      </w:r>
      <w:r w:rsidR="00563EF1" w:rsidRPr="00573265">
        <w:rPr>
          <w:rFonts w:asciiTheme="majorBidi" w:hAnsiTheme="majorBidi" w:cstheme="majorBidi"/>
          <w:b/>
        </w:rPr>
        <w:t xml:space="preserve"> B C</w:t>
      </w:r>
      <w:r w:rsidR="00563EF1">
        <w:rPr>
          <w:rFonts w:asciiTheme="majorBidi" w:hAnsiTheme="majorBidi" w:cstheme="majorBidi"/>
        </w:rPr>
        <w:t xml:space="preserve"> (1980)</w:t>
      </w:r>
      <w:r>
        <w:rPr>
          <w:rFonts w:asciiTheme="majorBidi" w:hAnsiTheme="majorBidi" w:cstheme="majorBidi"/>
        </w:rPr>
        <w:t xml:space="preserve"> </w:t>
      </w:r>
      <w:r w:rsidRPr="00E95A2C">
        <w:rPr>
          <w:rFonts w:asciiTheme="majorBidi" w:hAnsiTheme="majorBidi" w:cstheme="majorBidi"/>
          <w:i/>
          <w:iCs/>
        </w:rPr>
        <w:t>The Scientific Image</w:t>
      </w:r>
      <w:r w:rsidR="00563EF1">
        <w:rPr>
          <w:rFonts w:asciiTheme="majorBidi" w:hAnsiTheme="majorBidi" w:cstheme="majorBidi"/>
          <w:i/>
          <w:iCs/>
        </w:rPr>
        <w:t>.</w:t>
      </w:r>
      <w:r>
        <w:rPr>
          <w:rFonts w:asciiTheme="majorBidi" w:hAnsiTheme="majorBidi" w:cstheme="majorBidi"/>
        </w:rPr>
        <w:t xml:space="preserve"> Oxford: Oxford University Press, 87.</w:t>
      </w:r>
    </w:p>
  </w:footnote>
  <w:footnote w:id="150">
    <w:p w:rsidR="005A70AA" w:rsidRPr="00B452A5" w:rsidRDefault="005A70AA" w:rsidP="00B452A5">
      <w:pPr>
        <w:pStyle w:val="FootnoteText"/>
        <w:rPr>
          <w:rFonts w:asciiTheme="majorBidi" w:hAnsiTheme="majorBidi" w:cstheme="majorBidi"/>
        </w:rPr>
      </w:pPr>
      <w:r>
        <w:rPr>
          <w:rStyle w:val="FootnoteReference"/>
        </w:rPr>
        <w:footnoteRef/>
      </w:r>
      <w:r>
        <w:t xml:space="preserve"> </w:t>
      </w:r>
      <w:r w:rsidRPr="00573265">
        <w:rPr>
          <w:rFonts w:asciiTheme="majorBidi" w:hAnsiTheme="majorBidi" w:cstheme="majorBidi"/>
          <w:b/>
        </w:rPr>
        <w:t>Einstein</w:t>
      </w:r>
      <w:r w:rsidR="00563EF1" w:rsidRPr="00573265">
        <w:rPr>
          <w:rFonts w:asciiTheme="majorBidi" w:hAnsiTheme="majorBidi" w:cstheme="majorBidi"/>
          <w:b/>
        </w:rPr>
        <w:t xml:space="preserve"> A</w:t>
      </w:r>
      <w:r w:rsidR="00563EF1">
        <w:rPr>
          <w:rFonts w:asciiTheme="majorBidi" w:hAnsiTheme="majorBidi" w:cstheme="majorBidi"/>
        </w:rPr>
        <w:t xml:space="preserve"> (1954)</w:t>
      </w:r>
      <w:r>
        <w:rPr>
          <w:rFonts w:asciiTheme="majorBidi" w:hAnsiTheme="majorBidi" w:cstheme="majorBidi"/>
        </w:rPr>
        <w:t xml:space="preserve"> </w:t>
      </w:r>
      <w:r w:rsidRPr="006227BD">
        <w:rPr>
          <w:rFonts w:asciiTheme="majorBidi" w:hAnsiTheme="majorBidi" w:cstheme="majorBidi"/>
          <w:i/>
          <w:iCs/>
        </w:rPr>
        <w:t>Ideas and Opinions</w:t>
      </w:r>
      <w:r w:rsidR="00563EF1">
        <w:rPr>
          <w:rFonts w:asciiTheme="majorBidi" w:hAnsiTheme="majorBidi" w:cstheme="majorBidi"/>
          <w:i/>
          <w:iCs/>
        </w:rPr>
        <w:t>.</w:t>
      </w:r>
      <w:r>
        <w:rPr>
          <w:rFonts w:asciiTheme="majorBidi" w:hAnsiTheme="majorBidi" w:cstheme="majorBidi"/>
        </w:rPr>
        <w:t xml:space="preserve"> New York: Crown Publishers, Inc., 44.</w:t>
      </w:r>
    </w:p>
  </w:footnote>
  <w:footnote w:id="151">
    <w:p w:rsidR="005A70AA" w:rsidRPr="00B452A5" w:rsidRDefault="005A70AA">
      <w:pPr>
        <w:pStyle w:val="FootnoteText"/>
        <w:rPr>
          <w:rFonts w:asciiTheme="majorBidi" w:hAnsiTheme="majorBidi" w:cstheme="majorBidi"/>
        </w:rPr>
      </w:pPr>
      <w:r>
        <w:rPr>
          <w:rStyle w:val="FootnoteReference"/>
        </w:rPr>
        <w:footnoteRef/>
      </w:r>
      <w:r>
        <w:t xml:space="preserve"> </w:t>
      </w:r>
      <w:r w:rsidRPr="00ED066A">
        <w:rPr>
          <w:rFonts w:asciiTheme="majorBidi" w:hAnsiTheme="majorBidi" w:cstheme="majorBidi"/>
          <w:i/>
        </w:rPr>
        <w:t>Ibid</w:t>
      </w:r>
      <w:r>
        <w:rPr>
          <w:rFonts w:asciiTheme="majorBidi" w:hAnsiTheme="majorBidi" w:cstheme="majorBidi"/>
        </w:rPr>
        <w:t>.</w:t>
      </w:r>
    </w:p>
  </w:footnote>
  <w:footnote w:id="152">
    <w:p w:rsidR="005A70AA" w:rsidRPr="00082300" w:rsidRDefault="005A70AA" w:rsidP="006227BD">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Pr>
          <w:rFonts w:asciiTheme="majorBidi" w:hAnsiTheme="majorBidi" w:cstheme="majorBidi"/>
        </w:rPr>
        <w:t>Contrast:</w:t>
      </w:r>
      <w:r w:rsidRPr="00082300">
        <w:rPr>
          <w:rFonts w:asciiTheme="majorBidi" w:hAnsiTheme="majorBidi" w:cstheme="majorBidi"/>
        </w:rPr>
        <w:t xml:space="preserve"> </w:t>
      </w:r>
      <w:r w:rsidRPr="009100B7">
        <w:rPr>
          <w:rFonts w:asciiTheme="majorBidi" w:hAnsiTheme="majorBidi" w:cstheme="majorBidi"/>
          <w:i/>
          <w:iCs/>
        </w:rPr>
        <w:t>Yearworth</w:t>
      </w:r>
      <w:r>
        <w:rPr>
          <w:rFonts w:asciiTheme="majorBidi" w:hAnsiTheme="majorBidi" w:cstheme="majorBidi"/>
        </w:rPr>
        <w:t xml:space="preserve"> (n6</w:t>
      </w:r>
      <w:r w:rsidR="00985A1D">
        <w:rPr>
          <w:rFonts w:asciiTheme="majorBidi" w:hAnsiTheme="majorBidi" w:cstheme="majorBidi"/>
        </w:rPr>
        <w:t>1</w:t>
      </w:r>
      <w:r>
        <w:rPr>
          <w:rFonts w:asciiTheme="majorBidi" w:hAnsiTheme="majorBidi" w:cstheme="majorBidi"/>
        </w:rPr>
        <w:t>).</w:t>
      </w:r>
    </w:p>
  </w:footnote>
  <w:footnote w:id="153">
    <w:p w:rsidR="005A70AA" w:rsidRPr="00082300" w:rsidRDefault="005A70AA" w:rsidP="009100B7">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Greasley</w:t>
      </w:r>
      <w:r w:rsidR="00985A1D" w:rsidRPr="00573265">
        <w:rPr>
          <w:rFonts w:asciiTheme="majorBidi" w:hAnsiTheme="majorBidi" w:cstheme="majorBidi"/>
          <w:b/>
        </w:rPr>
        <w:t xml:space="preserve"> K</w:t>
      </w:r>
      <w:r w:rsidR="00985A1D">
        <w:rPr>
          <w:rFonts w:asciiTheme="majorBidi" w:hAnsiTheme="majorBidi" w:cstheme="majorBidi"/>
        </w:rPr>
        <w:t xml:space="preserve"> (2014)</w:t>
      </w:r>
      <w:r w:rsidRPr="00082300">
        <w:rPr>
          <w:rFonts w:asciiTheme="majorBidi" w:hAnsiTheme="majorBidi" w:cstheme="majorBidi"/>
        </w:rPr>
        <w:t xml:space="preserve"> ‘Property Rights in the Human Body: Commodification and Objectification’ in</w:t>
      </w:r>
      <w:r>
        <w:rPr>
          <w:rFonts w:asciiTheme="majorBidi" w:hAnsiTheme="majorBidi" w:cstheme="majorBidi"/>
        </w:rPr>
        <w:t xml:space="preserve"> I</w:t>
      </w:r>
      <w:r w:rsidRPr="00082300">
        <w:rPr>
          <w:rFonts w:asciiTheme="majorBidi" w:hAnsiTheme="majorBidi" w:cstheme="majorBidi"/>
        </w:rPr>
        <w:t xml:space="preserve"> Goold</w:t>
      </w:r>
      <w:r>
        <w:rPr>
          <w:rFonts w:asciiTheme="majorBidi" w:hAnsiTheme="majorBidi" w:cstheme="majorBidi"/>
        </w:rPr>
        <w:t xml:space="preserve"> et al. </w:t>
      </w:r>
      <w:r w:rsidRPr="009100B7">
        <w:rPr>
          <w:rFonts w:asciiTheme="majorBidi" w:hAnsiTheme="majorBidi" w:cstheme="majorBidi"/>
          <w:i/>
          <w:iCs/>
        </w:rPr>
        <w:t>Persons, Parts and Property: How Should We Regulate Human Tissue in the 21</w:t>
      </w:r>
      <w:r w:rsidRPr="009100B7">
        <w:rPr>
          <w:rFonts w:asciiTheme="majorBidi" w:hAnsiTheme="majorBidi" w:cstheme="majorBidi"/>
          <w:i/>
          <w:iCs/>
          <w:vertAlign w:val="superscript"/>
        </w:rPr>
        <w:t>st</w:t>
      </w:r>
      <w:r w:rsidRPr="009100B7">
        <w:rPr>
          <w:rFonts w:asciiTheme="majorBidi" w:hAnsiTheme="majorBidi" w:cstheme="majorBidi"/>
          <w:i/>
          <w:iCs/>
        </w:rPr>
        <w:t xml:space="preserve"> Century?</w:t>
      </w:r>
      <w:r w:rsidRPr="00082300">
        <w:rPr>
          <w:rFonts w:asciiTheme="majorBidi" w:hAnsiTheme="majorBidi" w:cstheme="majorBidi"/>
        </w:rPr>
        <w:t xml:space="preserve"> </w:t>
      </w:r>
      <w:r>
        <w:rPr>
          <w:rFonts w:asciiTheme="majorBidi" w:hAnsiTheme="majorBidi" w:cstheme="majorBidi"/>
        </w:rPr>
        <w:t xml:space="preserve">Oxford: Hart Publishing, </w:t>
      </w:r>
      <w:r w:rsidRPr="00082300">
        <w:rPr>
          <w:rFonts w:asciiTheme="majorBidi" w:hAnsiTheme="majorBidi" w:cstheme="majorBidi"/>
        </w:rPr>
        <w:t xml:space="preserve"> 67. </w:t>
      </w:r>
      <w:r>
        <w:rPr>
          <w:rFonts w:asciiTheme="majorBidi" w:hAnsiTheme="majorBidi" w:cstheme="majorBidi"/>
        </w:rPr>
        <w:t xml:space="preserve"> </w:t>
      </w:r>
    </w:p>
  </w:footnote>
  <w:footnote w:id="154">
    <w:p w:rsidR="005A70AA" w:rsidRDefault="005A70AA">
      <w:pPr>
        <w:pStyle w:val="FootnoteText"/>
      </w:pPr>
      <w:r>
        <w:rPr>
          <w:rStyle w:val="FootnoteReference"/>
        </w:rPr>
        <w:footnoteRef/>
      </w:r>
      <w:r>
        <w:t xml:space="preserve"> </w:t>
      </w:r>
      <w:r w:rsidRPr="00082300">
        <w:rPr>
          <w:rFonts w:asciiTheme="majorBidi" w:hAnsiTheme="majorBidi" w:cstheme="majorBidi"/>
          <w:i/>
          <w:iCs/>
        </w:rPr>
        <w:t>Moore</w:t>
      </w:r>
      <w:r>
        <w:rPr>
          <w:rFonts w:asciiTheme="majorBidi" w:hAnsiTheme="majorBidi" w:cstheme="majorBidi"/>
        </w:rPr>
        <w:t xml:space="preserve"> (n51)</w:t>
      </w:r>
      <w:r w:rsidRPr="00082300">
        <w:rPr>
          <w:rFonts w:asciiTheme="majorBidi" w:hAnsiTheme="majorBidi" w:cstheme="majorBidi"/>
        </w:rPr>
        <w:t xml:space="preserve">. </w:t>
      </w:r>
      <w:r>
        <w:rPr>
          <w:rFonts w:ascii="Times New Roman" w:hAnsi="Times New Roman" w:cs="Times New Roman"/>
        </w:rPr>
        <w:t xml:space="preserve"> </w:t>
      </w:r>
    </w:p>
  </w:footnote>
  <w:footnote w:id="155">
    <w:p w:rsidR="005A70AA" w:rsidRPr="00143E99" w:rsidRDefault="005A70AA">
      <w:pPr>
        <w:pStyle w:val="FootnoteText"/>
      </w:pPr>
      <w:r>
        <w:rPr>
          <w:rStyle w:val="FootnoteReference"/>
        </w:rPr>
        <w:footnoteRef/>
      </w:r>
      <w:r>
        <w:rPr>
          <w:rFonts w:asciiTheme="majorBidi" w:hAnsiTheme="majorBidi" w:cstheme="majorBidi"/>
        </w:rPr>
        <w:t xml:space="preserve"> </w:t>
      </w:r>
      <w:r w:rsidRPr="00ED066A">
        <w:rPr>
          <w:rFonts w:asciiTheme="majorBidi" w:hAnsiTheme="majorBidi" w:cstheme="majorBidi"/>
          <w:i/>
        </w:rPr>
        <w:t>Ibid</w:t>
      </w:r>
      <w:r w:rsidRPr="00143E99">
        <w:rPr>
          <w:rFonts w:asciiTheme="majorBidi" w:hAnsiTheme="majorBidi" w:cstheme="majorBidi"/>
        </w:rPr>
        <w:t>., at 487</w:t>
      </w:r>
      <w:r>
        <w:rPr>
          <w:rFonts w:asciiTheme="majorBidi" w:hAnsiTheme="majorBidi" w:cstheme="majorBidi"/>
        </w:rPr>
        <w:t xml:space="preserve">, </w:t>
      </w:r>
      <w:r w:rsidRPr="00143E99">
        <w:rPr>
          <w:rFonts w:asciiTheme="majorBidi" w:hAnsiTheme="majorBidi" w:cstheme="majorBidi"/>
        </w:rPr>
        <w:t>493.</w:t>
      </w:r>
      <w:r w:rsidRPr="00143E99">
        <w:t xml:space="preserve"> </w:t>
      </w:r>
    </w:p>
  </w:footnote>
  <w:footnote w:id="156">
    <w:p w:rsidR="005A70AA" w:rsidRDefault="005A70AA" w:rsidP="001A7BE3">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573265">
        <w:rPr>
          <w:rFonts w:asciiTheme="majorBidi" w:hAnsiTheme="majorBidi" w:cstheme="majorBidi"/>
          <w:b/>
        </w:rPr>
        <w:t>Herring</w:t>
      </w:r>
      <w:r w:rsidR="00985A1D" w:rsidRPr="00573265">
        <w:rPr>
          <w:rFonts w:asciiTheme="majorBidi" w:hAnsiTheme="majorBidi" w:cstheme="majorBidi"/>
          <w:b/>
        </w:rPr>
        <w:t xml:space="preserve"> J</w:t>
      </w:r>
      <w:r w:rsidR="00985A1D">
        <w:rPr>
          <w:rFonts w:asciiTheme="majorBidi" w:hAnsiTheme="majorBidi" w:cstheme="majorBidi"/>
        </w:rPr>
        <w:t xml:space="preserve"> (2014)</w:t>
      </w:r>
      <w:r w:rsidRPr="00082300">
        <w:rPr>
          <w:rFonts w:asciiTheme="majorBidi" w:hAnsiTheme="majorBidi" w:cstheme="majorBidi"/>
        </w:rPr>
        <w:t xml:space="preserve"> ‘Why We Need a Statute Regime to Regulate Bodily Material’ in </w:t>
      </w:r>
      <w:r>
        <w:rPr>
          <w:rFonts w:asciiTheme="majorBidi" w:hAnsiTheme="majorBidi" w:cstheme="majorBidi"/>
        </w:rPr>
        <w:t>Goold (n15</w:t>
      </w:r>
      <w:r w:rsidR="00985A1D">
        <w:rPr>
          <w:rFonts w:asciiTheme="majorBidi" w:hAnsiTheme="majorBidi" w:cstheme="majorBidi"/>
        </w:rPr>
        <w:t>2</w:t>
      </w:r>
      <w:r>
        <w:rPr>
          <w:rFonts w:asciiTheme="majorBidi" w:hAnsiTheme="majorBidi" w:cstheme="majorBidi"/>
        </w:rPr>
        <w:t>)</w:t>
      </w:r>
      <w:r w:rsidRPr="00082300">
        <w:rPr>
          <w:rFonts w:asciiTheme="majorBidi" w:hAnsiTheme="majorBidi" w:cstheme="majorBidi"/>
        </w:rPr>
        <w:t xml:space="preserve"> at     </w:t>
      </w:r>
    </w:p>
    <w:p w:rsidR="005A70AA" w:rsidRPr="00082300" w:rsidRDefault="005A70AA" w:rsidP="006F09FC">
      <w:pPr>
        <w:pStyle w:val="FootnoteText"/>
        <w:jc w:val="both"/>
        <w:rPr>
          <w:rFonts w:asciiTheme="majorBidi" w:hAnsiTheme="majorBidi" w:cstheme="majorBidi"/>
        </w:rPr>
      </w:pPr>
      <w:r>
        <w:rPr>
          <w:rFonts w:asciiTheme="majorBidi" w:hAnsiTheme="majorBidi" w:cstheme="majorBidi"/>
        </w:rPr>
        <w:t xml:space="preserve">      </w:t>
      </w:r>
      <w:r w:rsidRPr="00082300">
        <w:rPr>
          <w:rFonts w:asciiTheme="majorBidi" w:hAnsiTheme="majorBidi" w:cstheme="majorBidi"/>
        </w:rPr>
        <w:t>215-222.</w:t>
      </w:r>
    </w:p>
  </w:footnote>
  <w:footnote w:id="157">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ED066A">
        <w:rPr>
          <w:rFonts w:asciiTheme="majorBidi" w:hAnsiTheme="majorBidi" w:cstheme="majorBidi"/>
          <w:i/>
        </w:rPr>
        <w:t>Ibid</w:t>
      </w:r>
      <w:r w:rsidRPr="00082300">
        <w:rPr>
          <w:rFonts w:asciiTheme="majorBidi" w:hAnsiTheme="majorBidi" w:cstheme="majorBidi"/>
        </w:rPr>
        <w:t>., at 223-228..</w:t>
      </w:r>
    </w:p>
  </w:footnote>
  <w:footnote w:id="158">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573265">
        <w:rPr>
          <w:rFonts w:asciiTheme="majorBidi" w:hAnsiTheme="majorBidi" w:cstheme="majorBidi"/>
          <w:b/>
        </w:rPr>
        <w:t>Gold</w:t>
      </w:r>
      <w:r w:rsidR="00985A1D" w:rsidRPr="00573265">
        <w:rPr>
          <w:rFonts w:asciiTheme="majorBidi" w:hAnsiTheme="majorBidi" w:cstheme="majorBidi"/>
          <w:b/>
        </w:rPr>
        <w:t xml:space="preserve"> E R</w:t>
      </w:r>
      <w:r w:rsidR="00985A1D">
        <w:rPr>
          <w:rFonts w:asciiTheme="majorBidi" w:hAnsiTheme="majorBidi" w:cstheme="majorBidi"/>
        </w:rPr>
        <w:t xml:space="preserve"> (1996)</w:t>
      </w:r>
      <w:r w:rsidRPr="00082300">
        <w:rPr>
          <w:rFonts w:asciiTheme="majorBidi" w:hAnsiTheme="majorBidi" w:cstheme="majorBidi"/>
        </w:rPr>
        <w:t xml:space="preserve"> </w:t>
      </w:r>
      <w:r w:rsidRPr="00082300">
        <w:rPr>
          <w:rFonts w:asciiTheme="majorBidi" w:hAnsiTheme="majorBidi" w:cstheme="majorBidi"/>
          <w:i/>
          <w:iCs/>
        </w:rPr>
        <w:t>Body Parts: Property Rights and the Ownership of Human Biological Materials</w:t>
      </w:r>
      <w:r w:rsidR="00985A1D">
        <w:rPr>
          <w:rFonts w:asciiTheme="majorBidi" w:hAnsiTheme="majorBidi" w:cstheme="majorBidi"/>
          <w:i/>
          <w:iCs/>
        </w:rPr>
        <w:t>.</w:t>
      </w:r>
      <w:r w:rsidRPr="00082300">
        <w:rPr>
          <w:rFonts w:asciiTheme="majorBidi" w:hAnsiTheme="majorBidi" w:cstheme="majorBidi"/>
        </w:rPr>
        <w:t xml:space="preserve"> Washington D.C: Georgetown University Press</w:t>
      </w:r>
      <w:r w:rsidR="00985A1D">
        <w:rPr>
          <w:rFonts w:asciiTheme="majorBidi" w:hAnsiTheme="majorBidi" w:cstheme="majorBidi"/>
        </w:rPr>
        <w:t>.</w:t>
      </w:r>
    </w:p>
  </w:footnote>
  <w:footnote w:id="159">
    <w:p w:rsidR="005A70AA" w:rsidRPr="00082300" w:rsidRDefault="005A70AA" w:rsidP="006F09FC">
      <w:pPr>
        <w:pStyle w:val="FootnoteText"/>
        <w:jc w:val="both"/>
        <w:rPr>
          <w:rFonts w:asciiTheme="majorBidi" w:hAnsiTheme="majorBidi" w:cstheme="majorBidi"/>
        </w:rPr>
      </w:pPr>
      <w:r w:rsidRPr="00082300">
        <w:rPr>
          <w:rStyle w:val="FootnoteReference"/>
          <w:rFonts w:asciiTheme="majorBidi" w:hAnsiTheme="majorBidi" w:cstheme="majorBidi"/>
        </w:rPr>
        <w:footnoteRef/>
      </w:r>
      <w:r w:rsidRPr="00082300">
        <w:rPr>
          <w:rFonts w:asciiTheme="majorBidi" w:hAnsiTheme="majorBidi" w:cstheme="majorBidi"/>
        </w:rPr>
        <w:t xml:space="preserve"> </w:t>
      </w:r>
      <w:r w:rsidRPr="00ED066A">
        <w:rPr>
          <w:rFonts w:asciiTheme="majorBidi" w:hAnsiTheme="majorBidi" w:cstheme="majorBidi"/>
          <w:i/>
        </w:rPr>
        <w:t>Ibid</w:t>
      </w:r>
      <w:r w:rsidRPr="00082300">
        <w:rPr>
          <w:rFonts w:asciiTheme="majorBidi" w:hAnsiTheme="majorBidi" w:cstheme="majorBidi"/>
        </w:rPr>
        <w:t>., at 177.</w:t>
      </w:r>
    </w:p>
  </w:footnote>
  <w:footnote w:id="160">
    <w:p w:rsidR="005A70AA" w:rsidRPr="00573265" w:rsidRDefault="005A70AA">
      <w:pPr>
        <w:pStyle w:val="FootnoteText"/>
        <w:rPr>
          <w:rFonts w:ascii="Times New Roman" w:hAnsi="Times New Roman" w:cs="Times New Roman"/>
        </w:rPr>
      </w:pPr>
      <w:r>
        <w:rPr>
          <w:rStyle w:val="FootnoteReference"/>
        </w:rPr>
        <w:footnoteRef/>
      </w:r>
      <w:r>
        <w:t xml:space="preserve"> </w:t>
      </w:r>
      <w:r w:rsidRPr="00573265">
        <w:rPr>
          <w:rFonts w:ascii="Times New Roman" w:hAnsi="Times New Roman" w:cs="Times New Roman"/>
          <w:b/>
        </w:rPr>
        <w:t>Harris J W</w:t>
      </w:r>
      <w:r>
        <w:rPr>
          <w:rFonts w:ascii="Times New Roman" w:hAnsi="Times New Roman" w:cs="Times New Roman"/>
        </w:rPr>
        <w:t xml:space="preserve"> (1996) Who Owns My Body. </w:t>
      </w:r>
      <w:r w:rsidRPr="00573265">
        <w:rPr>
          <w:rFonts w:ascii="Times New Roman" w:hAnsi="Times New Roman" w:cs="Times New Roman"/>
          <w:i/>
        </w:rPr>
        <w:t>Oxford Journal of Legal Studies</w:t>
      </w:r>
      <w:r>
        <w:rPr>
          <w:rFonts w:ascii="Times New Roman" w:hAnsi="Times New Roman" w:cs="Times New Roman"/>
        </w:rPr>
        <w:t xml:space="preserve"> </w:t>
      </w:r>
      <w:r w:rsidRPr="00573265">
        <w:rPr>
          <w:rFonts w:ascii="Times New Roman" w:hAnsi="Times New Roman" w:cs="Times New Roman"/>
          <w:b/>
        </w:rPr>
        <w:t>16,</w:t>
      </w:r>
      <w:r>
        <w:rPr>
          <w:rFonts w:ascii="Times New Roman" w:hAnsi="Times New Roman" w:cs="Times New Roman"/>
          <w:b/>
        </w:rPr>
        <w:t xml:space="preserve"> </w:t>
      </w:r>
      <w:r w:rsidRPr="00145E02">
        <w:rPr>
          <w:rFonts w:ascii="Times New Roman" w:hAnsi="Times New Roman" w:cs="Times New Roman"/>
        </w:rPr>
        <w:t>55-84</w:t>
      </w:r>
      <w:r>
        <w:rPr>
          <w:rFonts w:ascii="Times New Roman" w:hAnsi="Times New Roman" w:cs="Times New Roman"/>
        </w:rPr>
        <w:t xml:space="preserve"> at 63.</w:t>
      </w:r>
    </w:p>
  </w:footnote>
  <w:footnote w:id="161">
    <w:p w:rsidR="005A70AA" w:rsidRPr="00573265" w:rsidRDefault="005A70AA">
      <w:pPr>
        <w:pStyle w:val="FootnoteText"/>
        <w:rPr>
          <w:rFonts w:ascii="Times New Roman" w:hAnsi="Times New Roman" w:cs="Times New Roman"/>
        </w:rPr>
      </w:pPr>
      <w:r>
        <w:rPr>
          <w:rStyle w:val="FootnoteReference"/>
        </w:rPr>
        <w:footnoteRef/>
      </w:r>
      <w:r>
        <w:t xml:space="preserve"> Ibid, at 71.</w:t>
      </w:r>
    </w:p>
  </w:footnote>
  <w:footnote w:id="162">
    <w:p w:rsidR="005A70AA" w:rsidRPr="00573265" w:rsidRDefault="005A70A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For interesting discussion of the con</w:t>
      </w:r>
      <w:r w:rsidR="00985A1D">
        <w:rPr>
          <w:rFonts w:ascii="Times New Roman" w:hAnsi="Times New Roman" w:cs="Times New Roman"/>
        </w:rPr>
        <w:t>c</w:t>
      </w:r>
      <w:r>
        <w:rPr>
          <w:rFonts w:ascii="Times New Roman" w:hAnsi="Times New Roman" w:cs="Times New Roman"/>
        </w:rPr>
        <w:t xml:space="preserve">ept, see </w:t>
      </w:r>
      <w:r w:rsidRPr="00573265">
        <w:rPr>
          <w:rFonts w:ascii="Times New Roman" w:hAnsi="Times New Roman" w:cs="Times New Roman"/>
          <w:b/>
        </w:rPr>
        <w:t>Cohen G A</w:t>
      </w:r>
      <w:r>
        <w:rPr>
          <w:rFonts w:ascii="Times New Roman" w:hAnsi="Times New Roman" w:cs="Times New Roman"/>
        </w:rPr>
        <w:t xml:space="preserve"> (1995) </w:t>
      </w:r>
      <w:r w:rsidRPr="00573265">
        <w:rPr>
          <w:rFonts w:ascii="Times New Roman" w:hAnsi="Times New Roman" w:cs="Times New Roman"/>
          <w:i/>
        </w:rPr>
        <w:t>Self-ownership, freedom, and equality</w:t>
      </w:r>
      <w:r>
        <w:rPr>
          <w:rFonts w:ascii="Times New Roman" w:hAnsi="Times New Roman" w:cs="Times New Roman"/>
        </w:rPr>
        <w:t>. Cambridge: Cambridge University Press.</w:t>
      </w:r>
    </w:p>
  </w:footnote>
  <w:footnote w:id="163">
    <w:p w:rsidR="005A70AA" w:rsidRPr="00573265" w:rsidRDefault="005A70AA">
      <w:pPr>
        <w:pStyle w:val="FootnoteText"/>
        <w:rPr>
          <w:rFonts w:ascii="Times New Roman" w:hAnsi="Times New Roman" w:cs="Times New Roman"/>
        </w:rPr>
      </w:pPr>
      <w:r>
        <w:rPr>
          <w:rStyle w:val="FootnoteReference"/>
        </w:rPr>
        <w:footnoteRef/>
      </w:r>
      <w:r>
        <w:t xml:space="preserve"> </w:t>
      </w:r>
      <w:r w:rsidRPr="00573265">
        <w:rPr>
          <w:rFonts w:ascii="Times New Roman" w:hAnsi="Times New Roman" w:cs="Times New Roman"/>
          <w:b/>
        </w:rPr>
        <w:t>Cantor N L</w:t>
      </w:r>
      <w:r>
        <w:rPr>
          <w:rFonts w:ascii="Times New Roman" w:hAnsi="Times New Roman" w:cs="Times New Roman"/>
        </w:rPr>
        <w:t xml:space="preserve"> (2010) </w:t>
      </w:r>
      <w:r w:rsidR="00985A1D" w:rsidRPr="00573265">
        <w:rPr>
          <w:rFonts w:ascii="Times New Roman" w:hAnsi="Times New Roman" w:cs="Times New Roman"/>
          <w:i/>
        </w:rPr>
        <w:t>After We Die: The Life and T</w:t>
      </w:r>
      <w:r w:rsidRPr="00573265">
        <w:rPr>
          <w:rFonts w:ascii="Times New Roman" w:hAnsi="Times New Roman" w:cs="Times New Roman"/>
          <w:i/>
        </w:rPr>
        <w:t>imes of the Human Cadaver</w:t>
      </w:r>
      <w:r>
        <w:rPr>
          <w:rFonts w:ascii="Times New Roman" w:hAnsi="Times New Roman" w:cs="Times New Roman"/>
        </w:rPr>
        <w:t>.</w:t>
      </w:r>
      <w:r w:rsidR="0098203E">
        <w:rPr>
          <w:rFonts w:ascii="Times New Roman" w:hAnsi="Times New Roman" w:cs="Times New Roman"/>
        </w:rPr>
        <w:t xml:space="preserve"> </w:t>
      </w:r>
      <w:r>
        <w:rPr>
          <w:rFonts w:ascii="Times New Roman" w:hAnsi="Times New Roman" w:cs="Times New Roman"/>
        </w:rPr>
        <w:t>Washington, D.C.: Georgetown University Press</w:t>
      </w:r>
      <w:r w:rsidR="00985A1D">
        <w:rPr>
          <w:rFonts w:ascii="Times New Roman" w:hAnsi="Times New Roman" w:cs="Times New Roman"/>
        </w:rPr>
        <w:t>,</w:t>
      </w:r>
      <w:r>
        <w:rPr>
          <w:rFonts w:ascii="Times New Roman" w:hAnsi="Times New Roman" w:cs="Times New Roman"/>
        </w:rPr>
        <w:t xml:space="preserve"> 49-71</w:t>
      </w:r>
      <w:r w:rsidR="00985A1D">
        <w:rPr>
          <w:rFonts w:ascii="Times New Roman" w:hAnsi="Times New Roman" w:cs="Times New Roman"/>
        </w:rPr>
        <w:t>.</w:t>
      </w:r>
    </w:p>
  </w:footnote>
  <w:footnote w:id="164">
    <w:p w:rsidR="005A70AA" w:rsidRPr="00573265" w:rsidRDefault="005A70AA">
      <w:pPr>
        <w:pStyle w:val="FootnoteText"/>
        <w:rPr>
          <w:rFonts w:ascii="Times New Roman" w:hAnsi="Times New Roman" w:cs="Times New Roman"/>
        </w:rPr>
      </w:pPr>
      <w:r>
        <w:rPr>
          <w:rStyle w:val="FootnoteReference"/>
        </w:rPr>
        <w:footnoteRef/>
      </w:r>
      <w:r>
        <w:t xml:space="preserve"> </w:t>
      </w:r>
      <w:r w:rsidRPr="00573265">
        <w:rPr>
          <w:rFonts w:asciiTheme="majorBidi" w:hAnsiTheme="majorBidi" w:cstheme="majorBidi"/>
          <w:i/>
        </w:rPr>
        <w:t>Williams v Williams</w:t>
      </w:r>
      <w:r>
        <w:rPr>
          <w:rFonts w:asciiTheme="majorBidi" w:hAnsiTheme="majorBidi" w:cstheme="majorBidi"/>
          <w:i/>
        </w:rPr>
        <w:t xml:space="preserve"> </w:t>
      </w:r>
      <w:r>
        <w:rPr>
          <w:rFonts w:asciiTheme="majorBidi" w:hAnsiTheme="majorBidi" w:cstheme="majorBidi"/>
        </w:rPr>
        <w:t>[1882] 20 Ch D 659.</w:t>
      </w:r>
    </w:p>
  </w:footnote>
  <w:footnote w:id="165">
    <w:p w:rsidR="005A70AA" w:rsidRPr="00573265" w:rsidRDefault="005A70AA">
      <w:pPr>
        <w:pStyle w:val="FootnoteText"/>
        <w:rPr>
          <w:rFonts w:ascii="Times New Roman" w:hAnsi="Times New Roman" w:cs="Times New Roman"/>
        </w:rPr>
      </w:pPr>
      <w:r>
        <w:rPr>
          <w:rStyle w:val="FootnoteReference"/>
        </w:rPr>
        <w:footnoteRef/>
      </w:r>
      <w:r>
        <w:t xml:space="preserve"> </w:t>
      </w:r>
      <w:r w:rsidRPr="00573265">
        <w:rPr>
          <w:rFonts w:ascii="Times New Roman" w:hAnsi="Times New Roman" w:cs="Times New Roman"/>
          <w:i/>
        </w:rPr>
        <w:t>Burrows v HM Coroner for Preston</w:t>
      </w:r>
      <w:r w:rsidRPr="00573265">
        <w:rPr>
          <w:rFonts w:ascii="Times New Roman" w:hAnsi="Times New Roman" w:cs="Times New Roman"/>
        </w:rPr>
        <w:t xml:space="preserve"> [2008] EWHC 1387.</w:t>
      </w:r>
    </w:p>
  </w:footnote>
  <w:footnote w:id="166">
    <w:p w:rsidR="005A70AA" w:rsidRDefault="005A70AA">
      <w:pPr>
        <w:pStyle w:val="FootnoteText"/>
      </w:pPr>
      <w:r>
        <w:rPr>
          <w:rStyle w:val="FootnoteReference"/>
        </w:rPr>
        <w:footnoteRef/>
      </w:r>
      <w:r>
        <w:t xml:space="preserve"> </w:t>
      </w:r>
      <w:r w:rsidRPr="00573265">
        <w:rPr>
          <w:rFonts w:ascii="Times New Roman" w:hAnsi="Times New Roman" w:cs="Times New Roman"/>
        </w:rPr>
        <w:t>Brazier (n14</w:t>
      </w:r>
      <w:r w:rsidR="00985A1D">
        <w:rPr>
          <w:rFonts w:ascii="Times New Roman" w:hAnsi="Times New Roman" w:cs="Times New Roman"/>
        </w:rPr>
        <w:t>7</w:t>
      </w:r>
      <w:r w:rsidRPr="00573265">
        <w:rPr>
          <w:rFonts w:ascii="Times New Roman" w:hAnsi="Times New Roman" w:cs="Times New Roman"/>
        </w:rPr>
        <w:t>), 563.</w:t>
      </w:r>
    </w:p>
  </w:footnote>
  <w:footnote w:id="167">
    <w:p w:rsidR="005A70AA" w:rsidRPr="00520EC1" w:rsidRDefault="005A70AA">
      <w:pPr>
        <w:pStyle w:val="FootnoteText"/>
      </w:pPr>
      <w:r>
        <w:rPr>
          <w:rStyle w:val="FootnoteReference"/>
        </w:rPr>
        <w:footnoteRef/>
      </w:r>
      <w:r>
        <w:t xml:space="preserve"> </w:t>
      </w:r>
      <w:r w:rsidRPr="00573265">
        <w:rPr>
          <w:rFonts w:asciiTheme="majorBidi" w:hAnsiTheme="majorBidi" w:cstheme="majorBidi"/>
          <w:b/>
        </w:rPr>
        <w:t>Honoré A M</w:t>
      </w:r>
      <w:r>
        <w:rPr>
          <w:rFonts w:asciiTheme="majorBidi" w:hAnsiTheme="majorBidi" w:cstheme="majorBidi"/>
        </w:rPr>
        <w:t xml:space="preserve"> (1961) ‘Ownership’ in A.G. Guest (ed) </w:t>
      </w:r>
      <w:r w:rsidRPr="00573265">
        <w:rPr>
          <w:rFonts w:asciiTheme="majorBidi" w:hAnsiTheme="majorBidi" w:cstheme="majorBidi"/>
          <w:i/>
        </w:rPr>
        <w:t>Oxford Essays in Jurisprudence</w:t>
      </w:r>
      <w:r>
        <w:rPr>
          <w:rFonts w:asciiTheme="majorBidi" w:hAnsiTheme="majorBidi" w:cstheme="majorBidi"/>
        </w:rPr>
        <w:t>. Oxford: Oxford University Press, 107-147.</w:t>
      </w:r>
    </w:p>
  </w:footnote>
  <w:footnote w:id="168">
    <w:p w:rsidR="005A70AA" w:rsidRPr="00573265" w:rsidRDefault="005A70AA">
      <w:pPr>
        <w:pStyle w:val="FootnoteText"/>
        <w:rPr>
          <w:rFonts w:ascii="Times New Roman" w:hAnsi="Times New Roman" w:cs="Times New Roman"/>
        </w:rPr>
      </w:pPr>
      <w:r>
        <w:rPr>
          <w:rStyle w:val="FootnoteReference"/>
        </w:rPr>
        <w:footnoteRef/>
      </w:r>
      <w:r>
        <w:t xml:space="preserve"> </w:t>
      </w:r>
      <w:r w:rsidRPr="00573265">
        <w:rPr>
          <w:rFonts w:ascii="Times New Roman" w:hAnsi="Times New Roman" w:cs="Times New Roman"/>
          <w:b/>
        </w:rPr>
        <w:t>Wilson G P</w:t>
      </w:r>
      <w:r>
        <w:rPr>
          <w:rFonts w:ascii="Times New Roman" w:hAnsi="Times New Roman" w:cs="Times New Roman"/>
        </w:rPr>
        <w:t xml:space="preserve"> (1957) Jurisprudence and the Discussion of Ownership. </w:t>
      </w:r>
      <w:r w:rsidRPr="00573265">
        <w:rPr>
          <w:rFonts w:ascii="Times New Roman" w:hAnsi="Times New Roman" w:cs="Times New Roman"/>
          <w:i/>
        </w:rPr>
        <w:t>Cambridge Law Journal</w:t>
      </w:r>
      <w:r>
        <w:rPr>
          <w:rFonts w:ascii="Times New Roman" w:hAnsi="Times New Roman" w:cs="Times New Roman"/>
        </w:rPr>
        <w:t xml:space="preserve">, 216 at 222; </w:t>
      </w:r>
      <w:r w:rsidRPr="00573265">
        <w:rPr>
          <w:rFonts w:ascii="Times New Roman" w:hAnsi="Times New Roman" w:cs="Times New Roman"/>
          <w:b/>
        </w:rPr>
        <w:t>Gray K</w:t>
      </w:r>
      <w:r>
        <w:rPr>
          <w:rFonts w:ascii="Times New Roman" w:hAnsi="Times New Roman" w:cs="Times New Roman"/>
        </w:rPr>
        <w:t xml:space="preserve"> (1991) Property in the Thin Air. </w:t>
      </w:r>
      <w:r w:rsidRPr="00573265">
        <w:rPr>
          <w:rFonts w:ascii="Times New Roman" w:hAnsi="Times New Roman" w:cs="Times New Roman"/>
          <w:i/>
        </w:rPr>
        <w:t>Cambridge Law Journal</w:t>
      </w:r>
      <w:r>
        <w:rPr>
          <w:rFonts w:ascii="Times New Roman" w:hAnsi="Times New Roman" w:cs="Times New Roman"/>
        </w:rPr>
        <w:t xml:space="preserve"> </w:t>
      </w:r>
      <w:r w:rsidRPr="00573265">
        <w:rPr>
          <w:rFonts w:ascii="Times New Roman" w:hAnsi="Times New Roman" w:cs="Times New Roman"/>
          <w:b/>
        </w:rPr>
        <w:t>50</w:t>
      </w:r>
      <w:r>
        <w:rPr>
          <w:rFonts w:ascii="Times New Roman" w:hAnsi="Times New Roman" w:cs="Times New Roman"/>
        </w:rPr>
        <w:t>, 252.</w:t>
      </w:r>
    </w:p>
  </w:footnote>
  <w:footnote w:id="169">
    <w:p w:rsidR="005A70AA" w:rsidRPr="00573265" w:rsidRDefault="005A70A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Quigley (n5); Nwabueze R N (2014) ‘Cadavers, Body Parts and the Remedial Problem’ in Goold</w:t>
      </w:r>
      <w:r w:rsidR="00985A1D">
        <w:rPr>
          <w:rFonts w:ascii="Times New Roman" w:hAnsi="Times New Roman" w:cs="Times New Roman"/>
        </w:rPr>
        <w:t xml:space="preserve"> (n152)</w:t>
      </w:r>
      <w:r>
        <w:rPr>
          <w:rFonts w:ascii="Times New Roman" w:hAnsi="Times New Roman" w:cs="Times New Roman"/>
        </w:rPr>
        <w:t>, 157-175.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28" w:rsidRDefault="003E6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AA" w:rsidRDefault="005A70AA">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70AA" w:rsidRDefault="005A70AA">
                          <w:pPr>
                            <w:pStyle w:val="Header"/>
                            <w:jc w:val="center"/>
                            <w:rPr>
                              <w:caps/>
                              <w:color w:val="FFFFFF" w:themeColor="background1"/>
                            </w:rPr>
                          </w:pPr>
                          <w:r>
                            <w:rPr>
                              <w:caps/>
                              <w:color w:val="FFFFFF" w:themeColor="background1"/>
                            </w:rPr>
                            <w:t>REGULATION OF BODILY PARTS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p w:rsidR="005A70AA" w:rsidRDefault="005A70AA">
                    <w:pPr>
                      <w:pStyle w:val="Header"/>
                      <w:jc w:val="center"/>
                      <w:rPr>
                        <w:caps/>
                        <w:color w:val="FFFFFF" w:themeColor="background1"/>
                      </w:rPr>
                    </w:pPr>
                    <w:r>
                      <w:rPr>
                        <w:caps/>
                        <w:color w:val="FFFFFF" w:themeColor="background1"/>
                      </w:rPr>
                      <w:t>REGULATION OF BODILY PARTS</w:t>
                    </w:r>
                  </w:p>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28" w:rsidRDefault="003E6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93BD5"/>
    <w:multiLevelType w:val="hybridMultilevel"/>
    <w:tmpl w:val="8528F542"/>
    <w:lvl w:ilvl="0" w:tplc="0EDC807C">
      <w:start w:val="2007"/>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E09A0"/>
    <w:multiLevelType w:val="hybridMultilevel"/>
    <w:tmpl w:val="46E29A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396402"/>
    <w:multiLevelType w:val="hybridMultilevel"/>
    <w:tmpl w:val="B7F0245E"/>
    <w:lvl w:ilvl="0" w:tplc="6B505D72">
      <w:start w:val="1"/>
      <w:numFmt w:val="bullet"/>
      <w:lvlText w:val="•"/>
      <w:lvlJc w:val="left"/>
      <w:pPr>
        <w:tabs>
          <w:tab w:val="num" w:pos="720"/>
        </w:tabs>
        <w:ind w:left="720" w:hanging="360"/>
      </w:pPr>
      <w:rPr>
        <w:rFonts w:ascii="Times New Roman" w:hAnsi="Times New Roman" w:hint="default"/>
      </w:rPr>
    </w:lvl>
    <w:lvl w:ilvl="1" w:tplc="5A527CD0" w:tentative="1">
      <w:start w:val="1"/>
      <w:numFmt w:val="bullet"/>
      <w:lvlText w:val="•"/>
      <w:lvlJc w:val="left"/>
      <w:pPr>
        <w:tabs>
          <w:tab w:val="num" w:pos="1440"/>
        </w:tabs>
        <w:ind w:left="1440" w:hanging="360"/>
      </w:pPr>
      <w:rPr>
        <w:rFonts w:ascii="Times New Roman" w:hAnsi="Times New Roman" w:hint="default"/>
      </w:rPr>
    </w:lvl>
    <w:lvl w:ilvl="2" w:tplc="B36A75D0" w:tentative="1">
      <w:start w:val="1"/>
      <w:numFmt w:val="bullet"/>
      <w:lvlText w:val="•"/>
      <w:lvlJc w:val="left"/>
      <w:pPr>
        <w:tabs>
          <w:tab w:val="num" w:pos="2160"/>
        </w:tabs>
        <w:ind w:left="2160" w:hanging="360"/>
      </w:pPr>
      <w:rPr>
        <w:rFonts w:ascii="Times New Roman" w:hAnsi="Times New Roman" w:hint="default"/>
      </w:rPr>
    </w:lvl>
    <w:lvl w:ilvl="3" w:tplc="0810982E" w:tentative="1">
      <w:start w:val="1"/>
      <w:numFmt w:val="bullet"/>
      <w:lvlText w:val="•"/>
      <w:lvlJc w:val="left"/>
      <w:pPr>
        <w:tabs>
          <w:tab w:val="num" w:pos="2880"/>
        </w:tabs>
        <w:ind w:left="2880" w:hanging="360"/>
      </w:pPr>
      <w:rPr>
        <w:rFonts w:ascii="Times New Roman" w:hAnsi="Times New Roman" w:hint="default"/>
      </w:rPr>
    </w:lvl>
    <w:lvl w:ilvl="4" w:tplc="A4B09686" w:tentative="1">
      <w:start w:val="1"/>
      <w:numFmt w:val="bullet"/>
      <w:lvlText w:val="•"/>
      <w:lvlJc w:val="left"/>
      <w:pPr>
        <w:tabs>
          <w:tab w:val="num" w:pos="3600"/>
        </w:tabs>
        <w:ind w:left="3600" w:hanging="360"/>
      </w:pPr>
      <w:rPr>
        <w:rFonts w:ascii="Times New Roman" w:hAnsi="Times New Roman" w:hint="default"/>
      </w:rPr>
    </w:lvl>
    <w:lvl w:ilvl="5" w:tplc="01AA4940" w:tentative="1">
      <w:start w:val="1"/>
      <w:numFmt w:val="bullet"/>
      <w:lvlText w:val="•"/>
      <w:lvlJc w:val="left"/>
      <w:pPr>
        <w:tabs>
          <w:tab w:val="num" w:pos="4320"/>
        </w:tabs>
        <w:ind w:left="4320" w:hanging="360"/>
      </w:pPr>
      <w:rPr>
        <w:rFonts w:ascii="Times New Roman" w:hAnsi="Times New Roman" w:hint="default"/>
      </w:rPr>
    </w:lvl>
    <w:lvl w:ilvl="6" w:tplc="A18C0ED0" w:tentative="1">
      <w:start w:val="1"/>
      <w:numFmt w:val="bullet"/>
      <w:lvlText w:val="•"/>
      <w:lvlJc w:val="left"/>
      <w:pPr>
        <w:tabs>
          <w:tab w:val="num" w:pos="5040"/>
        </w:tabs>
        <w:ind w:left="5040" w:hanging="360"/>
      </w:pPr>
      <w:rPr>
        <w:rFonts w:ascii="Times New Roman" w:hAnsi="Times New Roman" w:hint="default"/>
      </w:rPr>
    </w:lvl>
    <w:lvl w:ilvl="7" w:tplc="A2F88030" w:tentative="1">
      <w:start w:val="1"/>
      <w:numFmt w:val="bullet"/>
      <w:lvlText w:val="•"/>
      <w:lvlJc w:val="left"/>
      <w:pPr>
        <w:tabs>
          <w:tab w:val="num" w:pos="5760"/>
        </w:tabs>
        <w:ind w:left="5760" w:hanging="360"/>
      </w:pPr>
      <w:rPr>
        <w:rFonts w:ascii="Times New Roman" w:hAnsi="Times New Roman" w:hint="default"/>
      </w:rPr>
    </w:lvl>
    <w:lvl w:ilvl="8" w:tplc="1548DC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52376F8"/>
    <w:multiLevelType w:val="hybridMultilevel"/>
    <w:tmpl w:val="5284E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A2"/>
    <w:rsid w:val="00000E2D"/>
    <w:rsid w:val="000038DA"/>
    <w:rsid w:val="00004E53"/>
    <w:rsid w:val="00005993"/>
    <w:rsid w:val="00006180"/>
    <w:rsid w:val="000063A7"/>
    <w:rsid w:val="00007900"/>
    <w:rsid w:val="00007A20"/>
    <w:rsid w:val="00010EF8"/>
    <w:rsid w:val="00011392"/>
    <w:rsid w:val="00011ABE"/>
    <w:rsid w:val="00013194"/>
    <w:rsid w:val="00014482"/>
    <w:rsid w:val="00014FFA"/>
    <w:rsid w:val="00015A8A"/>
    <w:rsid w:val="00016FD1"/>
    <w:rsid w:val="00022EE5"/>
    <w:rsid w:val="00024793"/>
    <w:rsid w:val="00026F8E"/>
    <w:rsid w:val="00027E71"/>
    <w:rsid w:val="000331D6"/>
    <w:rsid w:val="0003439E"/>
    <w:rsid w:val="00036369"/>
    <w:rsid w:val="00036556"/>
    <w:rsid w:val="000379DD"/>
    <w:rsid w:val="00040053"/>
    <w:rsid w:val="00040FBF"/>
    <w:rsid w:val="000416B7"/>
    <w:rsid w:val="00044A47"/>
    <w:rsid w:val="00046844"/>
    <w:rsid w:val="00051241"/>
    <w:rsid w:val="0005178D"/>
    <w:rsid w:val="000517C6"/>
    <w:rsid w:val="00052301"/>
    <w:rsid w:val="000533B3"/>
    <w:rsid w:val="00053981"/>
    <w:rsid w:val="00054FEB"/>
    <w:rsid w:val="00055BAB"/>
    <w:rsid w:val="00057227"/>
    <w:rsid w:val="00065504"/>
    <w:rsid w:val="00065962"/>
    <w:rsid w:val="00067F4C"/>
    <w:rsid w:val="00070593"/>
    <w:rsid w:val="00072F96"/>
    <w:rsid w:val="00075DA1"/>
    <w:rsid w:val="00077379"/>
    <w:rsid w:val="00080444"/>
    <w:rsid w:val="00080614"/>
    <w:rsid w:val="00080E7E"/>
    <w:rsid w:val="000818F5"/>
    <w:rsid w:val="00082300"/>
    <w:rsid w:val="00082D6D"/>
    <w:rsid w:val="00085350"/>
    <w:rsid w:val="0008671F"/>
    <w:rsid w:val="000903BD"/>
    <w:rsid w:val="000914FD"/>
    <w:rsid w:val="00092246"/>
    <w:rsid w:val="00092634"/>
    <w:rsid w:val="000940D4"/>
    <w:rsid w:val="00096B9D"/>
    <w:rsid w:val="00097C4A"/>
    <w:rsid w:val="000A1863"/>
    <w:rsid w:val="000A1E2F"/>
    <w:rsid w:val="000A2232"/>
    <w:rsid w:val="000A750D"/>
    <w:rsid w:val="000B1B1F"/>
    <w:rsid w:val="000B2629"/>
    <w:rsid w:val="000B288A"/>
    <w:rsid w:val="000B3E9E"/>
    <w:rsid w:val="000B4271"/>
    <w:rsid w:val="000C0BB4"/>
    <w:rsid w:val="000C28EB"/>
    <w:rsid w:val="000C3855"/>
    <w:rsid w:val="000C4655"/>
    <w:rsid w:val="000D00C3"/>
    <w:rsid w:val="000D408F"/>
    <w:rsid w:val="000D77A0"/>
    <w:rsid w:val="000E05B0"/>
    <w:rsid w:val="000E0EBC"/>
    <w:rsid w:val="000E16A9"/>
    <w:rsid w:val="000E21C2"/>
    <w:rsid w:val="000E22AD"/>
    <w:rsid w:val="000E2E0A"/>
    <w:rsid w:val="000E303D"/>
    <w:rsid w:val="000E4C16"/>
    <w:rsid w:val="000E4DA1"/>
    <w:rsid w:val="000E5090"/>
    <w:rsid w:val="000E55AF"/>
    <w:rsid w:val="000E56D1"/>
    <w:rsid w:val="000E7318"/>
    <w:rsid w:val="000E739A"/>
    <w:rsid w:val="000F1E31"/>
    <w:rsid w:val="000F20B2"/>
    <w:rsid w:val="000F347F"/>
    <w:rsid w:val="000F4E46"/>
    <w:rsid w:val="000F628F"/>
    <w:rsid w:val="00101F43"/>
    <w:rsid w:val="00102A76"/>
    <w:rsid w:val="00104248"/>
    <w:rsid w:val="001043E7"/>
    <w:rsid w:val="001064A5"/>
    <w:rsid w:val="0010772E"/>
    <w:rsid w:val="00107B0D"/>
    <w:rsid w:val="00110BE8"/>
    <w:rsid w:val="00111773"/>
    <w:rsid w:val="00112A65"/>
    <w:rsid w:val="00115622"/>
    <w:rsid w:val="00117A1F"/>
    <w:rsid w:val="00117F08"/>
    <w:rsid w:val="0012123E"/>
    <w:rsid w:val="001216E4"/>
    <w:rsid w:val="001229CE"/>
    <w:rsid w:val="00125B31"/>
    <w:rsid w:val="0012626D"/>
    <w:rsid w:val="00131B29"/>
    <w:rsid w:val="00131DFA"/>
    <w:rsid w:val="001327D0"/>
    <w:rsid w:val="001331F2"/>
    <w:rsid w:val="00133A11"/>
    <w:rsid w:val="00133D41"/>
    <w:rsid w:val="00134C61"/>
    <w:rsid w:val="00134FCE"/>
    <w:rsid w:val="00137159"/>
    <w:rsid w:val="00140380"/>
    <w:rsid w:val="001403B5"/>
    <w:rsid w:val="001408AA"/>
    <w:rsid w:val="00140E47"/>
    <w:rsid w:val="00141304"/>
    <w:rsid w:val="0014197E"/>
    <w:rsid w:val="0014377F"/>
    <w:rsid w:val="00143E99"/>
    <w:rsid w:val="001454F2"/>
    <w:rsid w:val="00145E02"/>
    <w:rsid w:val="001469C6"/>
    <w:rsid w:val="001500D2"/>
    <w:rsid w:val="0015489D"/>
    <w:rsid w:val="00156F69"/>
    <w:rsid w:val="00156FF2"/>
    <w:rsid w:val="001576A7"/>
    <w:rsid w:val="00160539"/>
    <w:rsid w:val="001620E2"/>
    <w:rsid w:val="00163A9F"/>
    <w:rsid w:val="00165A41"/>
    <w:rsid w:val="00165AA7"/>
    <w:rsid w:val="00165F9D"/>
    <w:rsid w:val="00172949"/>
    <w:rsid w:val="0017358B"/>
    <w:rsid w:val="00175C95"/>
    <w:rsid w:val="0018000B"/>
    <w:rsid w:val="0018166F"/>
    <w:rsid w:val="00182052"/>
    <w:rsid w:val="00183DE7"/>
    <w:rsid w:val="00185048"/>
    <w:rsid w:val="0018704E"/>
    <w:rsid w:val="001878EE"/>
    <w:rsid w:val="00192220"/>
    <w:rsid w:val="00193AF4"/>
    <w:rsid w:val="00193C81"/>
    <w:rsid w:val="00194223"/>
    <w:rsid w:val="001952A6"/>
    <w:rsid w:val="0019653E"/>
    <w:rsid w:val="0019663E"/>
    <w:rsid w:val="001A0ADE"/>
    <w:rsid w:val="001A14A6"/>
    <w:rsid w:val="001A3309"/>
    <w:rsid w:val="001A33FE"/>
    <w:rsid w:val="001A4E53"/>
    <w:rsid w:val="001A7BE3"/>
    <w:rsid w:val="001B01F6"/>
    <w:rsid w:val="001B16C3"/>
    <w:rsid w:val="001B4BC3"/>
    <w:rsid w:val="001B5B54"/>
    <w:rsid w:val="001B5F36"/>
    <w:rsid w:val="001B69FE"/>
    <w:rsid w:val="001B7530"/>
    <w:rsid w:val="001B797E"/>
    <w:rsid w:val="001C67C0"/>
    <w:rsid w:val="001D0663"/>
    <w:rsid w:val="001D0DA5"/>
    <w:rsid w:val="001D29CA"/>
    <w:rsid w:val="001D39AC"/>
    <w:rsid w:val="001E10DF"/>
    <w:rsid w:val="001E1417"/>
    <w:rsid w:val="001E3363"/>
    <w:rsid w:val="001E405A"/>
    <w:rsid w:val="001E435B"/>
    <w:rsid w:val="001E45DC"/>
    <w:rsid w:val="001F2A9C"/>
    <w:rsid w:val="001F3190"/>
    <w:rsid w:val="001F3EF8"/>
    <w:rsid w:val="001F673A"/>
    <w:rsid w:val="001F6BE3"/>
    <w:rsid w:val="001F7911"/>
    <w:rsid w:val="00200716"/>
    <w:rsid w:val="0020538F"/>
    <w:rsid w:val="00206BD0"/>
    <w:rsid w:val="00210D2B"/>
    <w:rsid w:val="00212712"/>
    <w:rsid w:val="00213545"/>
    <w:rsid w:val="00214875"/>
    <w:rsid w:val="00215FF0"/>
    <w:rsid w:val="00217D04"/>
    <w:rsid w:val="0022127F"/>
    <w:rsid w:val="0022589F"/>
    <w:rsid w:val="002265C1"/>
    <w:rsid w:val="00226D13"/>
    <w:rsid w:val="00232025"/>
    <w:rsid w:val="00232379"/>
    <w:rsid w:val="0023349B"/>
    <w:rsid w:val="00235031"/>
    <w:rsid w:val="002354B6"/>
    <w:rsid w:val="00235E47"/>
    <w:rsid w:val="002372CB"/>
    <w:rsid w:val="00240877"/>
    <w:rsid w:val="00241DB3"/>
    <w:rsid w:val="00241DCD"/>
    <w:rsid w:val="00241F31"/>
    <w:rsid w:val="0024228D"/>
    <w:rsid w:val="00244448"/>
    <w:rsid w:val="00245390"/>
    <w:rsid w:val="00247482"/>
    <w:rsid w:val="00253395"/>
    <w:rsid w:val="00255307"/>
    <w:rsid w:val="0025781E"/>
    <w:rsid w:val="00261F3E"/>
    <w:rsid w:val="002628C7"/>
    <w:rsid w:val="00262E5D"/>
    <w:rsid w:val="00263314"/>
    <w:rsid w:val="00264229"/>
    <w:rsid w:val="002651AE"/>
    <w:rsid w:val="002657F0"/>
    <w:rsid w:val="00265E12"/>
    <w:rsid w:val="002667BC"/>
    <w:rsid w:val="00270D62"/>
    <w:rsid w:val="00270F88"/>
    <w:rsid w:val="00272795"/>
    <w:rsid w:val="00273BB0"/>
    <w:rsid w:val="00273D63"/>
    <w:rsid w:val="00274EBD"/>
    <w:rsid w:val="00276177"/>
    <w:rsid w:val="0027644E"/>
    <w:rsid w:val="00277AD0"/>
    <w:rsid w:val="00277E55"/>
    <w:rsid w:val="00280CB8"/>
    <w:rsid w:val="0028423F"/>
    <w:rsid w:val="00291CE4"/>
    <w:rsid w:val="00292B36"/>
    <w:rsid w:val="00293399"/>
    <w:rsid w:val="00295BA9"/>
    <w:rsid w:val="00295BEF"/>
    <w:rsid w:val="0029792B"/>
    <w:rsid w:val="002A04A5"/>
    <w:rsid w:val="002A4EA4"/>
    <w:rsid w:val="002A5F95"/>
    <w:rsid w:val="002A7951"/>
    <w:rsid w:val="002B0F4D"/>
    <w:rsid w:val="002B3929"/>
    <w:rsid w:val="002B4A2F"/>
    <w:rsid w:val="002B6BF3"/>
    <w:rsid w:val="002C2EE1"/>
    <w:rsid w:val="002C47A6"/>
    <w:rsid w:val="002C48AF"/>
    <w:rsid w:val="002D053A"/>
    <w:rsid w:val="002D0D98"/>
    <w:rsid w:val="002D1463"/>
    <w:rsid w:val="002D1D8E"/>
    <w:rsid w:val="002D3BB2"/>
    <w:rsid w:val="002D64BA"/>
    <w:rsid w:val="002D64E7"/>
    <w:rsid w:val="002D76FF"/>
    <w:rsid w:val="002E1277"/>
    <w:rsid w:val="002E4C59"/>
    <w:rsid w:val="002E5C93"/>
    <w:rsid w:val="002E666B"/>
    <w:rsid w:val="002E6BCB"/>
    <w:rsid w:val="002F1783"/>
    <w:rsid w:val="002F18CB"/>
    <w:rsid w:val="002F361B"/>
    <w:rsid w:val="002F3C53"/>
    <w:rsid w:val="002F6A91"/>
    <w:rsid w:val="00300270"/>
    <w:rsid w:val="003004BB"/>
    <w:rsid w:val="00300A8B"/>
    <w:rsid w:val="00300FA2"/>
    <w:rsid w:val="00301703"/>
    <w:rsid w:val="00303068"/>
    <w:rsid w:val="003030D9"/>
    <w:rsid w:val="00304FBA"/>
    <w:rsid w:val="00305313"/>
    <w:rsid w:val="00311296"/>
    <w:rsid w:val="0031188F"/>
    <w:rsid w:val="00311C4A"/>
    <w:rsid w:val="00312C89"/>
    <w:rsid w:val="00313AC2"/>
    <w:rsid w:val="00314411"/>
    <w:rsid w:val="00314C70"/>
    <w:rsid w:val="003246FB"/>
    <w:rsid w:val="00324BC1"/>
    <w:rsid w:val="003266C5"/>
    <w:rsid w:val="00326A9C"/>
    <w:rsid w:val="00326E73"/>
    <w:rsid w:val="00327262"/>
    <w:rsid w:val="00327920"/>
    <w:rsid w:val="003300A8"/>
    <w:rsid w:val="00330540"/>
    <w:rsid w:val="0033280D"/>
    <w:rsid w:val="00336119"/>
    <w:rsid w:val="003377CD"/>
    <w:rsid w:val="003420E2"/>
    <w:rsid w:val="003427D7"/>
    <w:rsid w:val="003435C9"/>
    <w:rsid w:val="003457E1"/>
    <w:rsid w:val="00346628"/>
    <w:rsid w:val="00354B61"/>
    <w:rsid w:val="00355362"/>
    <w:rsid w:val="0035748B"/>
    <w:rsid w:val="00360803"/>
    <w:rsid w:val="003625F6"/>
    <w:rsid w:val="0036544E"/>
    <w:rsid w:val="00372A1B"/>
    <w:rsid w:val="00373EBB"/>
    <w:rsid w:val="003806C5"/>
    <w:rsid w:val="00383BD9"/>
    <w:rsid w:val="00383D26"/>
    <w:rsid w:val="00386477"/>
    <w:rsid w:val="00386AD0"/>
    <w:rsid w:val="0038799A"/>
    <w:rsid w:val="0039332F"/>
    <w:rsid w:val="003A0CDE"/>
    <w:rsid w:val="003A1A89"/>
    <w:rsid w:val="003A1CD9"/>
    <w:rsid w:val="003B3B71"/>
    <w:rsid w:val="003B3DD2"/>
    <w:rsid w:val="003B5B56"/>
    <w:rsid w:val="003B703C"/>
    <w:rsid w:val="003C0022"/>
    <w:rsid w:val="003C06F7"/>
    <w:rsid w:val="003C28AE"/>
    <w:rsid w:val="003C2BFE"/>
    <w:rsid w:val="003C69E8"/>
    <w:rsid w:val="003D3CEE"/>
    <w:rsid w:val="003D5EC0"/>
    <w:rsid w:val="003E222F"/>
    <w:rsid w:val="003E2934"/>
    <w:rsid w:val="003E3721"/>
    <w:rsid w:val="003E43D6"/>
    <w:rsid w:val="003E482A"/>
    <w:rsid w:val="003E5884"/>
    <w:rsid w:val="003E6328"/>
    <w:rsid w:val="003E6EB8"/>
    <w:rsid w:val="003F23CC"/>
    <w:rsid w:val="003F266A"/>
    <w:rsid w:val="003F3041"/>
    <w:rsid w:val="003F409B"/>
    <w:rsid w:val="003F6616"/>
    <w:rsid w:val="004004AA"/>
    <w:rsid w:val="00403635"/>
    <w:rsid w:val="00403D1E"/>
    <w:rsid w:val="00405BDB"/>
    <w:rsid w:val="00406679"/>
    <w:rsid w:val="004066D0"/>
    <w:rsid w:val="00406BBD"/>
    <w:rsid w:val="00407A7D"/>
    <w:rsid w:val="00407C15"/>
    <w:rsid w:val="0041034B"/>
    <w:rsid w:val="00410557"/>
    <w:rsid w:val="00411668"/>
    <w:rsid w:val="00412086"/>
    <w:rsid w:val="00413FFB"/>
    <w:rsid w:val="00414E52"/>
    <w:rsid w:val="00414F43"/>
    <w:rsid w:val="004162AD"/>
    <w:rsid w:val="00417738"/>
    <w:rsid w:val="004205B5"/>
    <w:rsid w:val="004238E2"/>
    <w:rsid w:val="00426A7A"/>
    <w:rsid w:val="0043047E"/>
    <w:rsid w:val="0043086E"/>
    <w:rsid w:val="00430F45"/>
    <w:rsid w:val="00431E49"/>
    <w:rsid w:val="00433D46"/>
    <w:rsid w:val="00437509"/>
    <w:rsid w:val="00437A9E"/>
    <w:rsid w:val="004400A0"/>
    <w:rsid w:val="00441C3B"/>
    <w:rsid w:val="00443679"/>
    <w:rsid w:val="00444793"/>
    <w:rsid w:val="00444994"/>
    <w:rsid w:val="00445CA8"/>
    <w:rsid w:val="00446096"/>
    <w:rsid w:val="0044767B"/>
    <w:rsid w:val="00447785"/>
    <w:rsid w:val="00452581"/>
    <w:rsid w:val="00453EF1"/>
    <w:rsid w:val="00454102"/>
    <w:rsid w:val="00454A65"/>
    <w:rsid w:val="004550EC"/>
    <w:rsid w:val="00455285"/>
    <w:rsid w:val="00455325"/>
    <w:rsid w:val="00455728"/>
    <w:rsid w:val="00456017"/>
    <w:rsid w:val="00460095"/>
    <w:rsid w:val="00460ACC"/>
    <w:rsid w:val="00465A6C"/>
    <w:rsid w:val="004677C5"/>
    <w:rsid w:val="0047265F"/>
    <w:rsid w:val="00480B03"/>
    <w:rsid w:val="00481031"/>
    <w:rsid w:val="00482A9B"/>
    <w:rsid w:val="00483932"/>
    <w:rsid w:val="004841A9"/>
    <w:rsid w:val="00484C79"/>
    <w:rsid w:val="004855A4"/>
    <w:rsid w:val="004856AF"/>
    <w:rsid w:val="00486F6B"/>
    <w:rsid w:val="00487C88"/>
    <w:rsid w:val="004908EC"/>
    <w:rsid w:val="00490B88"/>
    <w:rsid w:val="00492510"/>
    <w:rsid w:val="00494F2F"/>
    <w:rsid w:val="00495686"/>
    <w:rsid w:val="00495D56"/>
    <w:rsid w:val="004A14B8"/>
    <w:rsid w:val="004A18E5"/>
    <w:rsid w:val="004A2907"/>
    <w:rsid w:val="004A2AD6"/>
    <w:rsid w:val="004A3694"/>
    <w:rsid w:val="004A48E0"/>
    <w:rsid w:val="004A5139"/>
    <w:rsid w:val="004A7E67"/>
    <w:rsid w:val="004B030C"/>
    <w:rsid w:val="004B1BAD"/>
    <w:rsid w:val="004B2456"/>
    <w:rsid w:val="004B4943"/>
    <w:rsid w:val="004B5423"/>
    <w:rsid w:val="004C1756"/>
    <w:rsid w:val="004C4417"/>
    <w:rsid w:val="004C4ABD"/>
    <w:rsid w:val="004C68A8"/>
    <w:rsid w:val="004D01D0"/>
    <w:rsid w:val="004D0829"/>
    <w:rsid w:val="004D0AE6"/>
    <w:rsid w:val="004D157A"/>
    <w:rsid w:val="004D257C"/>
    <w:rsid w:val="004D281D"/>
    <w:rsid w:val="004D32EF"/>
    <w:rsid w:val="004D69AB"/>
    <w:rsid w:val="004D77C3"/>
    <w:rsid w:val="004E256F"/>
    <w:rsid w:val="004E2CF1"/>
    <w:rsid w:val="004E6880"/>
    <w:rsid w:val="004F08F2"/>
    <w:rsid w:val="004F3B0F"/>
    <w:rsid w:val="004F4178"/>
    <w:rsid w:val="004F4243"/>
    <w:rsid w:val="005000AA"/>
    <w:rsid w:val="00503D90"/>
    <w:rsid w:val="00504C21"/>
    <w:rsid w:val="005064CC"/>
    <w:rsid w:val="005068F8"/>
    <w:rsid w:val="005108DC"/>
    <w:rsid w:val="00510B82"/>
    <w:rsid w:val="005134E7"/>
    <w:rsid w:val="005147F2"/>
    <w:rsid w:val="00515500"/>
    <w:rsid w:val="00517270"/>
    <w:rsid w:val="00517A49"/>
    <w:rsid w:val="00517D5D"/>
    <w:rsid w:val="005202EB"/>
    <w:rsid w:val="005206F5"/>
    <w:rsid w:val="00520C2E"/>
    <w:rsid w:val="00520DFC"/>
    <w:rsid w:val="00520EC1"/>
    <w:rsid w:val="00520F62"/>
    <w:rsid w:val="00521E41"/>
    <w:rsid w:val="00522536"/>
    <w:rsid w:val="00522E33"/>
    <w:rsid w:val="00522E5C"/>
    <w:rsid w:val="005230B8"/>
    <w:rsid w:val="005232D2"/>
    <w:rsid w:val="00525249"/>
    <w:rsid w:val="00527181"/>
    <w:rsid w:val="0052739B"/>
    <w:rsid w:val="00531582"/>
    <w:rsid w:val="00531583"/>
    <w:rsid w:val="0053229D"/>
    <w:rsid w:val="00532688"/>
    <w:rsid w:val="005338E0"/>
    <w:rsid w:val="0053405C"/>
    <w:rsid w:val="0053423E"/>
    <w:rsid w:val="00534361"/>
    <w:rsid w:val="00537F9D"/>
    <w:rsid w:val="00544B2B"/>
    <w:rsid w:val="005453E9"/>
    <w:rsid w:val="00545B7C"/>
    <w:rsid w:val="00545ECD"/>
    <w:rsid w:val="005478D5"/>
    <w:rsid w:val="005501AA"/>
    <w:rsid w:val="00554DF1"/>
    <w:rsid w:val="00555BC1"/>
    <w:rsid w:val="00555DB0"/>
    <w:rsid w:val="005568A6"/>
    <w:rsid w:val="005568AE"/>
    <w:rsid w:val="00561FDA"/>
    <w:rsid w:val="0056316D"/>
    <w:rsid w:val="00563970"/>
    <w:rsid w:val="00563EF1"/>
    <w:rsid w:val="005650DE"/>
    <w:rsid w:val="00573265"/>
    <w:rsid w:val="00574226"/>
    <w:rsid w:val="00576F5E"/>
    <w:rsid w:val="00577928"/>
    <w:rsid w:val="00580EC5"/>
    <w:rsid w:val="00581183"/>
    <w:rsid w:val="00581A9B"/>
    <w:rsid w:val="00581B4E"/>
    <w:rsid w:val="00584431"/>
    <w:rsid w:val="005879BA"/>
    <w:rsid w:val="0059494F"/>
    <w:rsid w:val="00596E78"/>
    <w:rsid w:val="005A0299"/>
    <w:rsid w:val="005A0BEE"/>
    <w:rsid w:val="005A1BFA"/>
    <w:rsid w:val="005A2977"/>
    <w:rsid w:val="005A2F97"/>
    <w:rsid w:val="005A39D2"/>
    <w:rsid w:val="005A3CCD"/>
    <w:rsid w:val="005A673F"/>
    <w:rsid w:val="005A6D9A"/>
    <w:rsid w:val="005A6DF5"/>
    <w:rsid w:val="005A70AA"/>
    <w:rsid w:val="005B0351"/>
    <w:rsid w:val="005B4FAB"/>
    <w:rsid w:val="005B76F3"/>
    <w:rsid w:val="005C09AF"/>
    <w:rsid w:val="005C0AD5"/>
    <w:rsid w:val="005C29CE"/>
    <w:rsid w:val="005D2FB2"/>
    <w:rsid w:val="005D3942"/>
    <w:rsid w:val="005D620E"/>
    <w:rsid w:val="005E0E10"/>
    <w:rsid w:val="005E1BDF"/>
    <w:rsid w:val="005E202E"/>
    <w:rsid w:val="005E273F"/>
    <w:rsid w:val="005E28C7"/>
    <w:rsid w:val="005E39A6"/>
    <w:rsid w:val="005E497E"/>
    <w:rsid w:val="005E55F6"/>
    <w:rsid w:val="005E5802"/>
    <w:rsid w:val="005E6E54"/>
    <w:rsid w:val="005E6FB6"/>
    <w:rsid w:val="005E7F0D"/>
    <w:rsid w:val="005F576B"/>
    <w:rsid w:val="005F71C5"/>
    <w:rsid w:val="0060595D"/>
    <w:rsid w:val="00607A87"/>
    <w:rsid w:val="00607C3F"/>
    <w:rsid w:val="00607EFD"/>
    <w:rsid w:val="006124AF"/>
    <w:rsid w:val="00613E92"/>
    <w:rsid w:val="00614B6E"/>
    <w:rsid w:val="00615D0D"/>
    <w:rsid w:val="006171F3"/>
    <w:rsid w:val="00617270"/>
    <w:rsid w:val="00617D28"/>
    <w:rsid w:val="00617FF9"/>
    <w:rsid w:val="006227BD"/>
    <w:rsid w:val="00623907"/>
    <w:rsid w:val="006275E1"/>
    <w:rsid w:val="00630B29"/>
    <w:rsid w:val="00631999"/>
    <w:rsid w:val="00631AFB"/>
    <w:rsid w:val="006331A5"/>
    <w:rsid w:val="00633A5B"/>
    <w:rsid w:val="006345CE"/>
    <w:rsid w:val="00635F55"/>
    <w:rsid w:val="006368B5"/>
    <w:rsid w:val="006403AC"/>
    <w:rsid w:val="00640F2E"/>
    <w:rsid w:val="006410D8"/>
    <w:rsid w:val="00642BD9"/>
    <w:rsid w:val="006436C4"/>
    <w:rsid w:val="00644996"/>
    <w:rsid w:val="00644DCD"/>
    <w:rsid w:val="00651626"/>
    <w:rsid w:val="00651EC4"/>
    <w:rsid w:val="0065376E"/>
    <w:rsid w:val="006558CC"/>
    <w:rsid w:val="00657DF0"/>
    <w:rsid w:val="00661D60"/>
    <w:rsid w:val="006626B2"/>
    <w:rsid w:val="00663295"/>
    <w:rsid w:val="00663D63"/>
    <w:rsid w:val="00664272"/>
    <w:rsid w:val="00671EA7"/>
    <w:rsid w:val="00672C97"/>
    <w:rsid w:val="00675035"/>
    <w:rsid w:val="00675F50"/>
    <w:rsid w:val="006778D9"/>
    <w:rsid w:val="00680BE0"/>
    <w:rsid w:val="00680CF1"/>
    <w:rsid w:val="006824A9"/>
    <w:rsid w:val="00684F3E"/>
    <w:rsid w:val="0069077B"/>
    <w:rsid w:val="006913F3"/>
    <w:rsid w:val="00691D46"/>
    <w:rsid w:val="00692B56"/>
    <w:rsid w:val="00692DC8"/>
    <w:rsid w:val="00692EE5"/>
    <w:rsid w:val="00694B96"/>
    <w:rsid w:val="00696A59"/>
    <w:rsid w:val="00697666"/>
    <w:rsid w:val="006A14E2"/>
    <w:rsid w:val="006A193C"/>
    <w:rsid w:val="006A2B8E"/>
    <w:rsid w:val="006A3F1E"/>
    <w:rsid w:val="006A418A"/>
    <w:rsid w:val="006A448F"/>
    <w:rsid w:val="006A4CCB"/>
    <w:rsid w:val="006A731A"/>
    <w:rsid w:val="006B273A"/>
    <w:rsid w:val="006B2E37"/>
    <w:rsid w:val="006B4182"/>
    <w:rsid w:val="006C13B1"/>
    <w:rsid w:val="006C1D7B"/>
    <w:rsid w:val="006C2E90"/>
    <w:rsid w:val="006C3F6F"/>
    <w:rsid w:val="006C4138"/>
    <w:rsid w:val="006C4E19"/>
    <w:rsid w:val="006C5B7D"/>
    <w:rsid w:val="006C63A6"/>
    <w:rsid w:val="006D0B03"/>
    <w:rsid w:val="006D11DB"/>
    <w:rsid w:val="006D2A13"/>
    <w:rsid w:val="006D44D2"/>
    <w:rsid w:val="006D5275"/>
    <w:rsid w:val="006D619C"/>
    <w:rsid w:val="006E4D6C"/>
    <w:rsid w:val="006E778D"/>
    <w:rsid w:val="006F09FC"/>
    <w:rsid w:val="006F1274"/>
    <w:rsid w:val="006F1C3D"/>
    <w:rsid w:val="006F31AB"/>
    <w:rsid w:val="006F38DB"/>
    <w:rsid w:val="007000E1"/>
    <w:rsid w:val="0070127D"/>
    <w:rsid w:val="00701FA6"/>
    <w:rsid w:val="00704D3E"/>
    <w:rsid w:val="0070528A"/>
    <w:rsid w:val="007068BB"/>
    <w:rsid w:val="00711396"/>
    <w:rsid w:val="007120F8"/>
    <w:rsid w:val="00714A04"/>
    <w:rsid w:val="00715D36"/>
    <w:rsid w:val="00716038"/>
    <w:rsid w:val="007165D4"/>
    <w:rsid w:val="00722644"/>
    <w:rsid w:val="00722C51"/>
    <w:rsid w:val="00722E35"/>
    <w:rsid w:val="00722F0D"/>
    <w:rsid w:val="00723AD8"/>
    <w:rsid w:val="007252D6"/>
    <w:rsid w:val="007253A0"/>
    <w:rsid w:val="00726FE9"/>
    <w:rsid w:val="0072791B"/>
    <w:rsid w:val="00731557"/>
    <w:rsid w:val="0073171E"/>
    <w:rsid w:val="00731D56"/>
    <w:rsid w:val="007321F0"/>
    <w:rsid w:val="00733F93"/>
    <w:rsid w:val="007345C8"/>
    <w:rsid w:val="007351F0"/>
    <w:rsid w:val="00736998"/>
    <w:rsid w:val="0073722F"/>
    <w:rsid w:val="0073736D"/>
    <w:rsid w:val="00740A54"/>
    <w:rsid w:val="00741862"/>
    <w:rsid w:val="00745067"/>
    <w:rsid w:val="00745845"/>
    <w:rsid w:val="0074587A"/>
    <w:rsid w:val="0074639A"/>
    <w:rsid w:val="007473D1"/>
    <w:rsid w:val="00747C88"/>
    <w:rsid w:val="007502A7"/>
    <w:rsid w:val="00750372"/>
    <w:rsid w:val="007508C6"/>
    <w:rsid w:val="00750B0B"/>
    <w:rsid w:val="0075116E"/>
    <w:rsid w:val="00752AA7"/>
    <w:rsid w:val="00752EA7"/>
    <w:rsid w:val="0075312D"/>
    <w:rsid w:val="00754A1E"/>
    <w:rsid w:val="00754B08"/>
    <w:rsid w:val="007552FA"/>
    <w:rsid w:val="00756265"/>
    <w:rsid w:val="0075678B"/>
    <w:rsid w:val="00756E31"/>
    <w:rsid w:val="0075752F"/>
    <w:rsid w:val="00757812"/>
    <w:rsid w:val="00761096"/>
    <w:rsid w:val="007616C4"/>
    <w:rsid w:val="0076196D"/>
    <w:rsid w:val="007622B0"/>
    <w:rsid w:val="00763383"/>
    <w:rsid w:val="00764ABB"/>
    <w:rsid w:val="00764AC0"/>
    <w:rsid w:val="00771787"/>
    <w:rsid w:val="00774CC1"/>
    <w:rsid w:val="0078139C"/>
    <w:rsid w:val="007821CC"/>
    <w:rsid w:val="007823FF"/>
    <w:rsid w:val="00783AA1"/>
    <w:rsid w:val="007852F0"/>
    <w:rsid w:val="00785EE6"/>
    <w:rsid w:val="00786C67"/>
    <w:rsid w:val="007871C5"/>
    <w:rsid w:val="00787869"/>
    <w:rsid w:val="00790A99"/>
    <w:rsid w:val="0079115E"/>
    <w:rsid w:val="007930E1"/>
    <w:rsid w:val="00794DB4"/>
    <w:rsid w:val="007953D0"/>
    <w:rsid w:val="00796904"/>
    <w:rsid w:val="007A2337"/>
    <w:rsid w:val="007A4AC0"/>
    <w:rsid w:val="007A7FD6"/>
    <w:rsid w:val="007B0193"/>
    <w:rsid w:val="007B0954"/>
    <w:rsid w:val="007B301B"/>
    <w:rsid w:val="007B5A45"/>
    <w:rsid w:val="007B5B79"/>
    <w:rsid w:val="007C0442"/>
    <w:rsid w:val="007C1D67"/>
    <w:rsid w:val="007C1E4F"/>
    <w:rsid w:val="007C3EC9"/>
    <w:rsid w:val="007C3FE6"/>
    <w:rsid w:val="007D0578"/>
    <w:rsid w:val="007D0D59"/>
    <w:rsid w:val="007D120F"/>
    <w:rsid w:val="007D6268"/>
    <w:rsid w:val="007D6EA5"/>
    <w:rsid w:val="007E0CFF"/>
    <w:rsid w:val="007E159F"/>
    <w:rsid w:val="007E525D"/>
    <w:rsid w:val="007E5E4E"/>
    <w:rsid w:val="007F1BAF"/>
    <w:rsid w:val="007F2948"/>
    <w:rsid w:val="007F3A6A"/>
    <w:rsid w:val="007F4080"/>
    <w:rsid w:val="007F57A3"/>
    <w:rsid w:val="007F5E7A"/>
    <w:rsid w:val="007F720D"/>
    <w:rsid w:val="007F7B36"/>
    <w:rsid w:val="00800FA6"/>
    <w:rsid w:val="0080114A"/>
    <w:rsid w:val="008025F0"/>
    <w:rsid w:val="00803965"/>
    <w:rsid w:val="0080435D"/>
    <w:rsid w:val="00804DE5"/>
    <w:rsid w:val="00805080"/>
    <w:rsid w:val="008067FF"/>
    <w:rsid w:val="00807749"/>
    <w:rsid w:val="00807FD3"/>
    <w:rsid w:val="00811B30"/>
    <w:rsid w:val="008167B0"/>
    <w:rsid w:val="008211D6"/>
    <w:rsid w:val="00822E99"/>
    <w:rsid w:val="00825FE8"/>
    <w:rsid w:val="008263A4"/>
    <w:rsid w:val="00826D93"/>
    <w:rsid w:val="008303D4"/>
    <w:rsid w:val="00834681"/>
    <w:rsid w:val="00834F17"/>
    <w:rsid w:val="00840DFE"/>
    <w:rsid w:val="008426CD"/>
    <w:rsid w:val="008442D8"/>
    <w:rsid w:val="00847C07"/>
    <w:rsid w:val="0085380D"/>
    <w:rsid w:val="00854FDE"/>
    <w:rsid w:val="00855426"/>
    <w:rsid w:val="00856201"/>
    <w:rsid w:val="00860F71"/>
    <w:rsid w:val="00862911"/>
    <w:rsid w:val="00863D7C"/>
    <w:rsid w:val="008640F4"/>
    <w:rsid w:val="008657ED"/>
    <w:rsid w:val="00867CA0"/>
    <w:rsid w:val="00870135"/>
    <w:rsid w:val="0087118A"/>
    <w:rsid w:val="00871779"/>
    <w:rsid w:val="0087445A"/>
    <w:rsid w:val="00874690"/>
    <w:rsid w:val="008750F7"/>
    <w:rsid w:val="00876D2E"/>
    <w:rsid w:val="00881245"/>
    <w:rsid w:val="00883123"/>
    <w:rsid w:val="008846E8"/>
    <w:rsid w:val="00886BA8"/>
    <w:rsid w:val="00890239"/>
    <w:rsid w:val="00891EB5"/>
    <w:rsid w:val="00893A30"/>
    <w:rsid w:val="00893B2C"/>
    <w:rsid w:val="00893C49"/>
    <w:rsid w:val="00894848"/>
    <w:rsid w:val="00894946"/>
    <w:rsid w:val="008958EC"/>
    <w:rsid w:val="008A06EC"/>
    <w:rsid w:val="008A52D4"/>
    <w:rsid w:val="008A5C70"/>
    <w:rsid w:val="008A65B3"/>
    <w:rsid w:val="008B13AC"/>
    <w:rsid w:val="008B339D"/>
    <w:rsid w:val="008C0668"/>
    <w:rsid w:val="008C0967"/>
    <w:rsid w:val="008C11A5"/>
    <w:rsid w:val="008C1C68"/>
    <w:rsid w:val="008C5DC3"/>
    <w:rsid w:val="008C6DDA"/>
    <w:rsid w:val="008C7B60"/>
    <w:rsid w:val="008D0968"/>
    <w:rsid w:val="008D0AD2"/>
    <w:rsid w:val="008D162B"/>
    <w:rsid w:val="008D568F"/>
    <w:rsid w:val="008D6256"/>
    <w:rsid w:val="008D66D1"/>
    <w:rsid w:val="008E001C"/>
    <w:rsid w:val="008E0AA0"/>
    <w:rsid w:val="008E2F3A"/>
    <w:rsid w:val="008E36F9"/>
    <w:rsid w:val="008E48E5"/>
    <w:rsid w:val="008E5C42"/>
    <w:rsid w:val="008F0357"/>
    <w:rsid w:val="008F09AF"/>
    <w:rsid w:val="008F126C"/>
    <w:rsid w:val="008F2281"/>
    <w:rsid w:val="008F2978"/>
    <w:rsid w:val="00903B13"/>
    <w:rsid w:val="009100B7"/>
    <w:rsid w:val="00910674"/>
    <w:rsid w:val="00910991"/>
    <w:rsid w:val="0091337D"/>
    <w:rsid w:val="00913651"/>
    <w:rsid w:val="0091610C"/>
    <w:rsid w:val="00916452"/>
    <w:rsid w:val="00916743"/>
    <w:rsid w:val="00917823"/>
    <w:rsid w:val="00917F46"/>
    <w:rsid w:val="00920199"/>
    <w:rsid w:val="009209AE"/>
    <w:rsid w:val="009222BF"/>
    <w:rsid w:val="009244D4"/>
    <w:rsid w:val="00931C9E"/>
    <w:rsid w:val="00931DA7"/>
    <w:rsid w:val="00932BD5"/>
    <w:rsid w:val="00934B97"/>
    <w:rsid w:val="00935FA7"/>
    <w:rsid w:val="0093640D"/>
    <w:rsid w:val="009366DB"/>
    <w:rsid w:val="00937B5F"/>
    <w:rsid w:val="009405AB"/>
    <w:rsid w:val="0094180D"/>
    <w:rsid w:val="00942AD1"/>
    <w:rsid w:val="00943016"/>
    <w:rsid w:val="00944A08"/>
    <w:rsid w:val="00946B28"/>
    <w:rsid w:val="00946B9C"/>
    <w:rsid w:val="00953516"/>
    <w:rsid w:val="0095420D"/>
    <w:rsid w:val="009618BF"/>
    <w:rsid w:val="00961CF8"/>
    <w:rsid w:val="00961E8E"/>
    <w:rsid w:val="00961F0E"/>
    <w:rsid w:val="00963B20"/>
    <w:rsid w:val="00971589"/>
    <w:rsid w:val="00973F20"/>
    <w:rsid w:val="00975327"/>
    <w:rsid w:val="00981E35"/>
    <w:rsid w:val="0098203E"/>
    <w:rsid w:val="00982330"/>
    <w:rsid w:val="00982AEF"/>
    <w:rsid w:val="00985A1D"/>
    <w:rsid w:val="00990CE9"/>
    <w:rsid w:val="0099485C"/>
    <w:rsid w:val="00994B6B"/>
    <w:rsid w:val="009955F3"/>
    <w:rsid w:val="009960AE"/>
    <w:rsid w:val="00997300"/>
    <w:rsid w:val="009A07FA"/>
    <w:rsid w:val="009A23C4"/>
    <w:rsid w:val="009A4636"/>
    <w:rsid w:val="009A621D"/>
    <w:rsid w:val="009A6299"/>
    <w:rsid w:val="009A6483"/>
    <w:rsid w:val="009A6DE3"/>
    <w:rsid w:val="009A7148"/>
    <w:rsid w:val="009A7805"/>
    <w:rsid w:val="009B26AE"/>
    <w:rsid w:val="009B419F"/>
    <w:rsid w:val="009B4AB0"/>
    <w:rsid w:val="009B5464"/>
    <w:rsid w:val="009B78F4"/>
    <w:rsid w:val="009C215F"/>
    <w:rsid w:val="009C5CB9"/>
    <w:rsid w:val="009C6181"/>
    <w:rsid w:val="009C7796"/>
    <w:rsid w:val="009C7E65"/>
    <w:rsid w:val="009D150B"/>
    <w:rsid w:val="009D3800"/>
    <w:rsid w:val="009D56AE"/>
    <w:rsid w:val="009D63D0"/>
    <w:rsid w:val="009E1F39"/>
    <w:rsid w:val="009E212E"/>
    <w:rsid w:val="009E2322"/>
    <w:rsid w:val="009E4590"/>
    <w:rsid w:val="009E63A2"/>
    <w:rsid w:val="009F369B"/>
    <w:rsid w:val="009F4CBD"/>
    <w:rsid w:val="009F55DC"/>
    <w:rsid w:val="009F6EF6"/>
    <w:rsid w:val="009F7991"/>
    <w:rsid w:val="009F7DCF"/>
    <w:rsid w:val="00A01CA8"/>
    <w:rsid w:val="00A10B69"/>
    <w:rsid w:val="00A12C00"/>
    <w:rsid w:val="00A12E91"/>
    <w:rsid w:val="00A1382B"/>
    <w:rsid w:val="00A13945"/>
    <w:rsid w:val="00A13999"/>
    <w:rsid w:val="00A201ED"/>
    <w:rsid w:val="00A20607"/>
    <w:rsid w:val="00A2162A"/>
    <w:rsid w:val="00A232AA"/>
    <w:rsid w:val="00A24306"/>
    <w:rsid w:val="00A24654"/>
    <w:rsid w:val="00A2471E"/>
    <w:rsid w:val="00A25D51"/>
    <w:rsid w:val="00A27569"/>
    <w:rsid w:val="00A32A56"/>
    <w:rsid w:val="00A335A0"/>
    <w:rsid w:val="00A35590"/>
    <w:rsid w:val="00A35E8A"/>
    <w:rsid w:val="00A36C73"/>
    <w:rsid w:val="00A40749"/>
    <w:rsid w:val="00A419FB"/>
    <w:rsid w:val="00A42270"/>
    <w:rsid w:val="00A442F6"/>
    <w:rsid w:val="00A45D1D"/>
    <w:rsid w:val="00A460C6"/>
    <w:rsid w:val="00A473EC"/>
    <w:rsid w:val="00A51499"/>
    <w:rsid w:val="00A52285"/>
    <w:rsid w:val="00A52590"/>
    <w:rsid w:val="00A53772"/>
    <w:rsid w:val="00A53910"/>
    <w:rsid w:val="00A56451"/>
    <w:rsid w:val="00A62D85"/>
    <w:rsid w:val="00A64917"/>
    <w:rsid w:val="00A64E48"/>
    <w:rsid w:val="00A66D10"/>
    <w:rsid w:val="00A67658"/>
    <w:rsid w:val="00A67F29"/>
    <w:rsid w:val="00A70ABB"/>
    <w:rsid w:val="00A72A3F"/>
    <w:rsid w:val="00A72A91"/>
    <w:rsid w:val="00A74C88"/>
    <w:rsid w:val="00A7541C"/>
    <w:rsid w:val="00A75994"/>
    <w:rsid w:val="00A775A8"/>
    <w:rsid w:val="00A777E2"/>
    <w:rsid w:val="00A77E3F"/>
    <w:rsid w:val="00A812F7"/>
    <w:rsid w:val="00A94ED8"/>
    <w:rsid w:val="00A9559F"/>
    <w:rsid w:val="00A96F44"/>
    <w:rsid w:val="00AA529C"/>
    <w:rsid w:val="00AA639F"/>
    <w:rsid w:val="00AB1BF2"/>
    <w:rsid w:val="00AB2C4A"/>
    <w:rsid w:val="00AB50DA"/>
    <w:rsid w:val="00AB5B95"/>
    <w:rsid w:val="00AB5F0C"/>
    <w:rsid w:val="00AB6E93"/>
    <w:rsid w:val="00AC03EE"/>
    <w:rsid w:val="00AC50FF"/>
    <w:rsid w:val="00AC53BF"/>
    <w:rsid w:val="00AC760E"/>
    <w:rsid w:val="00AD1857"/>
    <w:rsid w:val="00AD5D64"/>
    <w:rsid w:val="00AD65EA"/>
    <w:rsid w:val="00AD71C0"/>
    <w:rsid w:val="00AE110A"/>
    <w:rsid w:val="00AE3E84"/>
    <w:rsid w:val="00AE410C"/>
    <w:rsid w:val="00AE7D58"/>
    <w:rsid w:val="00AF0B84"/>
    <w:rsid w:val="00AF0D01"/>
    <w:rsid w:val="00AF1AE2"/>
    <w:rsid w:val="00AF2E86"/>
    <w:rsid w:val="00AF4352"/>
    <w:rsid w:val="00AF7B89"/>
    <w:rsid w:val="00B017D7"/>
    <w:rsid w:val="00B029D8"/>
    <w:rsid w:val="00B050FF"/>
    <w:rsid w:val="00B07641"/>
    <w:rsid w:val="00B10752"/>
    <w:rsid w:val="00B12E6F"/>
    <w:rsid w:val="00B1633B"/>
    <w:rsid w:val="00B17A03"/>
    <w:rsid w:val="00B223FA"/>
    <w:rsid w:val="00B23361"/>
    <w:rsid w:val="00B249A5"/>
    <w:rsid w:val="00B24A88"/>
    <w:rsid w:val="00B31597"/>
    <w:rsid w:val="00B369BB"/>
    <w:rsid w:val="00B36C7A"/>
    <w:rsid w:val="00B452A5"/>
    <w:rsid w:val="00B46D66"/>
    <w:rsid w:val="00B473E6"/>
    <w:rsid w:val="00B51C08"/>
    <w:rsid w:val="00B528E2"/>
    <w:rsid w:val="00B53D9D"/>
    <w:rsid w:val="00B563D1"/>
    <w:rsid w:val="00B5686E"/>
    <w:rsid w:val="00B5728C"/>
    <w:rsid w:val="00B616D7"/>
    <w:rsid w:val="00B67F49"/>
    <w:rsid w:val="00B74155"/>
    <w:rsid w:val="00B74A88"/>
    <w:rsid w:val="00B77095"/>
    <w:rsid w:val="00B77880"/>
    <w:rsid w:val="00B81414"/>
    <w:rsid w:val="00B814E3"/>
    <w:rsid w:val="00B8388E"/>
    <w:rsid w:val="00B86D75"/>
    <w:rsid w:val="00B870DE"/>
    <w:rsid w:val="00B9026E"/>
    <w:rsid w:val="00B90D79"/>
    <w:rsid w:val="00B91119"/>
    <w:rsid w:val="00B9124B"/>
    <w:rsid w:val="00B960E2"/>
    <w:rsid w:val="00B968E2"/>
    <w:rsid w:val="00B976DE"/>
    <w:rsid w:val="00BA1292"/>
    <w:rsid w:val="00BA159A"/>
    <w:rsid w:val="00BA1787"/>
    <w:rsid w:val="00BA1B6A"/>
    <w:rsid w:val="00BA31FF"/>
    <w:rsid w:val="00BA7959"/>
    <w:rsid w:val="00BB014B"/>
    <w:rsid w:val="00BB1175"/>
    <w:rsid w:val="00BB12CE"/>
    <w:rsid w:val="00BB14EB"/>
    <w:rsid w:val="00BB281A"/>
    <w:rsid w:val="00BB2EC6"/>
    <w:rsid w:val="00BB31AF"/>
    <w:rsid w:val="00BB390E"/>
    <w:rsid w:val="00BB48F8"/>
    <w:rsid w:val="00BB6094"/>
    <w:rsid w:val="00BB60F7"/>
    <w:rsid w:val="00BB6246"/>
    <w:rsid w:val="00BB73D3"/>
    <w:rsid w:val="00BB778D"/>
    <w:rsid w:val="00BB7E21"/>
    <w:rsid w:val="00BC0097"/>
    <w:rsid w:val="00BC37A6"/>
    <w:rsid w:val="00BC509F"/>
    <w:rsid w:val="00BC5718"/>
    <w:rsid w:val="00BD014C"/>
    <w:rsid w:val="00BD2C1A"/>
    <w:rsid w:val="00BD2F59"/>
    <w:rsid w:val="00BD35FA"/>
    <w:rsid w:val="00BD3F13"/>
    <w:rsid w:val="00BD4405"/>
    <w:rsid w:val="00BD4A21"/>
    <w:rsid w:val="00BD53BB"/>
    <w:rsid w:val="00BD661F"/>
    <w:rsid w:val="00BE289D"/>
    <w:rsid w:val="00BE4617"/>
    <w:rsid w:val="00BE4CE5"/>
    <w:rsid w:val="00BE5B12"/>
    <w:rsid w:val="00BE7088"/>
    <w:rsid w:val="00BE77ED"/>
    <w:rsid w:val="00BF2348"/>
    <w:rsid w:val="00BF2D79"/>
    <w:rsid w:val="00BF60E2"/>
    <w:rsid w:val="00BF7962"/>
    <w:rsid w:val="00BF796D"/>
    <w:rsid w:val="00C01553"/>
    <w:rsid w:val="00C0193E"/>
    <w:rsid w:val="00C02E49"/>
    <w:rsid w:val="00C03B1D"/>
    <w:rsid w:val="00C042DF"/>
    <w:rsid w:val="00C0441A"/>
    <w:rsid w:val="00C0671E"/>
    <w:rsid w:val="00C11974"/>
    <w:rsid w:val="00C12AB2"/>
    <w:rsid w:val="00C1391F"/>
    <w:rsid w:val="00C13989"/>
    <w:rsid w:val="00C15B38"/>
    <w:rsid w:val="00C165A4"/>
    <w:rsid w:val="00C16644"/>
    <w:rsid w:val="00C20E30"/>
    <w:rsid w:val="00C2125F"/>
    <w:rsid w:val="00C22EDC"/>
    <w:rsid w:val="00C32A2B"/>
    <w:rsid w:val="00C33394"/>
    <w:rsid w:val="00C40311"/>
    <w:rsid w:val="00C41BBD"/>
    <w:rsid w:val="00C41CA0"/>
    <w:rsid w:val="00C41DBF"/>
    <w:rsid w:val="00C42B7B"/>
    <w:rsid w:val="00C43034"/>
    <w:rsid w:val="00C43D6B"/>
    <w:rsid w:val="00C47275"/>
    <w:rsid w:val="00C4732C"/>
    <w:rsid w:val="00C476CD"/>
    <w:rsid w:val="00C47DBB"/>
    <w:rsid w:val="00C5007B"/>
    <w:rsid w:val="00C5157A"/>
    <w:rsid w:val="00C571C6"/>
    <w:rsid w:val="00C57829"/>
    <w:rsid w:val="00C60B88"/>
    <w:rsid w:val="00C6488D"/>
    <w:rsid w:val="00C6643C"/>
    <w:rsid w:val="00C704EB"/>
    <w:rsid w:val="00C7118C"/>
    <w:rsid w:val="00C72E73"/>
    <w:rsid w:val="00C74BC2"/>
    <w:rsid w:val="00C754BF"/>
    <w:rsid w:val="00C756B7"/>
    <w:rsid w:val="00C756F3"/>
    <w:rsid w:val="00C77F32"/>
    <w:rsid w:val="00C8095B"/>
    <w:rsid w:val="00C81476"/>
    <w:rsid w:val="00C829A0"/>
    <w:rsid w:val="00C83432"/>
    <w:rsid w:val="00C83713"/>
    <w:rsid w:val="00C85722"/>
    <w:rsid w:val="00C8596D"/>
    <w:rsid w:val="00C85E74"/>
    <w:rsid w:val="00C86065"/>
    <w:rsid w:val="00C86D51"/>
    <w:rsid w:val="00C9090E"/>
    <w:rsid w:val="00C913A0"/>
    <w:rsid w:val="00C91B3A"/>
    <w:rsid w:val="00C93706"/>
    <w:rsid w:val="00CA1075"/>
    <w:rsid w:val="00CA1986"/>
    <w:rsid w:val="00CA4A0F"/>
    <w:rsid w:val="00CA54BC"/>
    <w:rsid w:val="00CB0660"/>
    <w:rsid w:val="00CB1ED0"/>
    <w:rsid w:val="00CB4DAF"/>
    <w:rsid w:val="00CB559C"/>
    <w:rsid w:val="00CB6E5B"/>
    <w:rsid w:val="00CC1386"/>
    <w:rsid w:val="00CC1525"/>
    <w:rsid w:val="00CC2E0A"/>
    <w:rsid w:val="00CC3B83"/>
    <w:rsid w:val="00CC4670"/>
    <w:rsid w:val="00CC6950"/>
    <w:rsid w:val="00CC6F72"/>
    <w:rsid w:val="00CD20FC"/>
    <w:rsid w:val="00CD2677"/>
    <w:rsid w:val="00CD2F34"/>
    <w:rsid w:val="00CD3441"/>
    <w:rsid w:val="00CD46C6"/>
    <w:rsid w:val="00CD5F4F"/>
    <w:rsid w:val="00CD7F4A"/>
    <w:rsid w:val="00CE0554"/>
    <w:rsid w:val="00CE6C8A"/>
    <w:rsid w:val="00CF06F0"/>
    <w:rsid w:val="00CF0FE1"/>
    <w:rsid w:val="00CF165E"/>
    <w:rsid w:val="00CF2463"/>
    <w:rsid w:val="00CF3144"/>
    <w:rsid w:val="00CF3D6C"/>
    <w:rsid w:val="00CF5640"/>
    <w:rsid w:val="00CF66B7"/>
    <w:rsid w:val="00D00286"/>
    <w:rsid w:val="00D00AF7"/>
    <w:rsid w:val="00D0133D"/>
    <w:rsid w:val="00D033D5"/>
    <w:rsid w:val="00D04405"/>
    <w:rsid w:val="00D0568B"/>
    <w:rsid w:val="00D11D3F"/>
    <w:rsid w:val="00D11E8D"/>
    <w:rsid w:val="00D121A3"/>
    <w:rsid w:val="00D13107"/>
    <w:rsid w:val="00D13ACD"/>
    <w:rsid w:val="00D13F1A"/>
    <w:rsid w:val="00D143FA"/>
    <w:rsid w:val="00D14C0A"/>
    <w:rsid w:val="00D14F76"/>
    <w:rsid w:val="00D15530"/>
    <w:rsid w:val="00D1659B"/>
    <w:rsid w:val="00D16D48"/>
    <w:rsid w:val="00D20050"/>
    <w:rsid w:val="00D222A2"/>
    <w:rsid w:val="00D22D1D"/>
    <w:rsid w:val="00D22EBD"/>
    <w:rsid w:val="00D2442D"/>
    <w:rsid w:val="00D24C91"/>
    <w:rsid w:val="00D25EB7"/>
    <w:rsid w:val="00D313E4"/>
    <w:rsid w:val="00D31410"/>
    <w:rsid w:val="00D33C12"/>
    <w:rsid w:val="00D33E74"/>
    <w:rsid w:val="00D34FCA"/>
    <w:rsid w:val="00D379B9"/>
    <w:rsid w:val="00D40019"/>
    <w:rsid w:val="00D407C6"/>
    <w:rsid w:val="00D43AEB"/>
    <w:rsid w:val="00D46422"/>
    <w:rsid w:val="00D47A33"/>
    <w:rsid w:val="00D50F1D"/>
    <w:rsid w:val="00D52818"/>
    <w:rsid w:val="00D543CA"/>
    <w:rsid w:val="00D56F69"/>
    <w:rsid w:val="00D57219"/>
    <w:rsid w:val="00D60728"/>
    <w:rsid w:val="00D64086"/>
    <w:rsid w:val="00D64220"/>
    <w:rsid w:val="00D65217"/>
    <w:rsid w:val="00D66BF6"/>
    <w:rsid w:val="00D73246"/>
    <w:rsid w:val="00D7343C"/>
    <w:rsid w:val="00D753F4"/>
    <w:rsid w:val="00D84512"/>
    <w:rsid w:val="00D856B3"/>
    <w:rsid w:val="00D866BE"/>
    <w:rsid w:val="00D914D6"/>
    <w:rsid w:val="00D92E3B"/>
    <w:rsid w:val="00D96FE8"/>
    <w:rsid w:val="00DA0E5B"/>
    <w:rsid w:val="00DA192A"/>
    <w:rsid w:val="00DA46E8"/>
    <w:rsid w:val="00DB04E2"/>
    <w:rsid w:val="00DB1F35"/>
    <w:rsid w:val="00DB32C6"/>
    <w:rsid w:val="00DB344B"/>
    <w:rsid w:val="00DB40C3"/>
    <w:rsid w:val="00DB4778"/>
    <w:rsid w:val="00DB49B7"/>
    <w:rsid w:val="00DB6210"/>
    <w:rsid w:val="00DB7969"/>
    <w:rsid w:val="00DB7A47"/>
    <w:rsid w:val="00DC031F"/>
    <w:rsid w:val="00DC0BB2"/>
    <w:rsid w:val="00DC1012"/>
    <w:rsid w:val="00DC59B1"/>
    <w:rsid w:val="00DC6908"/>
    <w:rsid w:val="00DC7152"/>
    <w:rsid w:val="00DC742D"/>
    <w:rsid w:val="00DC7824"/>
    <w:rsid w:val="00DD147F"/>
    <w:rsid w:val="00DD2414"/>
    <w:rsid w:val="00DD413E"/>
    <w:rsid w:val="00DD7163"/>
    <w:rsid w:val="00DE0566"/>
    <w:rsid w:val="00DE2588"/>
    <w:rsid w:val="00DE2EC4"/>
    <w:rsid w:val="00DE4EA1"/>
    <w:rsid w:val="00DE5734"/>
    <w:rsid w:val="00DF0000"/>
    <w:rsid w:val="00DF13D3"/>
    <w:rsid w:val="00DF4791"/>
    <w:rsid w:val="00DF4792"/>
    <w:rsid w:val="00DF61D3"/>
    <w:rsid w:val="00E00825"/>
    <w:rsid w:val="00E03864"/>
    <w:rsid w:val="00E04A22"/>
    <w:rsid w:val="00E07166"/>
    <w:rsid w:val="00E162E5"/>
    <w:rsid w:val="00E17142"/>
    <w:rsid w:val="00E20565"/>
    <w:rsid w:val="00E205DB"/>
    <w:rsid w:val="00E2117F"/>
    <w:rsid w:val="00E22251"/>
    <w:rsid w:val="00E2679D"/>
    <w:rsid w:val="00E334FB"/>
    <w:rsid w:val="00E33B7E"/>
    <w:rsid w:val="00E36E8C"/>
    <w:rsid w:val="00E37B8D"/>
    <w:rsid w:val="00E409A2"/>
    <w:rsid w:val="00E43273"/>
    <w:rsid w:val="00E467F6"/>
    <w:rsid w:val="00E46C08"/>
    <w:rsid w:val="00E5182A"/>
    <w:rsid w:val="00E51D15"/>
    <w:rsid w:val="00E51F18"/>
    <w:rsid w:val="00E53133"/>
    <w:rsid w:val="00E53720"/>
    <w:rsid w:val="00E53DCA"/>
    <w:rsid w:val="00E5611D"/>
    <w:rsid w:val="00E57800"/>
    <w:rsid w:val="00E57D54"/>
    <w:rsid w:val="00E619D1"/>
    <w:rsid w:val="00E63352"/>
    <w:rsid w:val="00E64315"/>
    <w:rsid w:val="00E646AF"/>
    <w:rsid w:val="00E6651D"/>
    <w:rsid w:val="00E66DA2"/>
    <w:rsid w:val="00E733A2"/>
    <w:rsid w:val="00E756A2"/>
    <w:rsid w:val="00E7619C"/>
    <w:rsid w:val="00E76592"/>
    <w:rsid w:val="00E8106F"/>
    <w:rsid w:val="00E8196D"/>
    <w:rsid w:val="00E82C58"/>
    <w:rsid w:val="00E82E78"/>
    <w:rsid w:val="00E902E3"/>
    <w:rsid w:val="00E9205D"/>
    <w:rsid w:val="00E9218A"/>
    <w:rsid w:val="00E95A2C"/>
    <w:rsid w:val="00E970A1"/>
    <w:rsid w:val="00E972BC"/>
    <w:rsid w:val="00E973D9"/>
    <w:rsid w:val="00E97FCE"/>
    <w:rsid w:val="00EA061D"/>
    <w:rsid w:val="00EA2D6F"/>
    <w:rsid w:val="00EA46EE"/>
    <w:rsid w:val="00EA49F6"/>
    <w:rsid w:val="00EA5E65"/>
    <w:rsid w:val="00EA7D44"/>
    <w:rsid w:val="00EB07F6"/>
    <w:rsid w:val="00EB1DF5"/>
    <w:rsid w:val="00EB2541"/>
    <w:rsid w:val="00EB36FB"/>
    <w:rsid w:val="00EB38C6"/>
    <w:rsid w:val="00EB65F5"/>
    <w:rsid w:val="00EC3146"/>
    <w:rsid w:val="00EC3FF9"/>
    <w:rsid w:val="00EC42D4"/>
    <w:rsid w:val="00EC7081"/>
    <w:rsid w:val="00EC7A25"/>
    <w:rsid w:val="00EC7DC8"/>
    <w:rsid w:val="00ED066A"/>
    <w:rsid w:val="00ED0EFC"/>
    <w:rsid w:val="00ED299D"/>
    <w:rsid w:val="00ED3A20"/>
    <w:rsid w:val="00ED63BA"/>
    <w:rsid w:val="00EE0F29"/>
    <w:rsid w:val="00EE3505"/>
    <w:rsid w:val="00EE6143"/>
    <w:rsid w:val="00EF0E39"/>
    <w:rsid w:val="00EF2305"/>
    <w:rsid w:val="00EF31AD"/>
    <w:rsid w:val="00EF3A70"/>
    <w:rsid w:val="00EF5CFB"/>
    <w:rsid w:val="00EF7A53"/>
    <w:rsid w:val="00F00D23"/>
    <w:rsid w:val="00F01197"/>
    <w:rsid w:val="00F049A5"/>
    <w:rsid w:val="00F04D18"/>
    <w:rsid w:val="00F10165"/>
    <w:rsid w:val="00F10C9C"/>
    <w:rsid w:val="00F11F1B"/>
    <w:rsid w:val="00F135D3"/>
    <w:rsid w:val="00F14FCE"/>
    <w:rsid w:val="00F16308"/>
    <w:rsid w:val="00F1747F"/>
    <w:rsid w:val="00F277C7"/>
    <w:rsid w:val="00F343D4"/>
    <w:rsid w:val="00F34F41"/>
    <w:rsid w:val="00F3669A"/>
    <w:rsid w:val="00F375E1"/>
    <w:rsid w:val="00F37B4E"/>
    <w:rsid w:val="00F40331"/>
    <w:rsid w:val="00F4202E"/>
    <w:rsid w:val="00F4245B"/>
    <w:rsid w:val="00F425DC"/>
    <w:rsid w:val="00F4347E"/>
    <w:rsid w:val="00F439C6"/>
    <w:rsid w:val="00F43A13"/>
    <w:rsid w:val="00F468B3"/>
    <w:rsid w:val="00F51F0A"/>
    <w:rsid w:val="00F5295F"/>
    <w:rsid w:val="00F5303B"/>
    <w:rsid w:val="00F53471"/>
    <w:rsid w:val="00F5698B"/>
    <w:rsid w:val="00F56A4A"/>
    <w:rsid w:val="00F572FD"/>
    <w:rsid w:val="00F6045B"/>
    <w:rsid w:val="00F651AE"/>
    <w:rsid w:val="00F678E7"/>
    <w:rsid w:val="00F72BB8"/>
    <w:rsid w:val="00F72CC6"/>
    <w:rsid w:val="00F73A2B"/>
    <w:rsid w:val="00F74824"/>
    <w:rsid w:val="00F7556F"/>
    <w:rsid w:val="00F76D26"/>
    <w:rsid w:val="00F8172D"/>
    <w:rsid w:val="00F81FA6"/>
    <w:rsid w:val="00F83644"/>
    <w:rsid w:val="00F86E11"/>
    <w:rsid w:val="00F87C35"/>
    <w:rsid w:val="00F913F0"/>
    <w:rsid w:val="00F9430D"/>
    <w:rsid w:val="00F95293"/>
    <w:rsid w:val="00F95930"/>
    <w:rsid w:val="00FA1340"/>
    <w:rsid w:val="00FA1D05"/>
    <w:rsid w:val="00FA51C1"/>
    <w:rsid w:val="00FB0CE1"/>
    <w:rsid w:val="00FB1BA1"/>
    <w:rsid w:val="00FB276F"/>
    <w:rsid w:val="00FB31F2"/>
    <w:rsid w:val="00FB3A36"/>
    <w:rsid w:val="00FB46C4"/>
    <w:rsid w:val="00FB776F"/>
    <w:rsid w:val="00FC012F"/>
    <w:rsid w:val="00FC25FA"/>
    <w:rsid w:val="00FC2AEF"/>
    <w:rsid w:val="00FC4315"/>
    <w:rsid w:val="00FC44C2"/>
    <w:rsid w:val="00FC4865"/>
    <w:rsid w:val="00FC4A2E"/>
    <w:rsid w:val="00FD125A"/>
    <w:rsid w:val="00FD23BD"/>
    <w:rsid w:val="00FD41CD"/>
    <w:rsid w:val="00FD4BC9"/>
    <w:rsid w:val="00FE1C72"/>
    <w:rsid w:val="00FE5034"/>
    <w:rsid w:val="00FF05E1"/>
    <w:rsid w:val="00FF60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74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4A88"/>
    <w:rPr>
      <w:sz w:val="20"/>
      <w:szCs w:val="20"/>
    </w:rPr>
  </w:style>
  <w:style w:type="character" w:styleId="FootnoteReference">
    <w:name w:val="footnote reference"/>
    <w:basedOn w:val="DefaultParagraphFont"/>
    <w:semiHidden/>
    <w:unhideWhenUsed/>
    <w:rsid w:val="00B74A88"/>
    <w:rPr>
      <w:vertAlign w:val="superscript"/>
    </w:rPr>
  </w:style>
  <w:style w:type="character" w:styleId="Hyperlink">
    <w:name w:val="Hyperlink"/>
    <w:basedOn w:val="DefaultParagraphFont"/>
    <w:uiPriority w:val="99"/>
    <w:unhideWhenUsed/>
    <w:rsid w:val="00B74A88"/>
    <w:rPr>
      <w:color w:val="0000FF" w:themeColor="hyperlink"/>
      <w:u w:val="single"/>
    </w:rPr>
  </w:style>
  <w:style w:type="paragraph" w:styleId="Header">
    <w:name w:val="header"/>
    <w:basedOn w:val="Normal"/>
    <w:link w:val="HeaderChar"/>
    <w:uiPriority w:val="99"/>
    <w:unhideWhenUsed/>
    <w:rsid w:val="000B3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E9E"/>
  </w:style>
  <w:style w:type="paragraph" w:styleId="Footer">
    <w:name w:val="footer"/>
    <w:basedOn w:val="Normal"/>
    <w:link w:val="FooterChar"/>
    <w:uiPriority w:val="99"/>
    <w:unhideWhenUsed/>
    <w:rsid w:val="000B3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E9E"/>
  </w:style>
  <w:style w:type="paragraph" w:styleId="Revision">
    <w:name w:val="Revision"/>
    <w:hidden/>
    <w:uiPriority w:val="99"/>
    <w:semiHidden/>
    <w:rsid w:val="000B3E9E"/>
    <w:pPr>
      <w:spacing w:after="0" w:line="240" w:lineRule="auto"/>
    </w:pPr>
  </w:style>
  <w:style w:type="paragraph" w:styleId="BalloonText">
    <w:name w:val="Balloon Text"/>
    <w:basedOn w:val="Normal"/>
    <w:link w:val="BalloonTextChar"/>
    <w:uiPriority w:val="99"/>
    <w:semiHidden/>
    <w:unhideWhenUsed/>
    <w:rsid w:val="000B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9E"/>
    <w:rPr>
      <w:rFonts w:ascii="Tahoma" w:hAnsi="Tahoma" w:cs="Tahoma"/>
      <w:sz w:val="16"/>
      <w:szCs w:val="16"/>
    </w:rPr>
  </w:style>
  <w:style w:type="paragraph" w:styleId="ListParagraph">
    <w:name w:val="List Paragraph"/>
    <w:basedOn w:val="Normal"/>
    <w:uiPriority w:val="34"/>
    <w:qFormat/>
    <w:rsid w:val="00C41CA0"/>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rsid w:val="00C6488D"/>
    <w:pPr>
      <w:spacing w:after="0" w:line="24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C6488D"/>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71077">
      <w:bodyDiv w:val="1"/>
      <w:marLeft w:val="0"/>
      <w:marRight w:val="0"/>
      <w:marTop w:val="0"/>
      <w:marBottom w:val="0"/>
      <w:divBdr>
        <w:top w:val="none" w:sz="0" w:space="0" w:color="auto"/>
        <w:left w:val="none" w:sz="0" w:space="0" w:color="auto"/>
        <w:bottom w:val="none" w:sz="0" w:space="0" w:color="auto"/>
        <w:right w:val="none" w:sz="0" w:space="0" w:color="auto"/>
      </w:divBdr>
      <w:divsChild>
        <w:div w:id="76908379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helocal.de/20150506/doctor-in-organdonation-scandal-acquuit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D21E-950F-49AB-BA60-60136485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10807</Words>
  <Characters>61606</Characters>
  <Application>Microsoft Office Word</Application>
  <DocSecurity>4</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2019-03-04T10:20:00Z</dcterms:created>
  <dcterms:modified xsi:type="dcterms:W3CDTF">2019-03-04T10:20:00Z</dcterms:modified>
</cp:coreProperties>
</file>