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D7BE2" w14:textId="77777777" w:rsidR="00673D50" w:rsidRPr="001C283E" w:rsidRDefault="00673D50" w:rsidP="00AB4B44">
      <w:pPr>
        <w:pStyle w:val="Title"/>
      </w:pPr>
      <w:bookmarkStart w:id="0" w:name="_GoBack"/>
      <w:bookmarkEnd w:id="0"/>
      <w:r w:rsidRPr="001C283E">
        <w:t>Data Resource Profile: Cohort &amp; Longitudinal Studies Enhancement Resources (CLOSER)</w:t>
      </w:r>
    </w:p>
    <w:p w14:paraId="1FE68AAF" w14:textId="77777777" w:rsidR="00673D50" w:rsidRPr="001C283E" w:rsidRDefault="00673D50" w:rsidP="00AB4B44"/>
    <w:p w14:paraId="6A631F88" w14:textId="1ECD49D9" w:rsidR="00673D50" w:rsidRPr="001C283E" w:rsidRDefault="00673D50" w:rsidP="00853466">
      <w:pPr>
        <w:pStyle w:val="Heading1"/>
      </w:pPr>
      <w:r w:rsidRPr="001C283E">
        <w:rPr>
          <w:sz w:val="14"/>
          <w:szCs w:val="14"/>
        </w:rPr>
        <w:t xml:space="preserve"> </w:t>
      </w:r>
      <w:r w:rsidRPr="001C283E">
        <w:t>Author</w:t>
      </w:r>
      <w:r w:rsidR="00EA0FFB">
        <w:t xml:space="preserve"> List</w:t>
      </w:r>
    </w:p>
    <w:p w14:paraId="4CCBDBFE" w14:textId="23FBCDA5" w:rsidR="00D0166B" w:rsidRDefault="00D0166B" w:rsidP="00A61FF0">
      <w:pPr>
        <w:spacing w:line="276" w:lineRule="auto"/>
        <w:rPr>
          <w:rFonts w:ascii="Calibri" w:hAnsi="Calibri" w:cs="Times New Roman"/>
          <w:color w:val="000000"/>
          <w:vertAlign w:val="superscript"/>
        </w:rPr>
      </w:pPr>
      <w:r w:rsidRPr="00D0166B">
        <w:rPr>
          <w:rFonts w:ascii="Calibri" w:hAnsi="Calibri" w:cs="Times New Roman"/>
          <w:color w:val="000000"/>
        </w:rPr>
        <w:t>Dara O’Neill</w:t>
      </w:r>
      <w:r w:rsidR="00702420">
        <w:rPr>
          <w:rFonts w:ascii="Calibri" w:hAnsi="Calibri" w:cs="Times New Roman"/>
          <w:color w:val="000000"/>
        </w:rPr>
        <w:t>*</w:t>
      </w:r>
      <w:r w:rsidRPr="00FC2107">
        <w:rPr>
          <w:rFonts w:ascii="Calibri" w:hAnsi="Calibri" w:cs="Times New Roman"/>
          <w:color w:val="000000"/>
          <w:vertAlign w:val="superscript"/>
        </w:rPr>
        <w:t>1</w:t>
      </w:r>
      <w:r w:rsidR="00A61FF0" w:rsidRPr="00A61FF0">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Michaela Benzeval</w:t>
      </w:r>
      <w:r w:rsidRPr="00EA0FFB">
        <w:rPr>
          <w:rFonts w:ascii="Calibri" w:hAnsi="Calibri"/>
          <w:vertAlign w:val="superscript"/>
        </w:rPr>
        <w:t>2</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Andy Boyd</w:t>
      </w:r>
      <w:r w:rsidRPr="00EA0FFB">
        <w:rPr>
          <w:rFonts w:ascii="Calibri" w:hAnsi="Calibri"/>
          <w:vertAlign w:val="superscript"/>
        </w:rPr>
        <w:t>3</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Lisa Calderwood</w:t>
      </w:r>
      <w:r w:rsidRPr="00EA0FFB">
        <w:rPr>
          <w:rFonts w:ascii="Calibri" w:hAnsi="Calibri"/>
          <w:vertAlign w:val="superscript"/>
        </w:rPr>
        <w:t>4</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Cyrus Cooper</w:t>
      </w:r>
      <w:r w:rsidRPr="00EA0FFB">
        <w:rPr>
          <w:rFonts w:ascii="Calibri" w:hAnsi="Calibri"/>
          <w:vertAlign w:val="superscript"/>
        </w:rPr>
        <w:t>5,6,7</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Louise Corti</w:t>
      </w:r>
      <w:r w:rsidRPr="00EA0FFB">
        <w:rPr>
          <w:rFonts w:ascii="Calibri" w:hAnsi="Calibri"/>
          <w:vertAlign w:val="superscript"/>
        </w:rPr>
        <w:t>8</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Elaine Dennison</w:t>
      </w:r>
      <w:r w:rsidR="0066393A" w:rsidRPr="00EA0FFB">
        <w:rPr>
          <w:rFonts w:ascii="Calibri" w:hAnsi="Calibri"/>
          <w:vertAlign w:val="superscript"/>
        </w:rPr>
        <w:t>5</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Emla Fitzsimmons</w:t>
      </w:r>
      <w:r w:rsidR="00765FC8">
        <w:rPr>
          <w:rFonts w:ascii="Calibri" w:hAnsi="Calibri"/>
          <w:vertAlign w:val="superscript"/>
        </w:rPr>
        <w:t>4,9</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Alissa Goodman</w:t>
      </w:r>
      <w:r w:rsidR="0066393A" w:rsidRPr="00EA0FFB">
        <w:rPr>
          <w:rFonts w:ascii="Calibri" w:hAnsi="Calibri"/>
          <w:vertAlign w:val="superscript"/>
        </w:rPr>
        <w:t>4</w:t>
      </w:r>
      <w:r w:rsidR="000A5EC1">
        <w:rPr>
          <w:rFonts w:ascii="Calibri" w:hAnsi="Calibri"/>
          <w:vertAlign w:val="superscript"/>
        </w:rPr>
        <w:t>,9</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Rebecca Hardy</w:t>
      </w:r>
      <w:r w:rsidR="0066393A" w:rsidRPr="00EA0FFB">
        <w:rPr>
          <w:rFonts w:ascii="Calibri" w:hAnsi="Calibri"/>
          <w:vertAlign w:val="superscript"/>
        </w:rPr>
        <w:t>1</w:t>
      </w:r>
      <w:r w:rsidR="00765FC8">
        <w:rPr>
          <w:rFonts w:ascii="Calibri" w:hAnsi="Calibri"/>
          <w:vertAlign w:val="superscript"/>
        </w:rPr>
        <w:t>0</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Hazel Inskip</w:t>
      </w:r>
      <w:r w:rsidR="0066393A" w:rsidRPr="00EA0FFB">
        <w:rPr>
          <w:rFonts w:ascii="Calibri" w:hAnsi="Calibri"/>
          <w:vertAlign w:val="superscript"/>
        </w:rPr>
        <w:t>5</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Lynn Molloy</w:t>
      </w:r>
      <w:r w:rsidR="0066393A" w:rsidRPr="00EA0FFB">
        <w:rPr>
          <w:rFonts w:ascii="Calibri" w:hAnsi="Calibri"/>
          <w:vertAlign w:val="superscript"/>
        </w:rPr>
        <w:t>1</w:t>
      </w:r>
      <w:r w:rsidR="00765FC8">
        <w:rPr>
          <w:rFonts w:ascii="Calibri" w:hAnsi="Calibri"/>
          <w:vertAlign w:val="superscript"/>
        </w:rPr>
        <w:t>1</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Amanda Sacker</w:t>
      </w:r>
      <w:r w:rsidR="0066393A" w:rsidRPr="00EA0FFB">
        <w:rPr>
          <w:rFonts w:ascii="Calibri" w:hAnsi="Calibri"/>
          <w:vertAlign w:val="superscript"/>
        </w:rPr>
        <w:t>1</w:t>
      </w:r>
      <w:r w:rsidR="00765FC8">
        <w:rPr>
          <w:rFonts w:ascii="Calibri" w:hAnsi="Calibri"/>
          <w:vertAlign w:val="superscript"/>
        </w:rPr>
        <w:t>2</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Allan Sudlow</w:t>
      </w:r>
      <w:r w:rsidR="0066393A" w:rsidRPr="00EA0FFB">
        <w:rPr>
          <w:rFonts w:ascii="Calibri" w:hAnsi="Calibri"/>
          <w:vertAlign w:val="superscript"/>
        </w:rPr>
        <w:t>1</w:t>
      </w:r>
      <w:r w:rsidR="00765FC8">
        <w:rPr>
          <w:rFonts w:ascii="Calibri" w:hAnsi="Calibri"/>
          <w:vertAlign w:val="superscript"/>
        </w:rPr>
        <w:t>3</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Alice Sullivan</w:t>
      </w:r>
      <w:r w:rsidR="00765FC8">
        <w:rPr>
          <w:rFonts w:ascii="Calibri" w:hAnsi="Calibri"/>
          <w:vertAlign w:val="superscript"/>
        </w:rPr>
        <w:t>4</w:t>
      </w:r>
      <w:r w:rsidR="00A61FF0" w:rsidRPr="00524495">
        <w:rPr>
          <w:rFonts w:ascii="Calibri" w:hAnsi="Calibri" w:cs="Times New Roman"/>
          <w:color w:val="000000"/>
        </w:rPr>
        <w:t>,</w:t>
      </w:r>
      <w:r w:rsidR="00A61FF0">
        <w:rPr>
          <w:rFonts w:ascii="Calibri" w:hAnsi="Calibri" w:cs="Times New Roman"/>
          <w:color w:val="000000"/>
        </w:rPr>
        <w:t xml:space="preserve"> </w:t>
      </w:r>
      <w:r w:rsidR="00B35264" w:rsidRPr="00EA0FFB">
        <w:rPr>
          <w:rFonts w:ascii="Calibri" w:hAnsi="Calibri"/>
        </w:rPr>
        <w:t>Alison Park</w:t>
      </w:r>
      <w:r w:rsidRPr="00FC2107">
        <w:rPr>
          <w:rFonts w:ascii="Calibri" w:hAnsi="Calibri" w:cs="Times New Roman"/>
          <w:color w:val="000000"/>
          <w:vertAlign w:val="superscript"/>
        </w:rPr>
        <w:t>1</w:t>
      </w:r>
    </w:p>
    <w:p w14:paraId="3DF3B98C" w14:textId="5F139078" w:rsidR="00D0166B" w:rsidRDefault="00D0166B" w:rsidP="00A61FF0">
      <w:pPr>
        <w:spacing w:line="276" w:lineRule="auto"/>
        <w:rPr>
          <w:rFonts w:ascii="Calibri" w:hAnsi="Calibri"/>
        </w:rPr>
      </w:pPr>
    </w:p>
    <w:p w14:paraId="5D671B57" w14:textId="77777777" w:rsidR="00702420" w:rsidRDefault="00702420" w:rsidP="00702420">
      <w:pPr>
        <w:spacing w:line="276" w:lineRule="auto"/>
        <w:rPr>
          <w:rFonts w:ascii="Calibri" w:hAnsi="Calibri"/>
        </w:rPr>
      </w:pPr>
      <w:r>
        <w:rPr>
          <w:rFonts w:ascii="Calibri" w:hAnsi="Calibri"/>
        </w:rPr>
        <w:t>Corresponding author marked by asterisk.</w:t>
      </w:r>
    </w:p>
    <w:p w14:paraId="565D893F" w14:textId="77777777" w:rsidR="00702420" w:rsidRDefault="00702420" w:rsidP="00A61FF0">
      <w:pPr>
        <w:spacing w:line="276" w:lineRule="auto"/>
        <w:rPr>
          <w:rFonts w:ascii="Calibri" w:hAnsi="Calibri"/>
        </w:rPr>
      </w:pPr>
    </w:p>
    <w:p w14:paraId="3EC7AB29" w14:textId="4ED6BBC1" w:rsidR="00D0166B" w:rsidRDefault="00D0166B" w:rsidP="00EA0FFB">
      <w:r>
        <w:t>Affiliations</w:t>
      </w:r>
      <w:r w:rsidR="00EA0FFB">
        <w:t>:</w:t>
      </w:r>
    </w:p>
    <w:p w14:paraId="06517811" w14:textId="32627F11" w:rsidR="00D0166B" w:rsidRDefault="00D0166B" w:rsidP="00EA0FFB">
      <w:pPr>
        <w:spacing w:line="276" w:lineRule="auto"/>
        <w:rPr>
          <w:rFonts w:ascii="Calibri" w:hAnsi="Calibri" w:cs="Times New Roman"/>
          <w:color w:val="000000"/>
        </w:rPr>
      </w:pPr>
      <w:bookmarkStart w:id="1" w:name="_Hlk521334366"/>
      <w:r w:rsidRPr="00EA0FFB">
        <w:rPr>
          <w:rFonts w:ascii="Calibri" w:hAnsi="Calibri" w:cs="Times New Roman"/>
          <w:color w:val="000000"/>
          <w:vertAlign w:val="superscript"/>
        </w:rPr>
        <w:t>1</w:t>
      </w:r>
      <w:r w:rsidRPr="00FC2107">
        <w:rPr>
          <w:rFonts w:ascii="Calibri" w:hAnsi="Calibri" w:cs="Times New Roman"/>
          <w:color w:val="000000"/>
        </w:rPr>
        <w:t>CLOSER, UCL Institute of Education, London, UK</w:t>
      </w:r>
    </w:p>
    <w:p w14:paraId="6B728063" w14:textId="7652D213" w:rsidR="00D0166B" w:rsidRDefault="00D0166B" w:rsidP="00EA0FFB">
      <w:pPr>
        <w:spacing w:line="276" w:lineRule="auto"/>
        <w:rPr>
          <w:rFonts w:ascii="Calibri" w:hAnsi="Calibri" w:cs="Times New Roman"/>
          <w:color w:val="000000"/>
        </w:rPr>
      </w:pPr>
      <w:r w:rsidRPr="00EA0FFB">
        <w:rPr>
          <w:rFonts w:ascii="Calibri" w:hAnsi="Calibri" w:cs="Times New Roman"/>
          <w:color w:val="000000"/>
          <w:vertAlign w:val="superscript"/>
        </w:rPr>
        <w:t>2</w:t>
      </w:r>
      <w:r w:rsidRPr="00D0166B">
        <w:rPr>
          <w:rFonts w:ascii="Calibri" w:hAnsi="Calibri"/>
        </w:rPr>
        <w:t xml:space="preserve">Institute </w:t>
      </w:r>
      <w:r w:rsidR="0066393A">
        <w:rPr>
          <w:rFonts w:ascii="Calibri" w:hAnsi="Calibri"/>
        </w:rPr>
        <w:t>for Social and Economic Research</w:t>
      </w:r>
      <w:r w:rsidRPr="00D0166B">
        <w:rPr>
          <w:rFonts w:ascii="Calibri" w:hAnsi="Calibri"/>
        </w:rPr>
        <w:t>, University of Essex, Colchester, Essex, UK</w:t>
      </w:r>
    </w:p>
    <w:p w14:paraId="66CD7924" w14:textId="73AD3770" w:rsidR="008A6C46" w:rsidRDefault="00D0166B" w:rsidP="00EA0FFB">
      <w:pPr>
        <w:spacing w:line="276" w:lineRule="auto"/>
        <w:rPr>
          <w:rFonts w:ascii="Calibri" w:hAnsi="Calibri" w:cs="Times New Roman"/>
          <w:color w:val="000000"/>
        </w:rPr>
      </w:pPr>
      <w:r w:rsidRPr="00EA0FFB">
        <w:rPr>
          <w:rFonts w:ascii="Calibri" w:hAnsi="Calibri" w:cs="Times New Roman"/>
          <w:color w:val="000000"/>
          <w:vertAlign w:val="superscript"/>
        </w:rPr>
        <w:t>3</w:t>
      </w:r>
      <w:r w:rsidR="008A6C46" w:rsidRPr="008A6C46">
        <w:rPr>
          <w:rFonts w:ascii="Calibri" w:hAnsi="Calibri" w:cs="Times New Roman"/>
          <w:color w:val="000000"/>
        </w:rPr>
        <w:t>Population Health Sciences, Bristol Medical School, University of Bristol, UK</w:t>
      </w:r>
    </w:p>
    <w:p w14:paraId="42AE8DD3" w14:textId="3019BF52" w:rsidR="00D0166B" w:rsidRDefault="00D0166B" w:rsidP="00EA0FFB">
      <w:pPr>
        <w:spacing w:line="276" w:lineRule="auto"/>
        <w:rPr>
          <w:rFonts w:ascii="Calibri" w:hAnsi="Calibri"/>
        </w:rPr>
      </w:pPr>
      <w:r w:rsidRPr="00EA0FFB">
        <w:rPr>
          <w:rFonts w:ascii="Calibri" w:hAnsi="Calibri" w:cs="Times New Roman"/>
          <w:color w:val="000000"/>
          <w:vertAlign w:val="superscript"/>
        </w:rPr>
        <w:t>4</w:t>
      </w:r>
      <w:r w:rsidRPr="00D0166B">
        <w:rPr>
          <w:rFonts w:ascii="Calibri" w:hAnsi="Calibri"/>
        </w:rPr>
        <w:t>Centre for Longitudinal Studies, UCL Institute of Education, London, UK</w:t>
      </w:r>
    </w:p>
    <w:p w14:paraId="502DB36C" w14:textId="57046731" w:rsidR="00D0166B" w:rsidRPr="00D0166B" w:rsidRDefault="00D0166B" w:rsidP="00EA0FFB">
      <w:pPr>
        <w:spacing w:line="276" w:lineRule="auto"/>
        <w:rPr>
          <w:rFonts w:ascii="Calibri" w:hAnsi="Calibri"/>
        </w:rPr>
      </w:pPr>
      <w:r w:rsidRPr="00EA0FFB">
        <w:rPr>
          <w:rFonts w:ascii="Calibri" w:hAnsi="Calibri"/>
          <w:vertAlign w:val="superscript"/>
        </w:rPr>
        <w:t>5</w:t>
      </w:r>
      <w:r w:rsidRPr="00D0166B">
        <w:rPr>
          <w:rFonts w:ascii="Calibri" w:hAnsi="Calibri"/>
        </w:rPr>
        <w:t xml:space="preserve">MRC Lifecourse Epidemiology Unit, University </w:t>
      </w:r>
      <w:r>
        <w:rPr>
          <w:rFonts w:ascii="Calibri" w:hAnsi="Calibri"/>
        </w:rPr>
        <w:t>of Southampton, Southampton, UK</w:t>
      </w:r>
    </w:p>
    <w:p w14:paraId="04491E04" w14:textId="5CA7DEC5" w:rsidR="00D0166B" w:rsidRPr="00D0166B" w:rsidRDefault="00D0166B" w:rsidP="00EA0FFB">
      <w:pPr>
        <w:spacing w:line="276" w:lineRule="auto"/>
        <w:rPr>
          <w:rFonts w:ascii="Calibri" w:hAnsi="Calibri"/>
        </w:rPr>
      </w:pPr>
      <w:r w:rsidRPr="00EA0FFB">
        <w:rPr>
          <w:rFonts w:ascii="Calibri" w:hAnsi="Calibri"/>
          <w:vertAlign w:val="superscript"/>
        </w:rPr>
        <w:t>6</w:t>
      </w:r>
      <w:r w:rsidRPr="00D0166B">
        <w:rPr>
          <w:rFonts w:ascii="Calibri" w:hAnsi="Calibri"/>
        </w:rPr>
        <w:t>NIHR Southampton Biomedical Research Centre, University of Southampton and University Hospital Southampton NHS Fo</w:t>
      </w:r>
      <w:r>
        <w:rPr>
          <w:rFonts w:ascii="Calibri" w:hAnsi="Calibri"/>
        </w:rPr>
        <w:t>undation Trust, Southampton, UK</w:t>
      </w:r>
    </w:p>
    <w:p w14:paraId="04112286" w14:textId="2F1A0661" w:rsidR="00D0166B" w:rsidRDefault="00D0166B" w:rsidP="00EA0FFB">
      <w:pPr>
        <w:spacing w:line="276" w:lineRule="auto"/>
        <w:rPr>
          <w:rFonts w:ascii="Calibri" w:hAnsi="Calibri"/>
        </w:rPr>
      </w:pPr>
      <w:r w:rsidRPr="00EA0FFB">
        <w:rPr>
          <w:rFonts w:ascii="Calibri" w:hAnsi="Calibri"/>
          <w:vertAlign w:val="superscript"/>
        </w:rPr>
        <w:t>7</w:t>
      </w:r>
      <w:r w:rsidRPr="00D0166B">
        <w:rPr>
          <w:rFonts w:ascii="Calibri" w:hAnsi="Calibri"/>
        </w:rPr>
        <w:t>NIHR Oxford Biomedical Research Centre, University of Oxford, Oxford, UK</w:t>
      </w:r>
    </w:p>
    <w:p w14:paraId="44961779" w14:textId="03967484" w:rsidR="00D0166B" w:rsidRDefault="00D0166B" w:rsidP="00EA0FFB">
      <w:pPr>
        <w:spacing w:line="276" w:lineRule="auto"/>
        <w:rPr>
          <w:rFonts w:ascii="Calibri" w:hAnsi="Calibri"/>
        </w:rPr>
      </w:pPr>
      <w:r w:rsidRPr="00EA0FFB">
        <w:rPr>
          <w:rFonts w:ascii="Calibri" w:hAnsi="Calibri"/>
          <w:vertAlign w:val="superscript"/>
        </w:rPr>
        <w:t>8</w:t>
      </w:r>
      <w:r w:rsidRPr="00D0166B">
        <w:rPr>
          <w:rFonts w:ascii="Calibri" w:hAnsi="Calibri"/>
        </w:rPr>
        <w:t>UK Data Archive, University of Essex, Colchester, UK</w:t>
      </w:r>
    </w:p>
    <w:p w14:paraId="6C741CAD" w14:textId="77777777" w:rsidR="0066393A" w:rsidRPr="00D0166B" w:rsidRDefault="0066393A" w:rsidP="00EA0FFB">
      <w:pPr>
        <w:spacing w:line="276" w:lineRule="auto"/>
        <w:rPr>
          <w:rFonts w:ascii="Calibri" w:hAnsi="Calibri"/>
        </w:rPr>
      </w:pPr>
      <w:r w:rsidRPr="00FC2107">
        <w:rPr>
          <w:rFonts w:ascii="Calibri" w:hAnsi="Calibri"/>
          <w:vertAlign w:val="superscript"/>
        </w:rPr>
        <w:t>9</w:t>
      </w:r>
      <w:r w:rsidRPr="00D0166B">
        <w:rPr>
          <w:rFonts w:ascii="Calibri" w:hAnsi="Calibri"/>
        </w:rPr>
        <w:t>Institute for Fiscal Studies, London, UK</w:t>
      </w:r>
    </w:p>
    <w:p w14:paraId="4377EB7D" w14:textId="103A5006" w:rsidR="0066393A" w:rsidRDefault="00765FC8" w:rsidP="00EA0FFB">
      <w:pPr>
        <w:spacing w:line="276" w:lineRule="auto"/>
        <w:rPr>
          <w:rFonts w:ascii="Calibri" w:hAnsi="Calibri"/>
        </w:rPr>
      </w:pPr>
      <w:r>
        <w:rPr>
          <w:rFonts w:ascii="Calibri" w:hAnsi="Calibri"/>
          <w:vertAlign w:val="superscript"/>
        </w:rPr>
        <w:t>10</w:t>
      </w:r>
      <w:r w:rsidR="0066393A" w:rsidRPr="00D0166B">
        <w:rPr>
          <w:rFonts w:ascii="Calibri" w:hAnsi="Calibri"/>
        </w:rPr>
        <w:t>MRC Unit for Lifelong Health and Ageing at UCL, UCL, London, UK</w:t>
      </w:r>
    </w:p>
    <w:p w14:paraId="78A6A5C4" w14:textId="2C325BCC" w:rsidR="00540CCA" w:rsidRDefault="0066393A" w:rsidP="00A61FF0">
      <w:pPr>
        <w:spacing w:line="276" w:lineRule="auto"/>
        <w:rPr>
          <w:rFonts w:ascii="Calibri" w:hAnsi="Calibri" w:cs="Times New Roman"/>
          <w:color w:val="000000"/>
        </w:rPr>
      </w:pPr>
      <w:r w:rsidRPr="00EA0FFB">
        <w:rPr>
          <w:rFonts w:ascii="Calibri" w:hAnsi="Calibri"/>
          <w:vertAlign w:val="superscript"/>
        </w:rPr>
        <w:t>1</w:t>
      </w:r>
      <w:r w:rsidR="00765FC8">
        <w:rPr>
          <w:rFonts w:ascii="Calibri" w:hAnsi="Calibri"/>
          <w:vertAlign w:val="superscript"/>
        </w:rPr>
        <w:t>1</w:t>
      </w:r>
      <w:r w:rsidR="009A1E05" w:rsidRPr="009A1E05">
        <w:rPr>
          <w:rFonts w:ascii="Calibri" w:hAnsi="Calibri" w:cs="Times New Roman"/>
          <w:color w:val="000000"/>
        </w:rPr>
        <w:t>ALSPAC,</w:t>
      </w:r>
      <w:r w:rsidR="00540CCA">
        <w:rPr>
          <w:rFonts w:ascii="Calibri" w:hAnsi="Calibri" w:cs="Times New Roman"/>
          <w:color w:val="000000"/>
        </w:rPr>
        <w:t xml:space="preserve"> </w:t>
      </w:r>
      <w:r w:rsidR="009A1E05" w:rsidRPr="009A1E05">
        <w:rPr>
          <w:rFonts w:ascii="Calibri" w:hAnsi="Calibri" w:cs="Times New Roman"/>
          <w:color w:val="000000"/>
        </w:rPr>
        <w:t>Population Health Sciences, Bristol Medical School, University of Bristol, Bristol, UK</w:t>
      </w:r>
    </w:p>
    <w:p w14:paraId="490E6B61" w14:textId="6F2CF4EB" w:rsidR="00765FC8" w:rsidRDefault="0066393A" w:rsidP="00A61FF0">
      <w:pPr>
        <w:spacing w:line="276" w:lineRule="auto"/>
        <w:rPr>
          <w:rFonts w:ascii="Calibri" w:hAnsi="Calibri"/>
        </w:rPr>
      </w:pPr>
      <w:r w:rsidRPr="00FC2107">
        <w:rPr>
          <w:rFonts w:ascii="Calibri" w:hAnsi="Calibri"/>
          <w:vertAlign w:val="superscript"/>
        </w:rPr>
        <w:t>1</w:t>
      </w:r>
      <w:r w:rsidR="00765FC8">
        <w:rPr>
          <w:rFonts w:ascii="Calibri" w:hAnsi="Calibri"/>
          <w:vertAlign w:val="superscript"/>
        </w:rPr>
        <w:t>2</w:t>
      </w:r>
      <w:r w:rsidR="00765FC8" w:rsidRPr="00765FC8">
        <w:rPr>
          <w:rFonts w:ascii="Calibri" w:hAnsi="Calibri"/>
        </w:rPr>
        <w:t xml:space="preserve">International Centre for Lifecourse Studies in Society and Health (ICLS), Department of Epidemiology and Public Health, </w:t>
      </w:r>
      <w:r w:rsidR="00734314">
        <w:rPr>
          <w:rFonts w:ascii="Calibri" w:hAnsi="Calibri"/>
        </w:rPr>
        <w:t>UCL</w:t>
      </w:r>
      <w:r w:rsidR="00765FC8" w:rsidRPr="00765FC8">
        <w:rPr>
          <w:rFonts w:ascii="Calibri" w:hAnsi="Calibri"/>
        </w:rPr>
        <w:t>, London, UK</w:t>
      </w:r>
    </w:p>
    <w:p w14:paraId="227FEC2E" w14:textId="0CAC18AA" w:rsidR="00A61FF0" w:rsidRDefault="0066393A" w:rsidP="00A61FF0">
      <w:pPr>
        <w:spacing w:line="276" w:lineRule="auto"/>
        <w:rPr>
          <w:rFonts w:ascii="Calibri" w:hAnsi="Calibri"/>
        </w:rPr>
      </w:pPr>
      <w:r w:rsidRPr="00FC2107">
        <w:rPr>
          <w:rFonts w:ascii="Calibri" w:hAnsi="Calibri"/>
          <w:vertAlign w:val="superscript"/>
        </w:rPr>
        <w:t>1</w:t>
      </w:r>
      <w:r w:rsidR="00765FC8">
        <w:rPr>
          <w:rFonts w:ascii="Calibri" w:hAnsi="Calibri"/>
          <w:vertAlign w:val="superscript"/>
        </w:rPr>
        <w:t>3</w:t>
      </w:r>
      <w:r w:rsidRPr="00D0166B">
        <w:rPr>
          <w:rFonts w:ascii="Calibri" w:hAnsi="Calibri"/>
        </w:rPr>
        <w:t>British Library, London, UK</w:t>
      </w:r>
    </w:p>
    <w:bookmarkEnd w:id="1"/>
    <w:p w14:paraId="334475B2" w14:textId="451E9DB8" w:rsidR="00A61FF0" w:rsidRDefault="00A61FF0" w:rsidP="00702420">
      <w:pPr>
        <w:spacing w:line="276" w:lineRule="auto"/>
        <w:rPr>
          <w:rFonts w:ascii="Calibri" w:hAnsi="Calibri"/>
        </w:rPr>
      </w:pPr>
    </w:p>
    <w:p w14:paraId="0C00F7DD" w14:textId="05D8D08A" w:rsidR="00702420" w:rsidRDefault="00702420" w:rsidP="00702420">
      <w:pPr>
        <w:pStyle w:val="Heading1"/>
      </w:pPr>
      <w:r>
        <w:t>Keywords</w:t>
      </w:r>
    </w:p>
    <w:p w14:paraId="07192FEE" w14:textId="096DD724" w:rsidR="00702420" w:rsidRDefault="00702420" w:rsidP="00702420">
      <w:pPr>
        <w:spacing w:line="276" w:lineRule="auto"/>
        <w:rPr>
          <w:rFonts w:ascii="Calibri" w:hAnsi="Calibri"/>
        </w:rPr>
      </w:pPr>
      <w:r>
        <w:rPr>
          <w:rFonts w:ascii="Calibri" w:hAnsi="Calibri"/>
        </w:rPr>
        <w:t xml:space="preserve">Longitudinal studies, data discoverability, </w:t>
      </w:r>
      <w:r w:rsidR="00862983">
        <w:rPr>
          <w:rFonts w:ascii="Calibri" w:hAnsi="Calibri"/>
        </w:rPr>
        <w:t xml:space="preserve">data </w:t>
      </w:r>
      <w:r>
        <w:rPr>
          <w:rFonts w:ascii="Calibri" w:hAnsi="Calibri"/>
        </w:rPr>
        <w:t xml:space="preserve">harmonisation, </w:t>
      </w:r>
      <w:r w:rsidR="00862983">
        <w:rPr>
          <w:rFonts w:ascii="Calibri" w:hAnsi="Calibri"/>
        </w:rPr>
        <w:t xml:space="preserve">data </w:t>
      </w:r>
      <w:r>
        <w:rPr>
          <w:rFonts w:ascii="Calibri" w:hAnsi="Calibri"/>
        </w:rPr>
        <w:t>linkage</w:t>
      </w:r>
      <w:r w:rsidR="007A58AF">
        <w:rPr>
          <w:rFonts w:ascii="Calibri" w:hAnsi="Calibri"/>
        </w:rPr>
        <w:t>, cross-study</w:t>
      </w:r>
    </w:p>
    <w:p w14:paraId="67CCB8AF" w14:textId="0BE757C3" w:rsidR="00A61FF0" w:rsidRDefault="00A61FF0">
      <w:pPr>
        <w:spacing w:after="200"/>
        <w:rPr>
          <w:rFonts w:ascii="Calibri" w:hAnsi="Calibri"/>
        </w:rPr>
      </w:pPr>
      <w:r>
        <w:rPr>
          <w:rFonts w:ascii="Calibri" w:hAnsi="Calibri"/>
        </w:rPr>
        <w:br w:type="page"/>
      </w:r>
    </w:p>
    <w:p w14:paraId="3FEDF707" w14:textId="77777777" w:rsidR="00673D50" w:rsidRPr="001C283E" w:rsidRDefault="00673D50" w:rsidP="00853466">
      <w:pPr>
        <w:pStyle w:val="Heading1"/>
        <w:rPr>
          <w:rFonts w:ascii="Times New Roman" w:hAnsi="Times New Roman"/>
        </w:rPr>
      </w:pPr>
      <w:r w:rsidRPr="001C283E">
        <w:lastRenderedPageBreak/>
        <w:t>Data Resource Basics</w:t>
      </w:r>
    </w:p>
    <w:p w14:paraId="272A9B8A" w14:textId="77777777" w:rsidR="00673D50" w:rsidRPr="001C283E" w:rsidRDefault="00673D50" w:rsidP="00AE1B7B">
      <w:pPr>
        <w:pStyle w:val="Heading2"/>
      </w:pPr>
      <w:r w:rsidRPr="001C283E">
        <w:t xml:space="preserve">Context &amp; </w:t>
      </w:r>
      <w:r w:rsidR="00D95F3D">
        <w:t>Challenges</w:t>
      </w:r>
    </w:p>
    <w:p w14:paraId="289DC85D" w14:textId="53021C4F" w:rsidR="003F5D91" w:rsidRDefault="00673D50" w:rsidP="00A61FF0">
      <w:pPr>
        <w:spacing w:after="240" w:line="276" w:lineRule="auto"/>
      </w:pPr>
      <w:r w:rsidRPr="001C283E">
        <w:t>The U</w:t>
      </w:r>
      <w:r w:rsidR="007170C5" w:rsidRPr="001C283E">
        <w:t xml:space="preserve">nited </w:t>
      </w:r>
      <w:r w:rsidRPr="001C283E">
        <w:t>K</w:t>
      </w:r>
      <w:r w:rsidR="007170C5" w:rsidRPr="001C283E">
        <w:t>ingdom (UK)</w:t>
      </w:r>
      <w:r w:rsidRPr="001C283E">
        <w:t xml:space="preserve"> has a long history of longitudinal research</w:t>
      </w:r>
      <w:r w:rsidR="00E66777" w:rsidRPr="001C283E">
        <w:t>.</w:t>
      </w:r>
      <w:r w:rsidR="00845C9D" w:rsidRPr="001C283E">
        <w:t xml:space="preserve"> </w:t>
      </w:r>
      <w:r w:rsidR="00E66777" w:rsidRPr="001C283E">
        <w:t>T</w:t>
      </w:r>
      <w:r w:rsidR="00845C9D" w:rsidRPr="001C283E">
        <w:t xml:space="preserve">he first national birth cohort </w:t>
      </w:r>
      <w:r w:rsidR="00E66777" w:rsidRPr="001C283E">
        <w:t xml:space="preserve">study </w:t>
      </w:r>
      <w:r w:rsidR="00A64467">
        <w:t xml:space="preserve">was set up </w:t>
      </w:r>
      <w:r w:rsidR="00845C9D" w:rsidRPr="001C283E">
        <w:t>in 1946</w:t>
      </w:r>
      <w:r w:rsidR="001C2B67" w:rsidRPr="004324AA">
        <w:fldChar w:fldCharType="begin" w:fldLock="1"/>
      </w:r>
      <w:r w:rsidR="002A1994">
        <w:instrText>ADDIN CSL_CITATION {"citationItems":[{"id":"ITEM-1","itemData":{"DOI":"10.1093/ije/dyi201","ISBN":"0300-5771 (Print) 0300-5771","ISSN":"03005771","PMID":"16204333","abstract":"From Duplicate 1 ( Cohort Profile: The 1946 National Birth Cohort (MRC National Survey of Health and Development) - Wadsworth, Michael; Kuh, Diana; Richards, Marcus; Hardy, Rebecca ) MRC1946 cohort reference","author":[{"dropping-particle":"","family":"Wadsworth","given":"Michael","non-dropping-particle":"","parse-names":false,"suffix":""},{"dropping-particle":"","family":"Kuh","given":"Diana","non-dropping-particle":"","parse-names":false,"suffix":""},{"dropping-particle":"","family":"Richards","given":"Marcus","non-dropping-particle":"","parse-names":false,"suffix":""},{"dropping-particle":"","family":"Hardy","given":"Rebecca","non-dropping-particle":"","parse-names":false,"suffix":""}],"collection-title":"Beverages and Health","container-title":"International Journal of Epidemiology","id":"ITEM-1","issue":"1","issued":{"date-parts":[["2006","2"]]},"note":"Given that risk and frequency of binge drinking among Canadians increases with their frequency of drinking, any public recommendation to drink moderately should be made with great caution.","page":"49-54","title":"Cohort profile: The 1946 National Birth Cohort (MRC National Survey of Health and Development)","title-short":"Alcohol, appetite and energy balance","type":"article-journal","volume":"35"},"uris":["http://www.mendeley.com/documents/?uuid=ee4545e2-e05d-4fa7-879c-0ef472691c58"]}],"mendeley":{"formattedCitation":"&lt;sup&gt;1&lt;/sup&gt;","plainTextFormattedCitation":"1","previouslyFormattedCitation":"&lt;sup&gt;1&lt;/sup&gt;"},"properties":{"noteIndex":0},"schema":"https://github.com/citation-style-language/schema/raw/master/csl-citation.json"}</w:instrText>
      </w:r>
      <w:r w:rsidR="001C2B67" w:rsidRPr="004324AA">
        <w:fldChar w:fldCharType="separate"/>
      </w:r>
      <w:r w:rsidR="00845C9D" w:rsidRPr="001C283E">
        <w:rPr>
          <w:noProof/>
          <w:vertAlign w:val="superscript"/>
        </w:rPr>
        <w:t>1</w:t>
      </w:r>
      <w:r w:rsidR="001C2B67" w:rsidRPr="004324AA">
        <w:fldChar w:fldCharType="end"/>
      </w:r>
      <w:r w:rsidR="006C68BC" w:rsidRPr="001C283E">
        <w:t xml:space="preserve">, and </w:t>
      </w:r>
      <w:r w:rsidR="00E66777" w:rsidRPr="001C283E">
        <w:t xml:space="preserve">by 2014, </w:t>
      </w:r>
      <w:r w:rsidR="00AD1216">
        <w:t>one</w:t>
      </w:r>
      <w:r w:rsidR="006C68BC" w:rsidRPr="001C283E">
        <w:t xml:space="preserve"> in 30 UK </w:t>
      </w:r>
      <w:r w:rsidR="00353B24">
        <w:t xml:space="preserve">residents </w:t>
      </w:r>
      <w:r w:rsidR="006C68BC" w:rsidRPr="001C283E">
        <w:t xml:space="preserve">were participants </w:t>
      </w:r>
      <w:r w:rsidR="00B76C96" w:rsidRPr="001C283E">
        <w:t>in</w:t>
      </w:r>
      <w:r w:rsidR="006C68BC" w:rsidRPr="001C283E">
        <w:t xml:space="preserve"> a cohort study</w:t>
      </w:r>
      <w:r w:rsidR="001C2B67" w:rsidRPr="004324AA">
        <w:fldChar w:fldCharType="begin" w:fldLock="1"/>
      </w:r>
      <w:r w:rsidR="002A1994">
        <w:instrText>ADDIN CSL_CITATION {"citationItems":[{"id":"ITEM-1","itemData":{"DOI":"10.1016/S0140-6736(14)60412-8","ISSN":"0140-6736","author":[{"dropping-particle":"","family":"Pell","given":"Jill P","non-dropping-particle":"","parse-names":false,"suffix":""},{"dropping-particle":"","family":"Valentine","given":"Janet","non-dropping-particle":"","parse-names":false,"suffix":""},{"dropping-particle":"","family":"Inskip","given":"Hazel","non-dropping-particle":"","parse-names":false,"suffix":""}],"container-title":"Lancet","id":"ITEM-1","issue":"9922","issued":{"date-parts":[["2014","3","22"]]},"page":"1015-1016","title":"One in 30 people in the UK take part in cohort studies","type":"article-journal","volume":"383"},"uris":["http://www.mendeley.com/documents/?uuid=fdfe939b-3a95-42ac-9cc5-9223886eefa2"]}],"mendeley":{"formattedCitation":"&lt;sup&gt;2&lt;/sup&gt;","plainTextFormattedCitation":"2","previouslyFormattedCitation":"&lt;sup&gt;2&lt;/sup&gt;"},"properties":{"noteIndex":0},"schema":"https://github.com/citation-style-language/schema/raw/master/csl-citation.json"}</w:instrText>
      </w:r>
      <w:r w:rsidR="001C2B67" w:rsidRPr="004324AA">
        <w:fldChar w:fldCharType="separate"/>
      </w:r>
      <w:r w:rsidR="006C68BC" w:rsidRPr="001C283E">
        <w:rPr>
          <w:noProof/>
          <w:vertAlign w:val="superscript"/>
        </w:rPr>
        <w:t>2</w:t>
      </w:r>
      <w:r w:rsidR="001C2B67" w:rsidRPr="004324AA">
        <w:fldChar w:fldCharType="end"/>
      </w:r>
      <w:r w:rsidR="007170C5" w:rsidRPr="001C283E">
        <w:t>.</w:t>
      </w:r>
      <w:r w:rsidR="00886905">
        <w:t xml:space="preserve"> </w:t>
      </w:r>
      <w:r w:rsidR="001E2436">
        <w:t xml:space="preserve">The first UK household panel study commenced </w:t>
      </w:r>
      <w:r w:rsidR="00AA3B60">
        <w:t>in 1991</w:t>
      </w:r>
      <w:r w:rsidR="001E2436">
        <w:t xml:space="preserve">. </w:t>
      </w:r>
      <w:r w:rsidR="007170C5" w:rsidRPr="001C283E">
        <w:t xml:space="preserve">As </w:t>
      </w:r>
      <w:r w:rsidR="00451596">
        <w:t xml:space="preserve">the number of </w:t>
      </w:r>
      <w:r w:rsidR="00C93200" w:rsidRPr="001C283E">
        <w:t xml:space="preserve">longitudinal studies </w:t>
      </w:r>
      <w:r w:rsidR="00451596">
        <w:t>has increased</w:t>
      </w:r>
      <w:r w:rsidR="007170C5" w:rsidRPr="001C283E">
        <w:t xml:space="preserve">, the utility of cross-study research has become </w:t>
      </w:r>
      <w:r w:rsidR="00B76C96" w:rsidRPr="001C283E">
        <w:t xml:space="preserve">ever </w:t>
      </w:r>
      <w:r w:rsidR="007170C5" w:rsidRPr="001C283E">
        <w:t>more apparent.</w:t>
      </w:r>
      <w:r w:rsidR="00FB1958" w:rsidRPr="001C283E">
        <w:t xml:space="preserve"> </w:t>
      </w:r>
      <w:r w:rsidR="00310145">
        <w:t xml:space="preserve">In isolation, longitudinal studies can help </w:t>
      </w:r>
      <w:r w:rsidR="00310145" w:rsidRPr="001C283E">
        <w:t>assess trends and changes amongst the same individuals over time</w:t>
      </w:r>
      <w:r w:rsidR="00310145">
        <w:t>, but t</w:t>
      </w:r>
      <w:r w:rsidR="00FB1958" w:rsidRPr="001C283E">
        <w:t xml:space="preserve">he </w:t>
      </w:r>
      <w:r w:rsidR="00FB1958" w:rsidRPr="002D022D">
        <w:t xml:space="preserve">collation </w:t>
      </w:r>
      <w:r w:rsidR="00693F73" w:rsidRPr="002D022D">
        <w:t xml:space="preserve">and comparison </w:t>
      </w:r>
      <w:r w:rsidR="00FB1958" w:rsidRPr="002D022D">
        <w:t xml:space="preserve">of data from across </w:t>
      </w:r>
      <w:r w:rsidR="00B76C96" w:rsidRPr="002D022D">
        <w:t xml:space="preserve">studies </w:t>
      </w:r>
      <w:r w:rsidR="00FB1958" w:rsidRPr="002D022D">
        <w:t xml:space="preserve">can </w:t>
      </w:r>
      <w:r w:rsidR="00353B24" w:rsidRPr="002D022D">
        <w:t xml:space="preserve">also </w:t>
      </w:r>
      <w:r w:rsidR="00693F73" w:rsidRPr="002D022D">
        <w:t xml:space="preserve">allow </w:t>
      </w:r>
      <w:r w:rsidR="00FB1958" w:rsidRPr="002D022D">
        <w:t>researchers to track</w:t>
      </w:r>
      <w:r w:rsidR="00693F73" w:rsidRPr="002D022D">
        <w:t>,</w:t>
      </w:r>
      <w:r w:rsidR="00FB1958" w:rsidRPr="002D022D">
        <w:t xml:space="preserve"> quantify </w:t>
      </w:r>
      <w:r w:rsidR="00693F73" w:rsidRPr="002D022D">
        <w:t xml:space="preserve">and validate </w:t>
      </w:r>
      <w:r w:rsidR="002D022D" w:rsidRPr="002D022D">
        <w:rPr>
          <w:rStyle w:val="CommentReference"/>
          <w:sz w:val="21"/>
          <w:szCs w:val="21"/>
        </w:rPr>
        <w:t xml:space="preserve">changing </w:t>
      </w:r>
      <w:r w:rsidR="00353B24" w:rsidRPr="002D022D">
        <w:t>characteristics</w:t>
      </w:r>
      <w:r w:rsidR="00353B24" w:rsidRPr="001C283E">
        <w:t xml:space="preserve"> </w:t>
      </w:r>
      <w:r w:rsidR="002D022D">
        <w:t xml:space="preserve">at </w:t>
      </w:r>
      <w:r w:rsidR="00E34BD1" w:rsidRPr="001C283E">
        <w:t>the population</w:t>
      </w:r>
      <w:r w:rsidR="002D022D">
        <w:t xml:space="preserve"> level</w:t>
      </w:r>
      <w:r w:rsidR="00E34BD1" w:rsidRPr="001C283E">
        <w:t xml:space="preserve"> </w:t>
      </w:r>
      <w:r w:rsidR="002D022D">
        <w:t>and across generations</w:t>
      </w:r>
      <w:r w:rsidR="002A1994">
        <w:t xml:space="preserve">. Such collation also </w:t>
      </w:r>
      <w:r w:rsidR="00CC2196">
        <w:t>provide</w:t>
      </w:r>
      <w:r w:rsidR="00D140D8">
        <w:t>s</w:t>
      </w:r>
      <w:r w:rsidR="002A1994">
        <w:t xml:space="preserve"> scope for the replication of analyses and, </w:t>
      </w:r>
      <w:r w:rsidR="004623E1">
        <w:t xml:space="preserve">through increased statistical power, </w:t>
      </w:r>
      <w:r w:rsidR="002A1994">
        <w:t>help</w:t>
      </w:r>
      <w:r w:rsidR="00D140D8">
        <w:t>s</w:t>
      </w:r>
      <w:r w:rsidR="002A1994">
        <w:t xml:space="preserve"> researchers to </w:t>
      </w:r>
      <w:r w:rsidR="004623E1">
        <w:t xml:space="preserve">investigate rare events and detect </w:t>
      </w:r>
      <w:r w:rsidR="00F51DF3">
        <w:t>smaller associations</w:t>
      </w:r>
      <w:r w:rsidR="00FB1958" w:rsidRPr="001C283E">
        <w:t xml:space="preserve">. </w:t>
      </w:r>
      <w:r w:rsidR="008519BA">
        <w:t>L</w:t>
      </w:r>
      <w:r w:rsidR="00C81CE1">
        <w:t xml:space="preserve">inkage with administrative datasets </w:t>
      </w:r>
      <w:r w:rsidR="00F66716">
        <w:t xml:space="preserve">can similarly </w:t>
      </w:r>
      <w:r w:rsidR="00D046DB">
        <w:t xml:space="preserve">produce </w:t>
      </w:r>
      <w:r w:rsidR="00C81CE1">
        <w:t xml:space="preserve">new research possibilities. </w:t>
      </w:r>
      <w:r w:rsidR="00433BD2">
        <w:t xml:space="preserve">Effective collection, integration and use </w:t>
      </w:r>
      <w:r w:rsidR="003523CE">
        <w:t>of l</w:t>
      </w:r>
      <w:r w:rsidR="00F66716">
        <w:t xml:space="preserve">ongitudinal </w:t>
      </w:r>
      <w:r w:rsidR="003646D3">
        <w:t>s</w:t>
      </w:r>
      <w:r w:rsidR="003523CE">
        <w:t xml:space="preserve">tudy data </w:t>
      </w:r>
      <w:r w:rsidR="00353B24">
        <w:t xml:space="preserve">does </w:t>
      </w:r>
      <w:r w:rsidR="00C24D50">
        <w:t>face</w:t>
      </w:r>
      <w:r w:rsidR="00C24D50" w:rsidRPr="001C283E">
        <w:t xml:space="preserve"> </w:t>
      </w:r>
      <w:r w:rsidR="00FA4374" w:rsidRPr="001C283E">
        <w:t>challenges</w:t>
      </w:r>
      <w:r w:rsidR="003646D3">
        <w:t xml:space="preserve"> however</w:t>
      </w:r>
      <w:r w:rsidR="00353B24">
        <w:t>, such as</w:t>
      </w:r>
      <w:r w:rsidR="003F5D91">
        <w:t>:</w:t>
      </w:r>
    </w:p>
    <w:p w14:paraId="481C5959" w14:textId="307D9F67" w:rsidR="003F5D91" w:rsidRDefault="00353B24" w:rsidP="001B7096">
      <w:pPr>
        <w:pStyle w:val="ListParagraph"/>
        <w:numPr>
          <w:ilvl w:val="0"/>
          <w:numId w:val="13"/>
        </w:numPr>
        <w:spacing w:after="240"/>
      </w:pPr>
      <w:r>
        <w:t>d</w:t>
      </w:r>
      <w:r w:rsidR="00FA4374" w:rsidRPr="001C283E">
        <w:t xml:space="preserve">ivergences in </w:t>
      </w:r>
      <w:r w:rsidR="003F5D91">
        <w:t xml:space="preserve">the </w:t>
      </w:r>
      <w:r w:rsidR="00CE53F5">
        <w:t xml:space="preserve">construct definitions and </w:t>
      </w:r>
      <w:r w:rsidR="00FA4374" w:rsidRPr="001C283E">
        <w:t xml:space="preserve">measurement approaches </w:t>
      </w:r>
      <w:r w:rsidR="00CE53F5">
        <w:t xml:space="preserve">used </w:t>
      </w:r>
      <w:r w:rsidR="004C4E1B">
        <w:t>over time</w:t>
      </w:r>
      <w:r w:rsidR="00AC4834">
        <w:t xml:space="preserve">, </w:t>
      </w:r>
      <w:r w:rsidR="00D071F9">
        <w:t xml:space="preserve">between </w:t>
      </w:r>
      <w:r w:rsidR="00AC4834">
        <w:t xml:space="preserve">studies </w:t>
      </w:r>
      <w:r w:rsidR="00F51DF3">
        <w:t>and across disciplines</w:t>
      </w:r>
      <w:r w:rsidR="00A73040">
        <w:t>;</w:t>
      </w:r>
    </w:p>
    <w:p w14:paraId="029C82B4" w14:textId="730B6AA8" w:rsidR="00BF2425" w:rsidRDefault="00BF2425" w:rsidP="006F7E5D">
      <w:pPr>
        <w:pStyle w:val="ListParagraph"/>
        <w:numPr>
          <w:ilvl w:val="0"/>
          <w:numId w:val="13"/>
        </w:numPr>
        <w:spacing w:after="240"/>
      </w:pPr>
      <w:r>
        <w:t>gaps in data coverage, due either to the periodic nature of study sweeps</w:t>
      </w:r>
      <w:r w:rsidR="00573995">
        <w:t xml:space="preserve"> (i.e. data collection waves)</w:t>
      </w:r>
      <w:r>
        <w:t xml:space="preserve"> or to incomplete responses and participa</w:t>
      </w:r>
      <w:r w:rsidR="004313D3">
        <w:t>n</w:t>
      </w:r>
      <w:r>
        <w:t>t attrition;</w:t>
      </w:r>
    </w:p>
    <w:p w14:paraId="494EDEEC" w14:textId="41281CB7" w:rsidR="003F5D91" w:rsidRDefault="00F2102C" w:rsidP="001B7096">
      <w:pPr>
        <w:pStyle w:val="ListParagraph"/>
        <w:numPr>
          <w:ilvl w:val="0"/>
          <w:numId w:val="13"/>
        </w:numPr>
        <w:spacing w:after="240"/>
      </w:pPr>
      <w:r>
        <w:t>increas</w:t>
      </w:r>
      <w:r w:rsidR="008B166C">
        <w:t>ed</w:t>
      </w:r>
      <w:r>
        <w:t xml:space="preserve"> </w:t>
      </w:r>
      <w:r w:rsidR="00353B24">
        <w:t>volume of data</w:t>
      </w:r>
      <w:r>
        <w:t>,</w:t>
      </w:r>
      <w:r w:rsidR="00353B24">
        <w:t xml:space="preserve"> </w:t>
      </w:r>
      <w:r w:rsidR="00953C72">
        <w:t xml:space="preserve">potentially </w:t>
      </w:r>
      <w:r w:rsidR="00353B24">
        <w:t xml:space="preserve">making </w:t>
      </w:r>
      <w:r w:rsidR="00FB1958" w:rsidRPr="001C283E">
        <w:t xml:space="preserve">discoverability </w:t>
      </w:r>
      <w:r w:rsidR="00953C72">
        <w:t xml:space="preserve">of specific variables, and particularly longitudinally equivalent variables, </w:t>
      </w:r>
      <w:r w:rsidR="00353B24">
        <w:t xml:space="preserve">more </w:t>
      </w:r>
      <w:r w:rsidR="00FA4374" w:rsidRPr="001C283E">
        <w:t>difficult</w:t>
      </w:r>
      <w:r w:rsidR="00A73040">
        <w:t>;</w:t>
      </w:r>
    </w:p>
    <w:p w14:paraId="71CAF207" w14:textId="77777777" w:rsidR="003F5D91" w:rsidRDefault="003F58DC" w:rsidP="001B7096">
      <w:pPr>
        <w:pStyle w:val="ListParagraph"/>
        <w:numPr>
          <w:ilvl w:val="0"/>
          <w:numId w:val="13"/>
        </w:numPr>
        <w:spacing w:after="240"/>
      </w:pPr>
      <w:r>
        <w:t xml:space="preserve">data </w:t>
      </w:r>
      <w:r w:rsidR="00D95F3D">
        <w:t xml:space="preserve">harmonisation and linkage </w:t>
      </w:r>
      <w:r w:rsidR="00D41E8F">
        <w:t xml:space="preserve">work </w:t>
      </w:r>
      <w:r w:rsidR="00353B24">
        <w:t>being undertaken in isolation</w:t>
      </w:r>
      <w:r w:rsidR="00CE53F5">
        <w:t xml:space="preserve"> or anew</w:t>
      </w:r>
      <w:r w:rsidR="00D95F3D">
        <w:t xml:space="preserve">, </w:t>
      </w:r>
      <w:r w:rsidR="00D41E8F">
        <w:t xml:space="preserve">potentially </w:t>
      </w:r>
      <w:r w:rsidR="00721E31">
        <w:t>duplicating</w:t>
      </w:r>
      <w:r w:rsidR="00D41E8F">
        <w:t xml:space="preserve"> </w:t>
      </w:r>
      <w:r w:rsidR="00721E31">
        <w:t>effort</w:t>
      </w:r>
      <w:r w:rsidR="00D41E8F">
        <w:t xml:space="preserve"> and increasing the risk that unintended variations emerge</w:t>
      </w:r>
      <w:r w:rsidR="00D95F3D">
        <w:t>.</w:t>
      </w:r>
    </w:p>
    <w:p w14:paraId="11B3F5C6" w14:textId="48146669" w:rsidR="002D5C1A" w:rsidRDefault="00677387" w:rsidP="00D27BD9">
      <w:pPr>
        <w:spacing w:after="240"/>
      </w:pPr>
      <w:r>
        <w:t xml:space="preserve">Addressing these challenges requires </w:t>
      </w:r>
      <w:r w:rsidRPr="001C283E">
        <w:t xml:space="preserve">collaborative </w:t>
      </w:r>
      <w:r>
        <w:t xml:space="preserve">effort. </w:t>
      </w:r>
      <w:r w:rsidR="00433BD2">
        <w:t>D</w:t>
      </w:r>
      <w:r w:rsidR="007D760A">
        <w:t>raw</w:t>
      </w:r>
      <w:r w:rsidR="009F088D">
        <w:t>ing</w:t>
      </w:r>
      <w:r w:rsidR="007D760A">
        <w:t xml:space="preserve"> </w:t>
      </w:r>
      <w:r w:rsidR="004F4FBB">
        <w:t xml:space="preserve">together </w:t>
      </w:r>
      <w:r w:rsidR="007D760A">
        <w:t xml:space="preserve">expertise </w:t>
      </w:r>
      <w:r w:rsidR="004F4FBB">
        <w:t xml:space="preserve">from </w:t>
      </w:r>
      <w:r w:rsidR="005161F4">
        <w:t>different disciplines</w:t>
      </w:r>
      <w:r w:rsidR="00433BD2">
        <w:t xml:space="preserve"> can </w:t>
      </w:r>
      <w:r w:rsidR="00311999">
        <w:t>equi</w:t>
      </w:r>
      <w:r w:rsidR="00433BD2">
        <w:t>p us</w:t>
      </w:r>
      <w:r w:rsidR="00311999">
        <w:t xml:space="preserve"> </w:t>
      </w:r>
      <w:r w:rsidR="004F4FBB">
        <w:t xml:space="preserve">to identify </w:t>
      </w:r>
      <w:r w:rsidR="00433BD2">
        <w:t xml:space="preserve">new </w:t>
      </w:r>
      <w:r w:rsidR="004F4FBB">
        <w:t xml:space="preserve">learning opportunities </w:t>
      </w:r>
      <w:r w:rsidR="005161F4">
        <w:t xml:space="preserve">and to establish </w:t>
      </w:r>
      <w:r w:rsidR="00311999">
        <w:t xml:space="preserve">effective </w:t>
      </w:r>
      <w:r w:rsidR="005161F4" w:rsidRPr="001C283E">
        <w:t>tools</w:t>
      </w:r>
      <w:r w:rsidR="005161F4">
        <w:t xml:space="preserve"> and standards</w:t>
      </w:r>
      <w:r w:rsidR="005161F4" w:rsidRPr="001C283E">
        <w:t xml:space="preserve"> for </w:t>
      </w:r>
      <w:r w:rsidR="003646D3">
        <w:t xml:space="preserve">facilitating </w:t>
      </w:r>
      <w:r w:rsidR="00A716A9">
        <w:t xml:space="preserve">and improving </w:t>
      </w:r>
      <w:r w:rsidR="003646D3">
        <w:t xml:space="preserve">longitudinal research </w:t>
      </w:r>
      <w:r w:rsidR="00A716A9">
        <w:t xml:space="preserve">both within and </w:t>
      </w:r>
      <w:r w:rsidR="00F21586">
        <w:t>across individual studies.</w:t>
      </w:r>
      <w:r w:rsidR="007129F1">
        <w:t xml:space="preserve"> </w:t>
      </w:r>
      <w:r w:rsidR="00BB24AB">
        <w:t xml:space="preserve">It also provides a basis </w:t>
      </w:r>
      <w:r w:rsidR="00C708F3">
        <w:t xml:space="preserve">on which </w:t>
      </w:r>
      <w:r w:rsidR="00BB24AB">
        <w:t>to build new inter- and cross-disciplinary partnerships, enabling the exchange of both knowledge and skills.</w:t>
      </w:r>
    </w:p>
    <w:p w14:paraId="3FE870E4" w14:textId="77777777" w:rsidR="004F4FBB" w:rsidRPr="004F4FBB" w:rsidRDefault="004F4FBB" w:rsidP="00D27BD9">
      <w:pPr>
        <w:spacing w:after="240"/>
      </w:pPr>
    </w:p>
    <w:p w14:paraId="533FAB00" w14:textId="77777777" w:rsidR="00673D50" w:rsidRPr="001C283E" w:rsidRDefault="00673D50" w:rsidP="00AE1B7B">
      <w:pPr>
        <w:pStyle w:val="Heading2"/>
        <w:rPr>
          <w:rFonts w:ascii="Times New Roman" w:hAnsi="Times New Roman"/>
          <w:sz w:val="32"/>
          <w:szCs w:val="24"/>
        </w:rPr>
      </w:pPr>
      <w:r w:rsidRPr="001C283E">
        <w:t xml:space="preserve">The </w:t>
      </w:r>
      <w:r w:rsidR="0065074D" w:rsidRPr="001C283E">
        <w:t xml:space="preserve">Origins &amp; </w:t>
      </w:r>
      <w:r w:rsidRPr="001C283E">
        <w:t>Aims of CLOSER</w:t>
      </w:r>
    </w:p>
    <w:p w14:paraId="4C90067A" w14:textId="3C7808D7" w:rsidR="0065074D" w:rsidRPr="001C283E" w:rsidRDefault="00402C9E" w:rsidP="00D27BD9">
      <w:pPr>
        <w:spacing w:after="240"/>
      </w:pPr>
      <w:r w:rsidRPr="001C283E">
        <w:t>The Cohort &amp; Longitudinal Studies Enhancement Resources (</w:t>
      </w:r>
      <w:r w:rsidR="0065074D" w:rsidRPr="001C283E">
        <w:t>CLOSER</w:t>
      </w:r>
      <w:r w:rsidRPr="001C283E">
        <w:t>) consortium</w:t>
      </w:r>
      <w:r w:rsidR="0065074D" w:rsidRPr="001C283E">
        <w:t xml:space="preserve"> was established in October 201</w:t>
      </w:r>
      <w:r w:rsidRPr="001C283E">
        <w:t>2, under the leadership of Professor Jane Elliott, and subsequently Professor Alison Park</w:t>
      </w:r>
      <w:r w:rsidR="007170C5" w:rsidRPr="001C283E">
        <w:t xml:space="preserve">. </w:t>
      </w:r>
      <w:r w:rsidRPr="001C283E">
        <w:t>The consortium</w:t>
      </w:r>
      <w:r w:rsidR="007170C5" w:rsidRPr="001C283E">
        <w:t xml:space="preserve"> </w:t>
      </w:r>
      <w:r w:rsidR="00FA693A" w:rsidRPr="001C283E">
        <w:t>was founded in response to the growing</w:t>
      </w:r>
      <w:r w:rsidR="008B166C">
        <w:t xml:space="preserve"> need to foster the integration, </w:t>
      </w:r>
      <w:r w:rsidR="00FA693A" w:rsidRPr="001C283E">
        <w:t xml:space="preserve">enhancement </w:t>
      </w:r>
      <w:r w:rsidR="008B166C">
        <w:t xml:space="preserve">and use </w:t>
      </w:r>
      <w:r w:rsidR="00FA693A" w:rsidRPr="001C283E">
        <w:t xml:space="preserve">of </w:t>
      </w:r>
      <w:r w:rsidR="008B166C">
        <w:t xml:space="preserve">longitudinal </w:t>
      </w:r>
      <w:r w:rsidR="00FA693A" w:rsidRPr="001C283E">
        <w:t xml:space="preserve">data. CLOSER </w:t>
      </w:r>
      <w:r w:rsidR="007170C5" w:rsidRPr="001C283E">
        <w:t xml:space="preserve">is based at the UCL </w:t>
      </w:r>
      <w:r w:rsidR="00C93200" w:rsidRPr="001C283E">
        <w:t xml:space="preserve">Institute of Education, UK, </w:t>
      </w:r>
      <w:r w:rsidRPr="001C283E">
        <w:t xml:space="preserve">and </w:t>
      </w:r>
      <w:r w:rsidR="004A61DA">
        <w:t xml:space="preserve">its </w:t>
      </w:r>
      <w:r w:rsidR="007170C5" w:rsidRPr="001C283E">
        <w:t xml:space="preserve">partners </w:t>
      </w:r>
      <w:r w:rsidR="00693F73">
        <w:t>include eight UK longitudinal studies</w:t>
      </w:r>
      <w:r w:rsidR="002A1994">
        <w:t xml:space="preserve">, </w:t>
      </w:r>
      <w:r w:rsidR="00AA3B8F">
        <w:t>chosen to reflect a range of longitudinal studies across the biomedical and social sciences domains</w:t>
      </w:r>
      <w:r w:rsidR="007170C5" w:rsidRPr="001C283E">
        <w:t xml:space="preserve">. </w:t>
      </w:r>
      <w:r w:rsidR="00EB3DAB" w:rsidRPr="001C283E">
        <w:t xml:space="preserve">Oversight and support </w:t>
      </w:r>
      <w:r w:rsidR="00330674">
        <w:t xml:space="preserve">for </w:t>
      </w:r>
      <w:r w:rsidR="00EB3DAB" w:rsidRPr="001C283E">
        <w:t xml:space="preserve">the work undertaken by CLOSER is provided by </w:t>
      </w:r>
      <w:r w:rsidR="00330674">
        <w:t xml:space="preserve">both </w:t>
      </w:r>
      <w:r w:rsidRPr="001C283E">
        <w:t xml:space="preserve">a </w:t>
      </w:r>
      <w:r w:rsidR="00967443">
        <w:t xml:space="preserve">five-member </w:t>
      </w:r>
      <w:r w:rsidR="00693F73">
        <w:t>E</w:t>
      </w:r>
      <w:r w:rsidRPr="001C283E">
        <w:t xml:space="preserve">xecutive </w:t>
      </w:r>
      <w:r w:rsidR="00693F73">
        <w:t xml:space="preserve">Group </w:t>
      </w:r>
      <w:r w:rsidRPr="001C283E">
        <w:t xml:space="preserve">and a </w:t>
      </w:r>
      <w:r w:rsidR="00693F73">
        <w:t>consortium-wide L</w:t>
      </w:r>
      <w:r w:rsidRPr="001C283E">
        <w:t xml:space="preserve">eadership </w:t>
      </w:r>
      <w:r w:rsidR="00693F73">
        <w:t>T</w:t>
      </w:r>
      <w:r w:rsidRPr="001C283E">
        <w:t>eam.</w:t>
      </w:r>
    </w:p>
    <w:p w14:paraId="4C554A3D" w14:textId="6B477BA6" w:rsidR="00673D50" w:rsidRPr="001C283E" w:rsidRDefault="00673D50" w:rsidP="00D27BD9">
      <w:pPr>
        <w:rPr>
          <w:rFonts w:ascii="Times New Roman" w:hAnsi="Times New Roman"/>
          <w:sz w:val="24"/>
          <w:szCs w:val="24"/>
        </w:rPr>
      </w:pPr>
      <w:r w:rsidRPr="001C283E">
        <w:t>The studies</w:t>
      </w:r>
      <w:r w:rsidR="004A61DA">
        <w:t xml:space="preserve"> </w:t>
      </w:r>
      <w:r w:rsidR="00AA3B8F">
        <w:t xml:space="preserve">within the </w:t>
      </w:r>
      <w:r w:rsidR="004A61DA">
        <w:t>consortium</w:t>
      </w:r>
      <w:r w:rsidR="00AA3B8F">
        <w:t xml:space="preserve"> are listed below, along with their participant numbers at the initial wave of data collection</w:t>
      </w:r>
      <w:r w:rsidRPr="001C283E">
        <w:t>:</w:t>
      </w:r>
    </w:p>
    <w:p w14:paraId="7F0DF0C8" w14:textId="66C276A3" w:rsidR="00673D50" w:rsidRPr="001C283E" w:rsidRDefault="00CE53F5" w:rsidP="00D27BD9">
      <w:pPr>
        <w:pStyle w:val="ListParagraph"/>
        <w:numPr>
          <w:ilvl w:val="0"/>
          <w:numId w:val="5"/>
        </w:numPr>
        <w:spacing w:after="240"/>
      </w:pPr>
      <w:bookmarkStart w:id="2" w:name="_Hlk529821144"/>
      <w:r>
        <w:lastRenderedPageBreak/>
        <w:t xml:space="preserve">The </w:t>
      </w:r>
      <w:r w:rsidR="00673D50" w:rsidRPr="004A61DA">
        <w:rPr>
          <w:b/>
        </w:rPr>
        <w:t>Hertfordshire Cohort Study</w:t>
      </w:r>
      <w:r w:rsidR="00673D50" w:rsidRPr="001C283E">
        <w:t xml:space="preserve"> (HCS)</w:t>
      </w:r>
      <w:r w:rsidR="001C2B67" w:rsidRPr="004324AA">
        <w:fldChar w:fldCharType="begin" w:fldLock="1"/>
      </w:r>
      <w:r w:rsidR="00591EBD">
        <w:instrText>ADDIN CSL_CITATION {"citationItems":[{"id":"ITEM-1","itemData":{"ISSN":"0300-5771","author":[{"dropping-particle":"","family":"Syddall","given":"HE","non-dropping-particle":"","parse-names":false,"suffix":""},{"dropping-particle":"","family":"Aihie Sayer","given":"Avan","non-dropping-particle":"","parse-names":false,"suffix":""},{"dropping-particle":"","family":"Dennison","given":"EM","non-dropping-particle":"","parse-names":false,"suffix":""},{"dropping-particle":"","family":"Martin","given":"HJ","non-dropping-particle":"","parse-names":false,"suffix":""},{"dropping-particle":"","family":"Barker","given":"DJP","non-dropping-particle":"","parse-names":false,"suffix":""},{"dropping-particle":"","family":"Cooper","given":"C","non-dropping-particle":"","parse-names":false,"suffix":""},{"dropping-particle":"","family":"Group","given":"Hertfordshire Cohort Study","non-dropping-particle":"","parse-names":false,"suffix":""}],"container-title":"International Journal of Epidemiology","id":"ITEM-1","issue":"6","issued":{"date-parts":[["2005","12","1"]]},"note":"10.1093/ije/dyi127","page":"1234-1242","title":"Cohort profile: The Hertfordshire Cohort Study","type":"article-journal","volume":"34"},"uris":["http://www.mendeley.com/documents/?uuid=e2471561-7996-4755-9c94-b760562a3386"]}],"mendeley":{"formattedCitation":"&lt;sup&gt;3&lt;/sup&gt;","plainTextFormattedCitation":"3","previouslyFormattedCitation":"&lt;sup&gt;3&lt;/sup&gt;"},"properties":{"noteIndex":0},"schema":"https://github.com/citation-style-language/schema/raw/master/csl-citation.json"}</w:instrText>
      </w:r>
      <w:r w:rsidR="001C2B67" w:rsidRPr="004324AA">
        <w:fldChar w:fldCharType="separate"/>
      </w:r>
      <w:r w:rsidR="00A61FF0" w:rsidRPr="00A61FF0">
        <w:rPr>
          <w:noProof/>
          <w:vertAlign w:val="superscript"/>
        </w:rPr>
        <w:t>3</w:t>
      </w:r>
      <w:r w:rsidR="001C2B67" w:rsidRPr="004324AA">
        <w:fldChar w:fldCharType="end"/>
      </w:r>
      <w:r w:rsidR="00673D50" w:rsidRPr="001C283E">
        <w:t xml:space="preserve">, a cohort </w:t>
      </w:r>
      <w:r w:rsidR="00E13FEA">
        <w:t xml:space="preserve">of </w:t>
      </w:r>
      <w:r w:rsidR="00673D50" w:rsidRPr="001C283E">
        <w:t>3,</w:t>
      </w:r>
      <w:r w:rsidR="00515005">
        <w:t xml:space="preserve">225 </w:t>
      </w:r>
      <w:r w:rsidR="00673D50" w:rsidRPr="001C283E">
        <w:t xml:space="preserve">men and women born between 1931 and 1939 in </w:t>
      </w:r>
      <w:r w:rsidR="00613BD2">
        <w:t xml:space="preserve">the UK county of </w:t>
      </w:r>
      <w:r w:rsidR="00673D50" w:rsidRPr="001C283E">
        <w:t>Hertfordshire</w:t>
      </w:r>
      <w:r w:rsidR="00E13FEA">
        <w:t xml:space="preserve">, who have been studied across 8 sweeps of data collection to date, with the first </w:t>
      </w:r>
      <w:r w:rsidR="007F29FA">
        <w:t xml:space="preserve">sweep </w:t>
      </w:r>
      <w:r w:rsidR="00E13FEA">
        <w:t xml:space="preserve">occurring when participants were </w:t>
      </w:r>
      <w:r w:rsidR="001F54F1">
        <w:t xml:space="preserve">at </w:t>
      </w:r>
      <w:r w:rsidR="00AD39FD">
        <w:t xml:space="preserve">a mean </w:t>
      </w:r>
      <w:r w:rsidR="001F54F1">
        <w:t xml:space="preserve">age </w:t>
      </w:r>
      <w:r w:rsidR="00AD39FD">
        <w:t xml:space="preserve">of </w:t>
      </w:r>
      <w:r w:rsidR="001F54F1">
        <w:t>66</w:t>
      </w:r>
      <w:r w:rsidR="00673D50" w:rsidRPr="001C283E">
        <w:t>;</w:t>
      </w:r>
    </w:p>
    <w:p w14:paraId="54DB14B4" w14:textId="2ABA327A" w:rsidR="00673D50" w:rsidRPr="001C283E" w:rsidRDefault="00673D50" w:rsidP="00D27BD9">
      <w:pPr>
        <w:pStyle w:val="ListParagraph"/>
        <w:numPr>
          <w:ilvl w:val="0"/>
          <w:numId w:val="5"/>
        </w:numPr>
        <w:spacing w:after="240"/>
      </w:pPr>
      <w:r w:rsidRPr="001C283E">
        <w:t xml:space="preserve">The </w:t>
      </w:r>
      <w:r w:rsidRPr="004A61DA">
        <w:rPr>
          <w:b/>
        </w:rPr>
        <w:t>Medical Research Council</w:t>
      </w:r>
      <w:r w:rsidRPr="001C283E">
        <w:t xml:space="preserve"> (MRC) </w:t>
      </w:r>
      <w:r w:rsidRPr="00AC4834">
        <w:rPr>
          <w:b/>
        </w:rPr>
        <w:t>National Survey of Health and Development</w:t>
      </w:r>
      <w:r w:rsidRPr="001C283E">
        <w:t xml:space="preserve"> (NSHD)</w:t>
      </w:r>
      <w:r w:rsidR="001C2B67" w:rsidRPr="004324AA">
        <w:fldChar w:fldCharType="begin" w:fldLock="1"/>
      </w:r>
      <w:r w:rsidR="00591EBD">
        <w:instrText>ADDIN CSL_CITATION {"citationItems":[{"id":"ITEM-1","itemData":{"DOI":"10.1007/s10654-016-0217-8","ISSN":"0393-2990","abstract":"A life course approach to ageing relies on maintaining participation rates in national birth cohorts and other long-term longitudinal studies. This reduces the risk of selective attrition biasing associations between lifetime risk factors and health outcomes in later life and ensures the studies remain as representative as possible of the original population. We report the participation patterns for a postal questionnaire and home visit at 68–69 years of study members in the MRC National Survey of Health and Development, the oldest and longest-running British birth cohort study. We investigated how participation varied by lifetime and recent contact, health status, previous clinical feedback and study engagement, taking account of prior socioeconomic and cognitive characteristics. Overall participation and home visit participation remained high (94 and 80%, respectively) and there were no gender differences. Participation was higher in those with higher levels of prior contact and lower in those with the poorest health status. Having previously received clinical feedback on actionable blood results was associated with reduced home visit participation but other forms of clinical feedback were not associated with subsequent participation. Activities that fostered study engagement were associated with increased home visit participation. These findings inform strategies to maintain participation in life course studies. ELECTRONIC SUPPLEMENTARY MATERIAL: The online version of this article (doi:10.1007/s10654-016-0217-8) contains supplementary material, which is available to authorized users.","author":[{"dropping-particle":"","family":"Kuh","given":"Diana","non-dropping-particle":"","parse-names":false,"suffix":""},{"dropping-particle":"","family":"Wong","given":"Andrew","non-dropping-particle":"","parse-names":false,"suffix":""},{"dropping-particle":"","family":"Shah","given":"Imran","non-dropping-particle":"","parse-names":false,"suffix":""},{"dropping-particle":"","family":"Moore","given":"Adam","non-dropping-particle":"","parse-names":false,"suffix":""},{"dropping-particle":"","family":"Popham","given":"Maria","non-dropping-particle":"","parse-names":false,"suffix":""},{"dropping-particle":"","family":"Curran","given":"Philip","non-dropping-particle":"","parse-names":false,"suffix":""},{"dropping-particle":"","family":"Davis","given":"Daniel","non-dropping-particle":"","parse-names":false,"suffix":""},{"dropping-particle":"","family":"Sharma","given":"Nikhil","non-dropping-particle":"","parse-names":false,"suffix":""},{"dropping-particle":"","family":"Richards","given":"Marcus","non-dropping-particle":"","parse-names":false,"suffix":""},{"dropping-particle":"","family":"Stafford","given":"Mai","non-dropping-particle":"","parse-names":false,"suffix":""},{"dropping-particle":"","family":"Hardy","given":"Rebecca","non-dropping-particle":"","parse-names":false,"suffix":""},{"dropping-particle":"","family":"Cooper","given":"Rachel","non-dropping-particle":"","parse-names":false,"suffix":""}],"container-title":"European Journal of Epidemiology","id":"ITEM-1","issue":"11","issued":{"date-parts":[["2016","12","19"]]},"page":"1135-1147","title":"The MRC National Survey of Health and Development reaches age 70: Maintaining participation at older ages in a birth cohort study","type":"article-journal","volume":"31"},"uris":["http://www.mendeley.com/documents/?uuid=5ef04a8f-a8fc-425b-8b1e-86f77296d459"]},{"id":"ITEM-2","itemData":{"DOI":"10.1093/ije/dyq231","ISBN":"1464-3685 (Electronic)\\r0300-5771 (Linking)","ISSN":"03005771","PMID":"21345808","abstract":"From Duplicate 1 ( Cohort profile: updating the cohort profile for the MRC National Survey of Health and Development: a new clinic-based data collection for ageing research. - Kuh, Diana; Pierce, Mary; Adams, Judith; Deanfield, John; Ekelund, Ulf; Friberg, Peter; Ghosh, Arjun K; Harwood, Nikki; Hughes, Alun; Macfarlane, Peter W; Mishra, Gita; Pellerin, Denis; Wong, Andrew; Stephen, Alison M; Richards, Marcus; Hardy, Rebecca ) From Duplicate 2 ( Cohort profile: updating the cohort profile for the MRC National Survey of Health and Development: a new clinic-based data collection for ageing research. - Kuh, Diana; Pierce, Mary; Adams, Judith; Deanfield, John; Ekelund, Ulf; Friberg, Peter; Ghosh, Arjun K; Harwood, Nikki; Hughes, Alun; Macfarlane, Peter W; Mishra, Gita; Pellerin, Denis; Wong, Andrew; Stephen, Alison M; Richards, Marcus; Hardy, Rebecca ) Read-yes","author":[{"dropping-particle":"","family":"Kuh","given":"Diana","non-dropping-particle":"","parse-names":false,"suffix":""},{"dropping-particle":"","family":"Pierce","given":"Mary","non-dropping-particle":"","parse-names":false,"suffix":""},{"dropping-particle":"","family":"Adams","given":"Judith","non-dropping-particle":"","parse-names":false,"suffix":""},{"dropping-particle":"","family":"Deanfield","given":"John","non-dropping-particle":"","parse-names":false,"suffix":""},{"dropping-particle":"","family":"Ekelund","given":"Ulf","non-dropping-particle":"","parse-names":false,"suffix":""},{"dropping-particle":"","family":"Friberg","given":"Peter","non-dropping-particle":"","parse-names":false,"suffix":""},{"dropping-particle":"","family":"Ghosh","given":"Arjun K","non-dropping-particle":"","parse-names":false,"suffix":""},{"dropping-particle":"","family":"Harwood","given":"Nikki","non-dropping-particle":"","parse-names":false,"suffix":""},{"dropping-particle":"","family":"Hughes","given":"Alun","non-dropping-particle":"","parse-names":false,"suffix":""},{"dropping-particle":"","family":"Macfarlane","given":"Peter W","non-dropping-particle":"","parse-names":false,"suffix":""},{"dropping-particle":"","family":"Mishra","given":"Gita","non-dropping-particle":"","parse-names":false,"suffix":""},{"dropping-particle":"","family":"Pellerin","given":"Denis","non-dropping-particle":"","parse-names":false,"suffix":""},{"dropping-particle":"","family":"Wong","given":"Andrew","non-dropping-particle":"","parse-names":false,"suffix":""},{"dropping-particle":"","family":"Stephen","given":"Alison M","non-dropping-particle":"","parse-names":false,"suffix":""},{"dropping-particle":"","family":"Richards","given":"Marcus","non-dropping-particle":"","parse-names":false,"suffix":""},{"dropping-particle":"","family":"Hardy","given":"Rebecca","non-dropping-particle":"","parse-names":false,"suffix":""}],"container-title":"International Journal of Epidemiology","id":"ITEM-2","issue":"1","issued":{"date-parts":[["2011","2"]]},"language":"en","page":"e1-e9","title":"Cohort profile: Updating the cohort profile for the MRC National Survey of Health and Development: A new clinic-based data collection for ageing research","type":"article-journal","volume":"40"},"uris":["http://www.mendeley.com/documents/?uuid=2a9344ad-dc7d-439f-94c2-fe28dd7b0426"]},{"id":"ITEM-3","itemData":{"DOI":"10.1093/ije/dyi201","ISBN":"0300-5771 (Print) 0300-5771","ISSN":"03005771","PMID":"16204333","abstract":"From Duplicate 1 ( Cohort Profile: The 1946 National Birth Cohort (MRC National Survey of Health and Development) - Wadsworth, Michael; Kuh, Diana; Richards, Marcus; Hardy, Rebecca ) MRC1946 cohort reference","author":[{"dropping-particle":"","family":"Wadsworth","given":"Michael","non-dropping-particle":"","parse-names":false,"suffix":""},{"dropping-particle":"","family":"Kuh","given":"Diana","non-dropping-particle":"","parse-names":false,"suffix":""},{"dropping-particle":"","family":"Richards","given":"Marcus","non-dropping-particle":"","parse-names":false,"suffix":""},{"dropping-particle":"","family":"Hardy","given":"Rebecca","non-dropping-particle":"","parse-names":false,"suffix":""}],"collection-title":"Beverages and Health","container-title":"International Journal of Epidemiology","id":"ITEM-3","issue":"1","issued":{"date-parts":[["2006","2"]]},"note":"Given that risk and frequency of binge drinking among Canadians increases with their frequency of drinking, any public recommendation to drink moderately should be made with great caution.","page":"49-54","title":"Cohort profile: The 1946 National Birth Cohort (MRC National Survey of Health and Development)","title-short":"Alcohol, appetite and energy balance","type":"article-journal","volume":"35"},"uris":["http://www.mendeley.com/documents/?uuid=ee4545e2-e05d-4fa7-879c-0ef472691c58"]}],"mendeley":{"formattedCitation":"&lt;sup&gt;1,4,5&lt;/sup&gt;","plainTextFormattedCitation":"1,4,5","previouslyFormattedCitation":"&lt;sup&gt;1,4,5&lt;/sup&gt;"},"properties":{"noteIndex":0},"schema":"https://github.com/citation-style-language/schema/raw/master/csl-citation.json"}</w:instrText>
      </w:r>
      <w:r w:rsidR="001C2B67" w:rsidRPr="004324AA">
        <w:fldChar w:fldCharType="separate"/>
      </w:r>
      <w:r w:rsidR="00A61FF0" w:rsidRPr="00A61FF0">
        <w:rPr>
          <w:noProof/>
          <w:vertAlign w:val="superscript"/>
        </w:rPr>
        <w:t>1,4,5</w:t>
      </w:r>
      <w:r w:rsidR="001C2B67" w:rsidRPr="004324AA">
        <w:fldChar w:fldCharType="end"/>
      </w:r>
      <w:r w:rsidRPr="001C283E">
        <w:t>, a nationally representative birth cohort comprising 5,362 men and women born in Britain (England, Scotland or Wales) in 1946</w:t>
      </w:r>
      <w:r w:rsidR="005B54E4">
        <w:t xml:space="preserve">, </w:t>
      </w:r>
      <w:r w:rsidR="00E13FEA">
        <w:t xml:space="preserve">with 25 </w:t>
      </w:r>
      <w:r w:rsidR="007F29FA">
        <w:t xml:space="preserve">sweeps </w:t>
      </w:r>
      <w:r w:rsidR="00095714">
        <w:t>of data collection</w:t>
      </w:r>
      <w:r w:rsidR="00E13FEA">
        <w:t xml:space="preserve"> completed to date including an initial sweep at birth</w:t>
      </w:r>
      <w:r w:rsidRPr="001C283E">
        <w:t>;</w:t>
      </w:r>
    </w:p>
    <w:p w14:paraId="73B61488" w14:textId="7C4A5F92" w:rsidR="00673D50" w:rsidRPr="001C283E" w:rsidRDefault="00673D50" w:rsidP="00D27BD9">
      <w:pPr>
        <w:pStyle w:val="ListParagraph"/>
        <w:numPr>
          <w:ilvl w:val="0"/>
          <w:numId w:val="5"/>
        </w:numPr>
        <w:spacing w:after="240"/>
      </w:pPr>
      <w:r w:rsidRPr="001C283E">
        <w:t xml:space="preserve">The </w:t>
      </w:r>
      <w:r w:rsidRPr="004A61DA">
        <w:rPr>
          <w:b/>
        </w:rPr>
        <w:t>1958 National Child Development Study</w:t>
      </w:r>
      <w:r w:rsidRPr="001C283E">
        <w:t xml:space="preserve"> (NCDS)</w:t>
      </w:r>
      <w:r w:rsidR="001C2B67" w:rsidRPr="004324AA">
        <w:fldChar w:fldCharType="begin" w:fldLock="1"/>
      </w:r>
      <w:r w:rsidR="00591EBD">
        <w:instrText>ADDIN CSL_CITATION {"citationItems":[{"id":"ITEM-1","itemData":{"DOI":"10.1093/ije/dyi183","author":[{"dropping-particle":"","family":"Power","given":"Chris","non-dropping-particle":"","parse-names":false,"suffix":""},{"dropping-particle":"","family":"Elliott","given":"Jane","non-dropping-particle":"","parse-names":false,"suffix":""}],"container-title":"International Journal of Epidemiology","id":"ITEM-1","issue":"1","issued":{"date-parts":[["2006"]]},"page":"34-41","title":"Cohort profile: 1958 British Birth Cohort (National Child Development Study)","type":"article-journal","volume":"35"},"uris":["http://www.mendeley.com/documents/?uuid=af80c45a-38aa-4139-b866-a48095948f8a"]}],"mendeley":{"formattedCitation":"&lt;sup&gt;6&lt;/sup&gt;","plainTextFormattedCitation":"6","previouslyFormattedCitation":"&lt;sup&gt;6&lt;/sup&gt;"},"properties":{"noteIndex":0},"schema":"https://github.com/citation-style-language/schema/raw/master/csl-citation.json"}</w:instrText>
      </w:r>
      <w:r w:rsidR="001C2B67" w:rsidRPr="004324AA">
        <w:fldChar w:fldCharType="separate"/>
      </w:r>
      <w:r w:rsidR="00A61FF0" w:rsidRPr="00A61FF0">
        <w:rPr>
          <w:noProof/>
          <w:vertAlign w:val="superscript"/>
        </w:rPr>
        <w:t>6</w:t>
      </w:r>
      <w:r w:rsidR="001C2B67" w:rsidRPr="004324AA">
        <w:fldChar w:fldCharType="end"/>
      </w:r>
      <w:r w:rsidRPr="001C283E">
        <w:t>, a birth cohort comprising 17,415 men and women born in Britain during a single week in 1958</w:t>
      </w:r>
      <w:r w:rsidR="00717176">
        <w:t xml:space="preserve">, with </w:t>
      </w:r>
      <w:r w:rsidR="00D676F9">
        <w:t xml:space="preserve">11 data collection </w:t>
      </w:r>
      <w:r w:rsidR="007F29FA">
        <w:t xml:space="preserve">sweeps </w:t>
      </w:r>
      <w:r w:rsidR="00D676F9">
        <w:t xml:space="preserve">completed to date </w:t>
      </w:r>
      <w:r w:rsidR="00AD39FD">
        <w:t>including</w:t>
      </w:r>
      <w:r w:rsidR="00DA71D1">
        <w:t xml:space="preserve"> an initial </w:t>
      </w:r>
      <w:r w:rsidR="007F29FA">
        <w:t>sweep</w:t>
      </w:r>
      <w:r w:rsidR="0005091D">
        <w:t xml:space="preserve"> at birth</w:t>
      </w:r>
      <w:r w:rsidRPr="001C283E">
        <w:t>;</w:t>
      </w:r>
    </w:p>
    <w:p w14:paraId="2B3E88C3" w14:textId="21761038" w:rsidR="00673D50" w:rsidRPr="001C283E" w:rsidRDefault="00673D50" w:rsidP="00D27BD9">
      <w:pPr>
        <w:pStyle w:val="ListParagraph"/>
        <w:numPr>
          <w:ilvl w:val="0"/>
          <w:numId w:val="5"/>
        </w:numPr>
        <w:spacing w:after="240"/>
      </w:pPr>
      <w:r w:rsidRPr="001C283E">
        <w:t xml:space="preserve">The </w:t>
      </w:r>
      <w:r w:rsidRPr="004A61DA">
        <w:rPr>
          <w:b/>
        </w:rPr>
        <w:t>1970 British Cohort Study</w:t>
      </w:r>
      <w:r w:rsidRPr="001C283E">
        <w:t xml:space="preserve"> (BCS70)</w:t>
      </w:r>
      <w:r w:rsidR="001C2B67" w:rsidRPr="004324AA">
        <w:fldChar w:fldCharType="begin" w:fldLock="1"/>
      </w:r>
      <w:r w:rsidR="00591EBD">
        <w:instrText>ADDIN CSL_CITATION {"citationItems":[{"id":"ITEM-1","itemData":{"DOI":"10.1093/ije/dyl174","ISBN":"0300-5771 (Print)\\r0300-5771 (Linking)","ISSN":"03005771","PMID":"16931528","abstract":"#studyprofiles","author":[{"dropping-particle":"","family":"Elliott","given":"Jane","non-dropping-particle":"","parse-names":false,"suffix":""},{"dropping-particle":"","family":"Shepherd","given":"Peter","non-dropping-particle":"","parse-names":false,"suffix":""}],"container-title":"International Journal of Epidemiology","id":"ITEM-1","issue":"4","issued":{"date-parts":[["2006","8"]]},"page":"836-843","title":"Cohort profile: 1970 British Birth Cohort (BCS70)","title-short":"Alcohol and the heart","type":"article-journal","volume":"35"},"uris":["http://www.mendeley.com/documents/?uuid=c9198c7e-f415-45f5-be9f-ecf5b3822b7c"]}],"mendeley":{"formattedCitation":"&lt;sup&gt;7&lt;/sup&gt;","plainTextFormattedCitation":"7","previouslyFormattedCitation":"&lt;sup&gt;7&lt;/sup&gt;"},"properties":{"noteIndex":0},"schema":"https://github.com/citation-style-language/schema/raw/master/csl-citation.json"}</w:instrText>
      </w:r>
      <w:r w:rsidR="001C2B67" w:rsidRPr="004324AA">
        <w:fldChar w:fldCharType="separate"/>
      </w:r>
      <w:r w:rsidR="00A61FF0" w:rsidRPr="00A61FF0">
        <w:rPr>
          <w:noProof/>
          <w:vertAlign w:val="superscript"/>
        </w:rPr>
        <w:t>7</w:t>
      </w:r>
      <w:r w:rsidR="001C2B67" w:rsidRPr="004324AA">
        <w:fldChar w:fldCharType="end"/>
      </w:r>
      <w:r w:rsidRPr="001C283E">
        <w:t>, a birth cohort comprising 17,198 people born in Britain during a single week in 1970</w:t>
      </w:r>
      <w:r w:rsidR="00717176">
        <w:t xml:space="preserve">, with the first </w:t>
      </w:r>
      <w:r w:rsidR="007F29FA">
        <w:t xml:space="preserve">sweep </w:t>
      </w:r>
      <w:r w:rsidR="00717176">
        <w:t xml:space="preserve">occurring at birth </w:t>
      </w:r>
      <w:r w:rsidR="0005091D">
        <w:t xml:space="preserve">followed by </w:t>
      </w:r>
      <w:r w:rsidR="00717176">
        <w:t xml:space="preserve">a further 9 </w:t>
      </w:r>
      <w:r w:rsidR="007F29FA">
        <w:t xml:space="preserve">sweeps </w:t>
      </w:r>
      <w:r w:rsidR="00717176">
        <w:t>to date</w:t>
      </w:r>
      <w:r w:rsidRPr="001C283E">
        <w:t>;</w:t>
      </w:r>
    </w:p>
    <w:p w14:paraId="19117549" w14:textId="6527D6F6" w:rsidR="00673D50" w:rsidRPr="001C283E" w:rsidRDefault="00673D50" w:rsidP="008C7E81">
      <w:pPr>
        <w:pStyle w:val="ListParagraph"/>
        <w:numPr>
          <w:ilvl w:val="0"/>
          <w:numId w:val="5"/>
        </w:numPr>
        <w:spacing w:after="240"/>
      </w:pPr>
      <w:r w:rsidRPr="001C283E">
        <w:t xml:space="preserve">The </w:t>
      </w:r>
      <w:r w:rsidRPr="004A61DA">
        <w:rPr>
          <w:b/>
        </w:rPr>
        <w:t>Avon Longitudinal Study of Parents and Children</w:t>
      </w:r>
      <w:r w:rsidRPr="001C283E">
        <w:t xml:space="preserve"> (ALSPAC)</w:t>
      </w:r>
      <w:r w:rsidR="001C2B67" w:rsidRPr="004324AA">
        <w:fldChar w:fldCharType="begin" w:fldLock="1"/>
      </w:r>
      <w:r w:rsidR="00591EBD">
        <w:instrText>ADDIN CSL_CITATION {"citationItems":[{"id":"ITEM-1","itemData":{"ISSN":"0300-5771","abstract":"Summary The Avon Longitudinal Study of Children and Parents (ALSPAC) was established to understand how genetic and environmental characteristics influence health and development in parents and children. All pregnant women resident in a defined area in the South West of England, with an expected date of delivery between 1st April 1991 and 31st December 1992, were eligible and 13 761 women (contributing 13 867 pregnancies) were recruited. These women have been followed over the last 19–22 years and have completed up to 20 questionnaires, have had detailed data abstracted from their medical records and have information on any cancer diagnoses and deaths through record linkage. A follow-up assessment was completed 17–18 years postnatal at which anthropometry, blood pressure, fat, lean and bone mass and carotid intima media thickness were assessed, and a fasting blood sample taken. The second follow-up clinic, which additionally measures cognitive function, physical capability, physical activity (with accelerometer) and wrist bone architecture, is underway and two further assessments with similar measurements will take place over the next 5 years. There is a detailed biobank that includes DNA, with genome-wide data available on &amp;gt;10 000, stored serum and plasma taken repeatedly since pregnancy and other samples; a wide range of data on completed biospecimen assays are available. Details of how to access these data are provided in this cohort profile.","author":[{"dropping-particle":"","family":"Fraser","given":"Abigail","non-dropping-particle":"","parse-names":false,"suffix":""},{"dropping-particle":"","family":"Macdonald-Wallis","given":"Corrie","non-dropping-particle":"","parse-names":false,"suffix":""},{"dropping-particle":"","family":"Tilling","given":"Kate","non-dropping-particle":"","parse-names":false,"suffix":""},{"dropping-particle":"","family":"Boyd","given":"Andy","non-dropping-particle":"","parse-names":false,"suffix":""},{"dropping-particle":"","family":"Golding","given":"Jean","non-dropping-particle":"","parse-names":false,"suffix":""},{"dropping-particle":"","family":"Davey Smith","given":"George","non-dropping-particle":"","parse-names":false,"suffix":""},{"dropping-particle":"","family":"Henderson","given":"John","non-dropping-particle":"","parse-names":false,"suffix":""},{"dropping-particle":"","family":"Macleod","given":"John","non-dropping-particle":"","parse-names":false,"suffix":""},{"dropping-particle":"","family":"Molloy","given":"Lynn","non-dropping-particle":"","parse-names":false,"suffix":""},{"dropping-particle":"","family":"Ness","given":"Andy","non-dropping-particle":"","parse-names":false,"suffix":""},{"dropping-particle":"","family":"Ring","given":"Susan","non-dropping-particle":"","parse-names":false,"suffix":""},{"dropping-particle":"","family":"Nelson","given":"Scott M","non-dropping-particle":"","parse-names":false,"suffix":""},{"dropping-particle":"","family":"Lawlor","given":"Debbie A","non-dropping-particle":"","parse-names":false,"suffix":""}],"container-title":"International Journal of Epidemiology","id":"ITEM-1","issue":"1","issued":{"date-parts":[["2013","2","1"]]},"note":"10.1093/ije/dys066","page":"97-110","title":"Cohort profile: The Avon Longitudinal Study of Parents and Children: ALSPAC mothers cohort","type":"article-journal","volume":"42"},"uris":["http://www.mendeley.com/documents/?uuid=f32398b3-cbd7-4f93-8480-baece6ab11b8"]},{"id":"ITEM-2","itemData":{"DOI":"10.1093/ije/dys064","ISSN":"0300-5771","abstract":"The Avon Longitudinal Study of Parents and Children (ALSPAC) is a transgenerational prospective observational study investigating influences on health and development across the life course. It considers multiple genetic, epigenetic, biological, psychological, social and other environmental exposures in relation to a similarly diverse range of health, social and developmental outcomes. Recruitment sought to enrol pregnant women in the Bristol area of the UK during 1990–92; this was extended to include additional children eligible using the original enrolment definition up to the age of 18 years. The children from 14 541 pregnancies were recruited in 1990–92, increasing to 15 247 pregnancies by the age of 18 years. This cohort profile describes the index children of these pregnancies. Follow-up includes 59 questionnaires (4 weeks–18 years of age) and 9 clinical assessment visits (7–17 years of age). The resource comprises a wide range of phenotypic and environmental measures in addition to biological samples, genetic (DNA on 11 343 children, genome-wide data on 8365 children, complete genome sequencing on 2000 children) and epigenetic (methylation sampling on 1000 children) information and linkage to health and administrative records. Data access is described in this article and is currently set up as a supported access resource. To date, over 700 peer-reviewed articles have been published using ALSPAC data.","author":[{"dropping-particle":"","family":"Boyd","given":"Andy","non-dropping-particle":"","parse-names":false,"suffix":""},{"dropping-particle":"","family":"Golding","given":"Jean","non-dropping-particle":"","parse-names":false,"suffix":""},{"dropping-particle":"","family":"Macleod","given":"John","non-dropping-particle":"","parse-names":false,"suffix":""},{"dropping-particle":"","family":"Lawlor","given":"Debbie A","non-dropping-particle":"","parse-names":false,"suffix":""},{"dropping-particle":"","family":"Fraser","given":"Abigail","non-dropping-particle":"","parse-names":false,"suffix":""},{"dropping-particle":"","family":"Henderson","given":"John","non-dropping-particle":"","parse-names":false,"suffix":""},{"dropping-particle":"","family":"Molloy","given":"Lynn","non-dropping-particle":"","parse-names":false,"suffix":""},{"dropping-particle":"","family":"Ness","given":"Andy","non-dropping-particle":"","parse-names":false,"suffix":""},{"dropping-particle":"","family":"Ring","given":"Susan","non-dropping-particle":"","parse-names":false,"suffix":""},{"dropping-particle":"","family":"Davey Smith","given":"George","non-dropping-particle":"","parse-names":false,"suffix":""}],"container-title":"International Journal of Epidemiology","id":"ITEM-2","issue":"1","issued":{"date-parts":[["2013","2","16"]]},"page":"111-127","title":"Cohort profile: The ‘Children of the 90s’—the index offspring of the Avon Longitudinal Study of Parents and Children","type":"article-journal","volume":"42"},"uris":["http://www.mendeley.com/documents/?uuid=7a0d1ec2-3f7c-4b52-811a-195fa71e42bf"]}],"mendeley":{"formattedCitation":"&lt;sup&gt;8,9&lt;/sup&gt;","plainTextFormattedCitation":"8,9","previouslyFormattedCitation":"&lt;sup&gt;8,9&lt;/sup&gt;"},"properties":{"noteIndex":0},"schema":"https://github.com/citation-style-language/schema/raw/master/csl-citation.json"}</w:instrText>
      </w:r>
      <w:r w:rsidR="001C2B67" w:rsidRPr="004324AA">
        <w:fldChar w:fldCharType="separate"/>
      </w:r>
      <w:r w:rsidR="00A61FF0" w:rsidRPr="00A61FF0">
        <w:rPr>
          <w:noProof/>
          <w:vertAlign w:val="superscript"/>
        </w:rPr>
        <w:t>8,9</w:t>
      </w:r>
      <w:r w:rsidR="001C2B67" w:rsidRPr="004324AA">
        <w:fldChar w:fldCharType="end"/>
      </w:r>
      <w:r w:rsidRPr="001C283E">
        <w:t xml:space="preserve"> </w:t>
      </w:r>
      <w:r w:rsidR="00E34579">
        <w:t>comprises</w:t>
      </w:r>
      <w:r w:rsidR="00E34579" w:rsidRPr="001C283E">
        <w:t xml:space="preserve"> </w:t>
      </w:r>
      <w:r w:rsidRPr="001C283E">
        <w:t xml:space="preserve">14,500 men and women born in the former </w:t>
      </w:r>
      <w:r w:rsidR="00E13FEA">
        <w:t xml:space="preserve">UK </w:t>
      </w:r>
      <w:r w:rsidRPr="001C283E">
        <w:t>county of Avon in 1991-1992, as well as their parents and own children</w:t>
      </w:r>
      <w:r w:rsidR="005936EF" w:rsidRPr="001C283E">
        <w:t>;</w:t>
      </w:r>
      <w:r w:rsidR="008C7E81">
        <w:t xml:space="preserve"> </w:t>
      </w:r>
      <w:r w:rsidR="008C7E81" w:rsidRPr="008C7E81">
        <w:t xml:space="preserve">they have undergone 32 data sweeps, whilst their parents have undergone 23 sweeps </w:t>
      </w:r>
      <w:r w:rsidR="006960DA">
        <w:t xml:space="preserve">and the next generation of </w:t>
      </w:r>
      <w:r w:rsidR="008C7E81" w:rsidRPr="008C7E81">
        <w:t>children</w:t>
      </w:r>
      <w:r w:rsidR="006960DA">
        <w:t xml:space="preserve"> have undergone 24 sweeps to date</w:t>
      </w:r>
      <w:r w:rsidR="008C7E81">
        <w:t>;</w:t>
      </w:r>
    </w:p>
    <w:p w14:paraId="4DCD4032" w14:textId="45CCD30D" w:rsidR="00673D50" w:rsidRPr="001C283E" w:rsidRDefault="00673D50" w:rsidP="00D27BD9">
      <w:pPr>
        <w:pStyle w:val="ListParagraph"/>
        <w:numPr>
          <w:ilvl w:val="0"/>
          <w:numId w:val="5"/>
        </w:numPr>
        <w:spacing w:after="240"/>
      </w:pPr>
      <w:r w:rsidRPr="001C283E">
        <w:t xml:space="preserve">The </w:t>
      </w:r>
      <w:r w:rsidRPr="004A61DA">
        <w:rPr>
          <w:b/>
        </w:rPr>
        <w:t>Southampton Women’s Survey</w:t>
      </w:r>
      <w:r w:rsidRPr="001C283E">
        <w:t xml:space="preserve"> (SWS)</w:t>
      </w:r>
      <w:r w:rsidR="001C2B67" w:rsidRPr="004324AA">
        <w:fldChar w:fldCharType="begin" w:fldLock="1"/>
      </w:r>
      <w:r w:rsidR="00591EBD">
        <w:instrText>ADDIN CSL_CITATION {"citationItems":[{"id":"ITEM-1","itemData":{"ISSN":"0300-5771","author":[{"dropping-particle":"","family":"Inskip","given":"Hazel M","non-dropping-particle":"","parse-names":false,"suffix":""},{"dropping-particle":"","family":"Godfrey","given":"Keith M","non-dropping-particle":"","parse-names":false,"suffix":""},{"dropping-particle":"","family":"Robinson","given":"Siân M","non-dropping-particle":"","parse-names":false,"suffix":""},{"dropping-particle":"","family":"Law","given":"Catherine M","non-dropping-particle":"","parse-names":false,"suffix":""},{"dropping-particle":"","family":"Barker","given":"David J P","non-dropping-particle":"","parse-names":false,"suffix":""},{"dropping-particle":"","family":"Cooper","given":"Cyrus","non-dropping-particle":"","parse-names":false,"suffix":""}],"container-title":"International Journal of Epidemiology","id":"ITEM-1","issue":"1","issued":{"date-parts":[["2006","2","1"]]},"note":"10.1093/ije/dyi202","page":"42-48","title":"Cohort profile: The Southampton Women's Survey","type":"article-journal","volume":"35"},"uris":["http://www.mendeley.com/documents/?uuid=8cc6b757-0676-49d6-89c9-33a3c3008213"]}],"mendeley":{"formattedCitation":"&lt;sup&gt;10&lt;/sup&gt;","plainTextFormattedCitation":"10","previouslyFormattedCitation":"&lt;sup&gt;10&lt;/sup&gt;"},"properties":{"noteIndex":0},"schema":"https://github.com/citation-style-language/schema/raw/master/csl-citation.json"}</w:instrText>
      </w:r>
      <w:r w:rsidR="001C2B67" w:rsidRPr="004324AA">
        <w:fldChar w:fldCharType="separate"/>
      </w:r>
      <w:r w:rsidR="00A61FF0" w:rsidRPr="00A61FF0">
        <w:rPr>
          <w:noProof/>
          <w:vertAlign w:val="superscript"/>
        </w:rPr>
        <w:t>10</w:t>
      </w:r>
      <w:r w:rsidR="001C2B67" w:rsidRPr="004324AA">
        <w:fldChar w:fldCharType="end"/>
      </w:r>
      <w:r w:rsidRPr="001C283E">
        <w:t xml:space="preserve">, a birth cohort comprising 3,158 children born to a sample of 12,583 women who had been recruited prior to conception </w:t>
      </w:r>
      <w:r w:rsidR="005B54E4">
        <w:t xml:space="preserve">(at ages 20-34 years) </w:t>
      </w:r>
      <w:r w:rsidRPr="001C283E">
        <w:t>between 1998 and 2002 in Southampton, England</w:t>
      </w:r>
      <w:r w:rsidR="005B54E4">
        <w:t xml:space="preserve">, with 4 </w:t>
      </w:r>
      <w:r w:rsidR="007F29FA">
        <w:t>sweeps</w:t>
      </w:r>
      <w:r w:rsidR="005B54E4">
        <w:t xml:space="preserve"> of data collection pre-birth, 8 completed from birth onwards, and a further </w:t>
      </w:r>
      <w:r w:rsidR="007F29FA">
        <w:t xml:space="preserve">sweep </w:t>
      </w:r>
      <w:r w:rsidR="005B54E4">
        <w:t xml:space="preserve">currently </w:t>
      </w:r>
      <w:r w:rsidR="007F29FA">
        <w:t>underway</w:t>
      </w:r>
      <w:r w:rsidR="0061679C">
        <w:t xml:space="preserve"> with completion expected in 2020</w:t>
      </w:r>
      <w:r w:rsidRPr="001C283E">
        <w:t>;</w:t>
      </w:r>
    </w:p>
    <w:p w14:paraId="56248D5D" w14:textId="62D9609F" w:rsidR="00673D50" w:rsidRPr="001C283E" w:rsidRDefault="00673D50" w:rsidP="00D27BD9">
      <w:pPr>
        <w:pStyle w:val="ListParagraph"/>
        <w:numPr>
          <w:ilvl w:val="0"/>
          <w:numId w:val="5"/>
        </w:numPr>
        <w:spacing w:after="240"/>
      </w:pPr>
      <w:r w:rsidRPr="001C283E">
        <w:t xml:space="preserve">The </w:t>
      </w:r>
      <w:r w:rsidRPr="004A61DA">
        <w:rPr>
          <w:b/>
        </w:rPr>
        <w:t>Millennium Cohort Study</w:t>
      </w:r>
      <w:r w:rsidRPr="001C283E">
        <w:t xml:space="preserve"> (MCS)</w:t>
      </w:r>
      <w:r w:rsidR="001C2B67" w:rsidRPr="004324AA">
        <w:fldChar w:fldCharType="begin" w:fldLock="1"/>
      </w:r>
      <w:r w:rsidR="00591EBD">
        <w:instrText>ADDIN CSL_CITATION {"citationItems":[{"id":"ITEM-1","itemData":{"ISSN":"0300-5771","abstract":"The UK Millennium Cohort Study (MCS) is an observational, multidisciplinary cohort study that was set up to follow the lives of children born at the turn of the new century. The MCS is nationally representative and 18 552 families (18 827 children) were recruited to the cohort in the first sweep. There have currently been five main sweeps of data collection, at ages 9 months and 3, 5, 7 and 11 years. A further sweep of data collection is planned for age 14 years. A range of health-related data have been collected as well as measures concerning child development, cognitive ability and educational attainment. The data also include a wealth of information describing the social, economic and demographic characteristics of the cohort members and their families. In addition, the MCS data have been linked to administrative data resources including health records. The MCS provides a unique and valuable resource for the analysis of health outcomes and health inequalities. The MCS data are freely available to bona fide researchers under standard access conditions via the UK Data Service (http://ukdataservice.ac.uk) and the MCS website provides detailed information on the study (http://www.cls.ioe.ac.uk/mcs).","author":[{"dropping-particle":"","family":"Connelly","given":"Roxanne","non-dropping-particle":"","parse-names":false,"suffix":""},{"dropping-particle":"","family":"Platt","given":"Lucinda","non-dropping-particle":"","parse-names":false,"suffix":""}],"container-title":"International Journal of Epidemiology","id":"ITEM-1","issue":"6","issued":{"date-parts":[["2014","12","1"]]},"note":"10.1093/ije/dyu001","page":"1719-1725","title":"Cohort profile: UK Millennium Cohort Study (MCS)","type":"article-journal","volume":"43"},"uris":["http://www.mendeley.com/documents/?uuid=f427d1f9-1a36-474d-bd1b-b6f75133ea99"]},{"id":"ITEM-2","itemData":{"DOI":"10.14301/llcs.v7i4.410","ISSN":"17579597","abstract":"This paper gives an account of the origins, objectives and structure of the Millennium Cohort Study (MCS) – some 19,000 individuals born in the UK in 2000-2001 – and its use in a wide range of research on many aspects of their lives in childhood years. We highlight some of the mass of output on the first five surveys to age 11 in 2012. Topics discussed are social inequalities in child development; comparisons with other cohorts; areas not well covered by previous national cohorts: season of birth, fathers, ethnicity and childcare; parental behaviour; intergenerational links; social ecology and differences between and within UK countries. We also discuss the challenges faced by the National Evaluation of Sure Start (NESS) in drawing controls from the MCS. As the cohort marches to its seventh survey in 2018, and beyond, the potential for research across life course domains will only continue to grow.","author":[{"dropping-particle":"","family":"Joshi","given":"Heather","non-dropping-particle":"","parse-names":false,"suffix":""},{"dropping-particle":"","family":"Fitzsimons","given":"Emla","non-dropping-particle":"","parse-names":false,"suffix":""}],"container-title":"Longitudinal and Life Course Studies","id":"ITEM-2","issue":"4","issued":{"date-parts":[["2016","10","26"]]},"title":"The Millennium Cohort Study: The making of a multi-purpose resource for social science and policy","type":"article-journal","volume":"7"},"uris":["http://www.mendeley.com/documents/?uuid=945adb44-0f12-43a8-8f8d-e502e8866a08"]}],"mendeley":{"formattedCitation":"&lt;sup&gt;11,12&lt;/sup&gt;","plainTextFormattedCitation":"11,12","previouslyFormattedCitation":"&lt;sup&gt;11,12&lt;/sup&gt;"},"properties":{"noteIndex":0},"schema":"https://github.com/citation-style-language/schema/raw/master/csl-citation.json"}</w:instrText>
      </w:r>
      <w:r w:rsidR="001C2B67" w:rsidRPr="004324AA">
        <w:fldChar w:fldCharType="separate"/>
      </w:r>
      <w:r w:rsidR="00A61FF0" w:rsidRPr="00A61FF0">
        <w:rPr>
          <w:noProof/>
          <w:vertAlign w:val="superscript"/>
        </w:rPr>
        <w:t>11,12</w:t>
      </w:r>
      <w:r w:rsidR="001C2B67" w:rsidRPr="004324AA">
        <w:fldChar w:fldCharType="end"/>
      </w:r>
      <w:r w:rsidRPr="001C283E">
        <w:t>, a nationally representative birth cohort comprising 19,517 children born in the UK (Britain a</w:t>
      </w:r>
      <w:r w:rsidR="00D071F9">
        <w:t>nd Northern Ireland) during 2000</w:t>
      </w:r>
      <w:r w:rsidRPr="001C283E">
        <w:t>-200</w:t>
      </w:r>
      <w:r w:rsidR="0099513D">
        <w:t>2</w:t>
      </w:r>
      <w:r w:rsidR="00D676F9">
        <w:t xml:space="preserve"> who have been assessed across </w:t>
      </w:r>
      <w:r w:rsidR="007F29FA">
        <w:t>6</w:t>
      </w:r>
      <w:r w:rsidR="00D676F9">
        <w:t xml:space="preserve"> </w:t>
      </w:r>
      <w:r w:rsidR="007F29FA">
        <w:t xml:space="preserve">sweeps </w:t>
      </w:r>
      <w:r w:rsidR="00D676F9">
        <w:t xml:space="preserve">to date </w:t>
      </w:r>
      <w:r w:rsidR="00717176">
        <w:t xml:space="preserve">with the first </w:t>
      </w:r>
      <w:r w:rsidR="007F29FA">
        <w:t xml:space="preserve">sweep </w:t>
      </w:r>
      <w:r w:rsidR="00717176">
        <w:t>occurring at 9 months</w:t>
      </w:r>
      <w:r w:rsidR="007F29FA">
        <w:t xml:space="preserve"> and a </w:t>
      </w:r>
      <w:r w:rsidR="0061679C">
        <w:t xml:space="preserve">further </w:t>
      </w:r>
      <w:r w:rsidR="00E13FEA">
        <w:t>7</w:t>
      </w:r>
      <w:r w:rsidR="00E13FEA" w:rsidRPr="0061679C">
        <w:rPr>
          <w:vertAlign w:val="superscript"/>
        </w:rPr>
        <w:t>th</w:t>
      </w:r>
      <w:r w:rsidR="00E13FEA">
        <w:t xml:space="preserve"> </w:t>
      </w:r>
      <w:r w:rsidR="007F29FA">
        <w:t xml:space="preserve">sweep </w:t>
      </w:r>
      <w:r w:rsidR="0061679C">
        <w:t>being undertaken currently with completion expected in early 2019</w:t>
      </w:r>
      <w:r w:rsidRPr="001C283E">
        <w:t>;</w:t>
      </w:r>
    </w:p>
    <w:p w14:paraId="53500266" w14:textId="19AA20A5" w:rsidR="00673D50" w:rsidRPr="001C283E" w:rsidRDefault="00673D50" w:rsidP="00DA33CB">
      <w:pPr>
        <w:pStyle w:val="ListParagraph"/>
        <w:numPr>
          <w:ilvl w:val="0"/>
          <w:numId w:val="5"/>
        </w:numPr>
        <w:spacing w:after="240"/>
      </w:pPr>
      <w:r w:rsidRPr="004A61DA">
        <w:rPr>
          <w:b/>
        </w:rPr>
        <w:t>Understanding Society: The UK Household Longitudinal Study</w:t>
      </w:r>
      <w:r w:rsidRPr="001C283E">
        <w:t xml:space="preserve"> (UKHLS)</w:t>
      </w:r>
      <w:r w:rsidR="001C2B67" w:rsidRPr="004324AA">
        <w:fldChar w:fldCharType="begin" w:fldLock="1"/>
      </w:r>
      <w:r w:rsidR="00591EBD">
        <w:instrText>ADDIN CSL_CITATION {"citationItems":[{"id":"ITEM-1","itemData":{"abstract":"Understanding Society, the UK Household Longitudinal Study, builds on the success of the British Household Panel Survey (BHPS). This paper describes some of the key elements of the design and conduct of the study and suggests how Understanding Society is distinctive as a longitudinal survey. Its large sample size offers new opportunities to study sub-groups that may be too small for separate analysis on other studies. The new content included in Understanding Society , not least the bio-measures, provides exciting prospects for interdisciplinary research across the social and medical sciences. The Innovation Panel is already proving to be an invaluable resource for research in longitudinal survey methodology. Finally, the inclusion of the BHPS sample within Understanding Society enables this long running panel to continue into the future, opening up inter-generational research and the opportunity to look at very long-term trajectories of change. This paper also describes the four sample components: the general population sample, ethnic minority boost sample, the Innovation Panel, and participants from the BHPS. Each component has a multistage sample designs, mostly with stratification and clustering. A complex weighting strategy is being developed to support varied analyses. This overview also describes the instruments, methods of data collection, and the timetable for data collection. A summary of the survey content’s is provided. With the data becoming available the user community is beginning to benefit from this investment in longitudinal studies.","author":[{"dropping-particle":"","family":"Buck","given":"Nick","non-dropping-particle":"","parse-names":false,"suffix":""},{"dropping-particle":"","family":"McFall","given":"Stephanie","non-dropping-particle":"","parse-names":false,"suffix":""}],"container-title":"Longitudinal and Life Course Studies","id":"ITEM-1","issue":"1","issued":{"date-parts":[["2012","11","21"]]},"page":"5-17","title":"Understanding Society: Design overview","type":"article-journal","volume":"3"},"uris":["http://www.mendeley.com/documents/?uuid=9aadca3e-1b06-4abf-8c85-4e127a661581"]}],"mendeley":{"formattedCitation":"&lt;sup&gt;13&lt;/sup&gt;","plainTextFormattedCitation":"13","previouslyFormattedCitation":"&lt;sup&gt;13&lt;/sup&gt;"},"properties":{"noteIndex":0},"schema":"https://github.com/citation-style-language/schema/raw/master/csl-citation.json"}</w:instrText>
      </w:r>
      <w:r w:rsidR="001C2B67" w:rsidRPr="004324AA">
        <w:fldChar w:fldCharType="separate"/>
      </w:r>
      <w:r w:rsidR="00A61FF0" w:rsidRPr="00A61FF0">
        <w:rPr>
          <w:noProof/>
          <w:vertAlign w:val="superscript"/>
        </w:rPr>
        <w:t>13</w:t>
      </w:r>
      <w:r w:rsidR="001C2B67" w:rsidRPr="004324AA">
        <w:fldChar w:fldCharType="end"/>
      </w:r>
      <w:r w:rsidR="005936EF" w:rsidRPr="001C283E">
        <w:t xml:space="preserve">, </w:t>
      </w:r>
      <w:r w:rsidRPr="001C283E">
        <w:t xml:space="preserve">a panel survey comprising 39,802 </w:t>
      </w:r>
      <w:r w:rsidR="001E746C">
        <w:t>households across the UK whose</w:t>
      </w:r>
      <w:r w:rsidR="002A1994">
        <w:t xml:space="preserve"> members </w:t>
      </w:r>
      <w:r w:rsidR="00AA3B8F">
        <w:t xml:space="preserve">have been </w:t>
      </w:r>
      <w:r w:rsidR="002A1994">
        <w:t xml:space="preserve">interviewed </w:t>
      </w:r>
      <w:r w:rsidR="0074668B">
        <w:t>annually since</w:t>
      </w:r>
      <w:r w:rsidR="002A1994">
        <w:t xml:space="preserve"> 2009-</w:t>
      </w:r>
      <w:r w:rsidR="00467021">
        <w:t>20</w:t>
      </w:r>
      <w:r w:rsidR="002A1994">
        <w:t>10</w:t>
      </w:r>
      <w:r w:rsidR="00DA33CB">
        <w:t xml:space="preserve">, with 8 </w:t>
      </w:r>
      <w:r w:rsidR="007F29FA">
        <w:t xml:space="preserve">sweeps </w:t>
      </w:r>
      <w:r w:rsidR="00DA33CB">
        <w:t>completed to date</w:t>
      </w:r>
      <w:r w:rsidR="002A1994">
        <w:t xml:space="preserve">. </w:t>
      </w:r>
      <w:r w:rsidR="00DA33CB">
        <w:t>A</w:t>
      </w:r>
      <w:r w:rsidR="00DA33CB" w:rsidRPr="00DA33CB">
        <w:t xml:space="preserve">ll members of the household are part of the sample, </w:t>
      </w:r>
      <w:r w:rsidR="00DA33CB">
        <w:t xml:space="preserve">with parents responding on behalf of any participants aged under </w:t>
      </w:r>
      <w:r w:rsidR="00DA33CB" w:rsidRPr="00DA33CB">
        <w:t>10</w:t>
      </w:r>
      <w:r w:rsidR="00DA33CB">
        <w:t xml:space="preserve">. </w:t>
      </w:r>
      <w:r w:rsidR="002A1994">
        <w:t>This study incorporates</w:t>
      </w:r>
      <w:r w:rsidR="0074668B">
        <w:t xml:space="preserve"> 8,000 households from the British Household Panel Survey, which began in 1991</w:t>
      </w:r>
      <w:r w:rsidR="007F29FA">
        <w:t xml:space="preserve"> and comprised</w:t>
      </w:r>
      <w:r w:rsidR="00DA33CB">
        <w:t xml:space="preserve"> 18 data collection</w:t>
      </w:r>
      <w:r w:rsidR="007F29FA">
        <w:t xml:space="preserve"> sweeps</w:t>
      </w:r>
      <w:r w:rsidR="00C93200" w:rsidRPr="001C283E">
        <w:t>.</w:t>
      </w:r>
    </w:p>
    <w:bookmarkEnd w:id="2"/>
    <w:p w14:paraId="3F78E62F" w14:textId="77777777" w:rsidR="00673D50" w:rsidRDefault="00F03990" w:rsidP="00D27BD9">
      <w:pPr>
        <w:spacing w:after="240"/>
      </w:pPr>
      <w:r w:rsidRPr="001C283E">
        <w:t>T</w:t>
      </w:r>
      <w:r w:rsidR="005936EF" w:rsidRPr="001C283E">
        <w:t xml:space="preserve">he consortium </w:t>
      </w:r>
      <w:r w:rsidRPr="001C283E">
        <w:t xml:space="preserve">additionally </w:t>
      </w:r>
      <w:r w:rsidR="005936EF" w:rsidRPr="001C283E">
        <w:t xml:space="preserve">includes </w:t>
      </w:r>
      <w:r w:rsidR="00F03209" w:rsidRPr="001C283E">
        <w:t xml:space="preserve">the UK Data Service and </w:t>
      </w:r>
      <w:r w:rsidR="00673D50" w:rsidRPr="001C283E">
        <w:t xml:space="preserve">the </w:t>
      </w:r>
      <w:r w:rsidR="00F03209" w:rsidRPr="001C283E">
        <w:t>British Library</w:t>
      </w:r>
      <w:r w:rsidR="00673D50" w:rsidRPr="001C283E">
        <w:t>.</w:t>
      </w:r>
    </w:p>
    <w:p w14:paraId="1C237ED4" w14:textId="77777777" w:rsidR="001B7096" w:rsidRPr="001C283E" w:rsidRDefault="001B7096" w:rsidP="00D27BD9">
      <w:pPr>
        <w:spacing w:after="240"/>
      </w:pPr>
    </w:p>
    <w:p w14:paraId="18C5581F" w14:textId="7BE52970" w:rsidR="004A61DA" w:rsidRDefault="00EB3DAB" w:rsidP="00D365DB">
      <w:pPr>
        <w:keepNext/>
        <w:spacing w:after="240"/>
      </w:pPr>
      <w:r w:rsidRPr="001C283E">
        <w:t xml:space="preserve">CLOSER has </w:t>
      </w:r>
      <w:r w:rsidR="00AE1B7B" w:rsidRPr="001C283E">
        <w:t xml:space="preserve">five </w:t>
      </w:r>
      <w:r w:rsidRPr="001C283E">
        <w:t>areas of work:</w:t>
      </w:r>
    </w:p>
    <w:p w14:paraId="65D24D37" w14:textId="05AF5926" w:rsidR="004A61DA" w:rsidRDefault="004A61DA" w:rsidP="004A61DA">
      <w:pPr>
        <w:pStyle w:val="ListParagraph"/>
        <w:numPr>
          <w:ilvl w:val="0"/>
          <w:numId w:val="15"/>
        </w:numPr>
        <w:spacing w:after="240"/>
      </w:pPr>
      <w:r w:rsidRPr="004A61DA">
        <w:rPr>
          <w:b/>
        </w:rPr>
        <w:t>Data discoverability</w:t>
      </w:r>
      <w:r>
        <w:t xml:space="preserve"> </w:t>
      </w:r>
      <w:r w:rsidR="00886905">
        <w:t>–</w:t>
      </w:r>
      <w:r>
        <w:t xml:space="preserve"> </w:t>
      </w:r>
      <w:r w:rsidR="00886905">
        <w:t xml:space="preserve">Given </w:t>
      </w:r>
      <w:r>
        <w:t xml:space="preserve">the breadth of social and biomedical </w:t>
      </w:r>
      <w:r w:rsidR="00886905">
        <w:t xml:space="preserve">data that has been collected over the past </w:t>
      </w:r>
      <w:r w:rsidR="00953C72">
        <w:t xml:space="preserve">75 years </w:t>
      </w:r>
      <w:r w:rsidR="00886905">
        <w:t xml:space="preserve">by UK longitudinal studies, </w:t>
      </w:r>
      <w:r w:rsidRPr="001C283E">
        <w:t xml:space="preserve">finding specific variables and </w:t>
      </w:r>
      <w:r>
        <w:t xml:space="preserve">information about their mode of collection can be </w:t>
      </w:r>
      <w:r w:rsidRPr="001C283E">
        <w:t>challenging</w:t>
      </w:r>
      <w:r w:rsidR="00953C72">
        <w:t xml:space="preserve"> due to the volume of data involved and changing data collection practices</w:t>
      </w:r>
      <w:r w:rsidRPr="001C283E">
        <w:t xml:space="preserve">. CLOSER </w:t>
      </w:r>
      <w:r w:rsidR="003B1738">
        <w:t xml:space="preserve">works </w:t>
      </w:r>
      <w:r w:rsidRPr="001C283E">
        <w:t xml:space="preserve">to ensure such </w:t>
      </w:r>
      <w:r w:rsidR="003B1738">
        <w:t xml:space="preserve">information </w:t>
      </w:r>
      <w:r>
        <w:t xml:space="preserve">is </w:t>
      </w:r>
      <w:r w:rsidRPr="001C283E">
        <w:t>more easily indexed and searchable across studies as well as across time.</w:t>
      </w:r>
    </w:p>
    <w:p w14:paraId="4FE91A69" w14:textId="1868DC25" w:rsidR="004A61DA" w:rsidRDefault="004A61DA" w:rsidP="008E3D2B">
      <w:pPr>
        <w:pStyle w:val="ListParagraph"/>
        <w:numPr>
          <w:ilvl w:val="0"/>
          <w:numId w:val="15"/>
        </w:numPr>
        <w:spacing w:after="240"/>
      </w:pPr>
      <w:r w:rsidRPr="008E3D2B">
        <w:rPr>
          <w:b/>
        </w:rPr>
        <w:t>Data harmonisation</w:t>
      </w:r>
      <w:r w:rsidR="008E3D2B">
        <w:t xml:space="preserve"> - </w:t>
      </w:r>
      <w:r w:rsidR="008E3D2B" w:rsidRPr="008E3D2B">
        <w:t xml:space="preserve">CLOSER </w:t>
      </w:r>
      <w:r w:rsidR="0002136B">
        <w:t xml:space="preserve">works </w:t>
      </w:r>
      <w:r w:rsidR="008E3D2B" w:rsidRPr="008E3D2B">
        <w:t xml:space="preserve">to </w:t>
      </w:r>
      <w:r w:rsidR="00121374">
        <w:t>extend</w:t>
      </w:r>
      <w:r w:rsidR="0002136B">
        <w:t xml:space="preserve"> the comparability and compatibility of data across</w:t>
      </w:r>
      <w:r w:rsidR="003A131E">
        <w:t xml:space="preserve"> longitudinal</w:t>
      </w:r>
      <w:r w:rsidR="0002136B">
        <w:t xml:space="preserve"> studies </w:t>
      </w:r>
      <w:r w:rsidR="008E3D2B" w:rsidRPr="008E3D2B">
        <w:t xml:space="preserve">through </w:t>
      </w:r>
      <w:r w:rsidR="0002136B">
        <w:t>a series of work packages that</w:t>
      </w:r>
      <w:r w:rsidR="00757370">
        <w:t>,</w:t>
      </w:r>
      <w:r w:rsidR="0002136B">
        <w:t xml:space="preserve"> in addition to addressing specific scientific questions, are tasked with </w:t>
      </w:r>
      <w:r w:rsidR="008E3D2B" w:rsidRPr="008E3D2B">
        <w:t>systematic</w:t>
      </w:r>
      <w:r w:rsidR="0002136B">
        <w:t>ally</w:t>
      </w:r>
      <w:r w:rsidR="008E3D2B" w:rsidRPr="008E3D2B">
        <w:t xml:space="preserve"> </w:t>
      </w:r>
      <w:r w:rsidR="0002136B">
        <w:t xml:space="preserve">identifying </w:t>
      </w:r>
      <w:r w:rsidR="003A131E">
        <w:t xml:space="preserve">equivalent measurements </w:t>
      </w:r>
      <w:r w:rsidR="0002136B">
        <w:t>across studies.</w:t>
      </w:r>
      <w:r w:rsidR="008E3D2B" w:rsidRPr="008E3D2B">
        <w:t xml:space="preserve"> </w:t>
      </w:r>
      <w:r w:rsidR="003A131E">
        <w:t xml:space="preserve">The work culminates in the </w:t>
      </w:r>
      <w:r w:rsidR="008E3D2B" w:rsidRPr="008E3D2B">
        <w:t xml:space="preserve">creation </w:t>
      </w:r>
      <w:r w:rsidR="0008620E">
        <w:t xml:space="preserve">and dissemination </w:t>
      </w:r>
      <w:r w:rsidR="008E3D2B" w:rsidRPr="008E3D2B">
        <w:t>of harmonised datasets for continued research usage.</w:t>
      </w:r>
    </w:p>
    <w:p w14:paraId="3CA70968" w14:textId="47F75C5E" w:rsidR="004A61DA" w:rsidRDefault="008E3D2B" w:rsidP="008E3D2B">
      <w:pPr>
        <w:pStyle w:val="ListParagraph"/>
        <w:numPr>
          <w:ilvl w:val="0"/>
          <w:numId w:val="15"/>
        </w:numPr>
        <w:spacing w:after="240"/>
      </w:pPr>
      <w:r w:rsidRPr="008E3D2B">
        <w:rPr>
          <w:b/>
        </w:rPr>
        <w:t>D</w:t>
      </w:r>
      <w:r w:rsidR="004A61DA" w:rsidRPr="008E3D2B">
        <w:rPr>
          <w:b/>
        </w:rPr>
        <w:t>ata linkage</w:t>
      </w:r>
      <w:r>
        <w:t xml:space="preserve"> - </w:t>
      </w:r>
      <w:r w:rsidR="003A131E">
        <w:t>CLOSER</w:t>
      </w:r>
      <w:r w:rsidRPr="001C283E">
        <w:t xml:space="preserve"> aims to </w:t>
      </w:r>
      <w:r w:rsidR="003A131E">
        <w:t xml:space="preserve">further </w:t>
      </w:r>
      <w:r w:rsidR="008519BA">
        <w:t xml:space="preserve">extend </w:t>
      </w:r>
      <w:r w:rsidRPr="001C283E">
        <w:t xml:space="preserve">the quality and </w:t>
      </w:r>
      <w:r>
        <w:t>scope</w:t>
      </w:r>
      <w:r w:rsidRPr="001C283E">
        <w:t xml:space="preserve"> of longitudinal study data</w:t>
      </w:r>
      <w:r w:rsidR="008519BA">
        <w:t xml:space="preserve"> </w:t>
      </w:r>
      <w:r>
        <w:t>by</w:t>
      </w:r>
      <w:r w:rsidR="00664E50">
        <w:t xml:space="preserve"> </w:t>
      </w:r>
      <w:r w:rsidR="008519BA">
        <w:t>developing resources to facilitate the</w:t>
      </w:r>
      <w:r w:rsidR="00664E50">
        <w:t xml:space="preserve"> linkage </w:t>
      </w:r>
      <w:r w:rsidR="008519BA">
        <w:t xml:space="preserve">of </w:t>
      </w:r>
      <w:r w:rsidRPr="001C283E">
        <w:t>administrative datasets</w:t>
      </w:r>
      <w:r w:rsidR="008519BA">
        <w:t xml:space="preserve"> to these study data</w:t>
      </w:r>
      <w:r w:rsidRPr="001C283E">
        <w:t>.</w:t>
      </w:r>
    </w:p>
    <w:p w14:paraId="6F20BDC2" w14:textId="5FF1AF49" w:rsidR="004A61DA" w:rsidRDefault="001E746C" w:rsidP="00776B3C">
      <w:pPr>
        <w:pStyle w:val="ListParagraph"/>
        <w:numPr>
          <w:ilvl w:val="0"/>
          <w:numId w:val="15"/>
        </w:numPr>
        <w:spacing w:after="240"/>
      </w:pPr>
      <w:r>
        <w:rPr>
          <w:b/>
        </w:rPr>
        <w:t>I</w:t>
      </w:r>
      <w:r w:rsidR="004A61DA" w:rsidRPr="008E3D2B">
        <w:rPr>
          <w:b/>
        </w:rPr>
        <w:t>mpact</w:t>
      </w:r>
      <w:r w:rsidR="008E3D2B">
        <w:t xml:space="preserve"> - </w:t>
      </w:r>
      <w:r w:rsidR="00776B3C" w:rsidRPr="00776B3C">
        <w:t xml:space="preserve">CLOSER undertakes a range of activities to improve the visibility of longitudinal data and evidence among </w:t>
      </w:r>
      <w:r w:rsidR="00B87B83" w:rsidRPr="00776B3C">
        <w:t>practitioners</w:t>
      </w:r>
      <w:r w:rsidR="00B87B83">
        <w:t xml:space="preserve">, </w:t>
      </w:r>
      <w:r w:rsidR="0074668B">
        <w:t xml:space="preserve">policy makers, </w:t>
      </w:r>
      <w:r w:rsidR="00776B3C" w:rsidRPr="00776B3C">
        <w:t>parliamentarians</w:t>
      </w:r>
      <w:r w:rsidR="00B87B83">
        <w:t>,</w:t>
      </w:r>
      <w:r w:rsidR="00776B3C" w:rsidRPr="00776B3C">
        <w:t xml:space="preserve"> and </w:t>
      </w:r>
      <w:r w:rsidR="00202E0A">
        <w:t>third sector organisations</w:t>
      </w:r>
      <w:r w:rsidR="00776B3C" w:rsidRPr="00776B3C">
        <w:t>.</w:t>
      </w:r>
      <w:r w:rsidR="002A1994" w:rsidRPr="002A1994">
        <w:t xml:space="preserve"> </w:t>
      </w:r>
      <w:r w:rsidR="002A1994">
        <w:t xml:space="preserve">CLOSER </w:t>
      </w:r>
      <w:r>
        <w:t xml:space="preserve">also </w:t>
      </w:r>
      <w:r w:rsidR="002A1994">
        <w:t xml:space="preserve">draws upon the strength of its members to </w:t>
      </w:r>
      <w:r w:rsidR="00B87B83">
        <w:t xml:space="preserve">advocate </w:t>
      </w:r>
      <w:r w:rsidR="002A1994">
        <w:t xml:space="preserve">for a more conducive landscape for longitudinal research. These efforts particularly aim </w:t>
      </w:r>
      <w:r w:rsidR="00B87B83">
        <w:t xml:space="preserve">to </w:t>
      </w:r>
      <w:r w:rsidR="002A1994">
        <w:t xml:space="preserve">help drive the development of legislation that facilitates research, or </w:t>
      </w:r>
      <w:r w:rsidR="008E1984">
        <w:t xml:space="preserve">involve </w:t>
      </w:r>
      <w:r w:rsidR="002A1994">
        <w:t xml:space="preserve">working with regulators and key stakeholders to help promote </w:t>
      </w:r>
      <w:r w:rsidR="00B87B83">
        <w:t>understanding</w:t>
      </w:r>
      <w:r w:rsidR="002A1994">
        <w:t xml:space="preserve"> and </w:t>
      </w:r>
      <w:r w:rsidR="00B87B83">
        <w:t xml:space="preserve">effective implementation of </w:t>
      </w:r>
      <w:r w:rsidR="002A1994">
        <w:t>existing legislation.</w:t>
      </w:r>
    </w:p>
    <w:p w14:paraId="270B3760" w14:textId="0DA03AAA" w:rsidR="008568E9" w:rsidRDefault="008E3D2B" w:rsidP="002A1994">
      <w:pPr>
        <w:pStyle w:val="ListParagraph"/>
        <w:numPr>
          <w:ilvl w:val="0"/>
          <w:numId w:val="15"/>
        </w:numPr>
        <w:spacing w:after="240"/>
      </w:pPr>
      <w:r w:rsidRPr="008E3D2B">
        <w:rPr>
          <w:b/>
        </w:rPr>
        <w:t>T</w:t>
      </w:r>
      <w:r w:rsidR="00EB3DAB" w:rsidRPr="008E3D2B">
        <w:rPr>
          <w:b/>
        </w:rPr>
        <w:t xml:space="preserve">raining and </w:t>
      </w:r>
      <w:r w:rsidR="008C3178">
        <w:rPr>
          <w:b/>
        </w:rPr>
        <w:t>knowledge exchange</w:t>
      </w:r>
      <w:r>
        <w:t xml:space="preserve"> -</w:t>
      </w:r>
      <w:r w:rsidR="00776B3C">
        <w:t xml:space="preserve"> </w:t>
      </w:r>
      <w:r w:rsidR="00776B3C" w:rsidRPr="00776B3C">
        <w:t xml:space="preserve">CLOSER draws upon its experience and that of its study partners to develop resources </w:t>
      </w:r>
      <w:r w:rsidR="008C3178">
        <w:t xml:space="preserve">focused on </w:t>
      </w:r>
      <w:r w:rsidR="00776B3C" w:rsidRPr="00776B3C">
        <w:t>building professional and research capacity and skills in the management, conduct and analysis of longitudinal studies.</w:t>
      </w:r>
    </w:p>
    <w:p w14:paraId="74583371" w14:textId="64D3EC72" w:rsidR="00EB3DAB" w:rsidRPr="001C283E" w:rsidRDefault="00797455" w:rsidP="004A61DA">
      <w:pPr>
        <w:spacing w:after="240"/>
        <w:ind w:left="360"/>
      </w:pPr>
      <w:bookmarkStart w:id="3" w:name="_Hlk529567094"/>
      <w:r w:rsidRPr="001C283E">
        <w:t>Underpinning</w:t>
      </w:r>
      <w:r w:rsidR="00A15AA6" w:rsidRPr="001C283E">
        <w:t xml:space="preserve"> these five branches of work</w:t>
      </w:r>
      <w:r w:rsidRPr="001C283E">
        <w:t xml:space="preserve"> is</w:t>
      </w:r>
      <w:r w:rsidR="00A15AA6" w:rsidRPr="001C283E">
        <w:t xml:space="preserve"> CLOSER</w:t>
      </w:r>
      <w:r w:rsidRPr="001C283E">
        <w:t>’s</w:t>
      </w:r>
      <w:r w:rsidR="00A15AA6" w:rsidRPr="001C283E">
        <w:t xml:space="preserve"> </w:t>
      </w:r>
      <w:r w:rsidRPr="001C283E">
        <w:t>intention</w:t>
      </w:r>
      <w:r w:rsidR="00A15AA6" w:rsidRPr="001C283E">
        <w:t xml:space="preserve"> to encourage </w:t>
      </w:r>
      <w:r w:rsidR="009837B5">
        <w:t>best</w:t>
      </w:r>
      <w:r w:rsidR="00A15AA6" w:rsidRPr="001C283E">
        <w:t xml:space="preserve"> practice in longitudinal research</w:t>
      </w:r>
      <w:r w:rsidR="00621B36">
        <w:t xml:space="preserve"> through </w:t>
      </w:r>
      <w:r w:rsidR="00547566">
        <w:t xml:space="preserve">the development and dissemination of guidance on </w:t>
      </w:r>
      <w:r w:rsidR="00FC4EC1">
        <w:t>effective</w:t>
      </w:r>
      <w:r w:rsidR="00547566">
        <w:t xml:space="preserve"> </w:t>
      </w:r>
      <w:r w:rsidR="008B638D">
        <w:t xml:space="preserve">cross-study research </w:t>
      </w:r>
      <w:r w:rsidR="00FC4EC1">
        <w:t xml:space="preserve">strategies </w:t>
      </w:r>
      <w:r w:rsidR="008B638D">
        <w:t>(</w:t>
      </w:r>
      <w:r w:rsidR="00FC4EC1">
        <w:t xml:space="preserve">including </w:t>
      </w:r>
      <w:r w:rsidR="008B638D">
        <w:t>through harmonisation and linkage work packages</w:t>
      </w:r>
      <w:bookmarkStart w:id="4" w:name="_Hlk530683604"/>
      <w:r w:rsidR="00D47EAC">
        <w:t>, more details of which are provided below</w:t>
      </w:r>
      <w:r w:rsidR="008B638D">
        <w:t>)</w:t>
      </w:r>
      <w:bookmarkEnd w:id="4"/>
      <w:r w:rsidR="00547566">
        <w:t xml:space="preserve">, </w:t>
      </w:r>
      <w:r w:rsidR="008B638D">
        <w:t xml:space="preserve">the fostering of interdisciplinary research work and networking activities, </w:t>
      </w:r>
      <w:r w:rsidR="00547566">
        <w:t xml:space="preserve">and the provision of diverse resources and opportunities for </w:t>
      </w:r>
      <w:r w:rsidR="008B638D">
        <w:t xml:space="preserve">professional development and </w:t>
      </w:r>
      <w:r w:rsidR="00547566">
        <w:t>capacity building.</w:t>
      </w:r>
      <w:r w:rsidR="001825B9">
        <w:t xml:space="preserve"> </w:t>
      </w:r>
      <w:r w:rsidR="00BC1B28">
        <w:t xml:space="preserve">CLOSER’s five </w:t>
      </w:r>
      <w:r w:rsidR="001825B9">
        <w:t xml:space="preserve">areas of work align with the research priorities identified in the </w:t>
      </w:r>
      <w:r w:rsidR="00C708F3">
        <w:t>Economic and Social Research Council’s (</w:t>
      </w:r>
      <w:r w:rsidR="001825B9">
        <w:t>ESRC</w:t>
      </w:r>
      <w:r w:rsidR="00C708F3">
        <w:t>)</w:t>
      </w:r>
      <w:r w:rsidR="001825B9">
        <w:t xml:space="preserve"> recent </w:t>
      </w:r>
      <w:r w:rsidR="00C708F3">
        <w:t>Longitudinal Studies Strategic R</w:t>
      </w:r>
      <w:r w:rsidR="001825B9">
        <w:t>eview</w:t>
      </w:r>
      <w:r w:rsidR="001825B9">
        <w:fldChar w:fldCharType="begin" w:fldLock="1"/>
      </w:r>
      <w:r w:rsidR="00591EBD">
        <w:instrText>ADDIN CSL_CITATION {"citationItems":[{"id":"ITEM-1","itemData":{"author":[{"dropping-particle":"","family":"Davis-Kean","given":"Pamela","non-dropping-particle":"","parse-names":false,"suffix":""},{"dropping-particle":"","family":"Chambers","given":"Raymond L","non-dropping-particle":"","parse-names":false,"suffix":""},{"dropping-particle":"","family":"Davidson","given":"Leslie L","non-dropping-particle":"","parse-names":false,"suffix":""},{"dropping-particle":"","family":"Kleinert","given":"Corinna","non-dropping-particle":"","parse-names":false,"suffix":""},{"dropping-particle":"","family":"Ren","given":"Qiang","non-dropping-particle":"","parse-names":false,"suffix":""},{"dropping-particle":"","family":"Tang","given":"Sandra","non-dropping-particle":"","parse-names":false,"suffix":""}],"id":"ITEM-1","issued":{"date-parts":[["2018"]]},"publisher-place":"London","title":"Longitudinal Studies Strategic Review: 2017 Report to the Economic and Social Research Council","type":"report"},"uris":["http://www.mendeley.com/documents/?uuid=f2a93b26-5c78-4290-9f17-5528ac2884ae"]}],"mendeley":{"formattedCitation":"&lt;sup&gt;14&lt;/sup&gt;","plainTextFormattedCitation":"14","previouslyFormattedCitation":"&lt;sup&gt;14&lt;/sup&gt;"},"properties":{"noteIndex":0},"schema":"https://github.com/citation-style-language/schema/raw/master/csl-citation.json"}</w:instrText>
      </w:r>
      <w:r w:rsidR="001825B9">
        <w:fldChar w:fldCharType="separate"/>
      </w:r>
      <w:r w:rsidR="00A61FF0" w:rsidRPr="00A61FF0">
        <w:rPr>
          <w:noProof/>
          <w:vertAlign w:val="superscript"/>
        </w:rPr>
        <w:t>14</w:t>
      </w:r>
      <w:r w:rsidR="001825B9">
        <w:fldChar w:fldCharType="end"/>
      </w:r>
      <w:r w:rsidR="001825B9">
        <w:t>, which identifies CLOSER as an important resource for longitudinal studies in the UK.</w:t>
      </w:r>
    </w:p>
    <w:bookmarkEnd w:id="3"/>
    <w:p w14:paraId="76BA6085" w14:textId="77777777" w:rsidR="000365ED" w:rsidRPr="001C283E" w:rsidRDefault="000365ED" w:rsidP="00AB4B44"/>
    <w:p w14:paraId="6715D2DD" w14:textId="77777777" w:rsidR="00673D50" w:rsidRPr="001C283E" w:rsidRDefault="00673D50" w:rsidP="00853466">
      <w:pPr>
        <w:pStyle w:val="Heading1"/>
      </w:pPr>
      <w:r w:rsidRPr="001C283E">
        <w:t>Data Collected</w:t>
      </w:r>
    </w:p>
    <w:p w14:paraId="4B474E90" w14:textId="77777777" w:rsidR="00354DDD" w:rsidRPr="001C283E" w:rsidRDefault="00223184" w:rsidP="00AE1B7B">
      <w:pPr>
        <w:pStyle w:val="Heading2"/>
      </w:pPr>
      <w:r>
        <w:t>Measures</w:t>
      </w:r>
      <w:r w:rsidRPr="001C283E">
        <w:t xml:space="preserve"> </w:t>
      </w:r>
      <w:r w:rsidR="00431893" w:rsidRPr="001C283E">
        <w:t xml:space="preserve">and </w:t>
      </w:r>
      <w:r w:rsidR="00B04660">
        <w:t>Data Enhancements</w:t>
      </w:r>
    </w:p>
    <w:p w14:paraId="099DC1D5" w14:textId="28469329" w:rsidR="009D48C6" w:rsidRPr="001C283E" w:rsidRDefault="008A0720">
      <w:r w:rsidRPr="001C283E">
        <w:t xml:space="preserve">The data </w:t>
      </w:r>
      <w:r w:rsidR="00776B3C">
        <w:t xml:space="preserve">which </w:t>
      </w:r>
      <w:r w:rsidRPr="001C283E">
        <w:t xml:space="preserve">form the basis of CLOSER’s work </w:t>
      </w:r>
      <w:r w:rsidR="00354DDD" w:rsidRPr="001C283E">
        <w:t xml:space="preserve">come from </w:t>
      </w:r>
      <w:r w:rsidR="009D0846">
        <w:t xml:space="preserve">over 80,000 participants in </w:t>
      </w:r>
      <w:r w:rsidR="00F401FC">
        <w:t xml:space="preserve">seven </w:t>
      </w:r>
      <w:r w:rsidR="00454242">
        <w:t xml:space="preserve">UK </w:t>
      </w:r>
      <w:r w:rsidR="00354DDD" w:rsidRPr="001C283E">
        <w:t xml:space="preserve">birth cohort </w:t>
      </w:r>
      <w:r w:rsidR="00776B3C">
        <w:t>studies</w:t>
      </w:r>
      <w:r w:rsidR="00F401FC">
        <w:t xml:space="preserve"> </w:t>
      </w:r>
      <w:r w:rsidR="00E13948">
        <w:t xml:space="preserve">and </w:t>
      </w:r>
      <w:r w:rsidR="00573995">
        <w:t xml:space="preserve">approximately 100,000 members of </w:t>
      </w:r>
      <w:r w:rsidR="009D0846">
        <w:t xml:space="preserve">almost 40,000 </w:t>
      </w:r>
      <w:r w:rsidRPr="001C283E">
        <w:t>household</w:t>
      </w:r>
      <w:r w:rsidR="009D0846">
        <w:t>s partaking in a UK</w:t>
      </w:r>
      <w:r w:rsidRPr="001C283E">
        <w:t xml:space="preserve"> panel </w:t>
      </w:r>
      <w:r w:rsidR="00F401FC">
        <w:t>survey</w:t>
      </w:r>
      <w:r w:rsidR="00354DDD" w:rsidRPr="001C283E">
        <w:t>.</w:t>
      </w:r>
      <w:r w:rsidR="00431893" w:rsidRPr="001C283E">
        <w:t xml:space="preserve"> These </w:t>
      </w:r>
      <w:r w:rsidRPr="001C283E">
        <w:t>data</w:t>
      </w:r>
      <w:r w:rsidR="00C35689">
        <w:t xml:space="preserve"> </w:t>
      </w:r>
      <w:r w:rsidR="00431893" w:rsidRPr="001C283E">
        <w:t xml:space="preserve">have been collected </w:t>
      </w:r>
      <w:r w:rsidR="00D900E2">
        <w:t xml:space="preserve">using </w:t>
      </w:r>
      <w:r w:rsidR="00D900E2" w:rsidRPr="001C283E">
        <w:t>self-report questionnaires, interviews, and clinical assessments</w:t>
      </w:r>
      <w:r w:rsidR="00D900E2">
        <w:t>, capturing participants’ characteristics throughout their life</w:t>
      </w:r>
      <w:r w:rsidR="00E34579">
        <w:t>-</w:t>
      </w:r>
      <w:r w:rsidR="00D900E2">
        <w:t>course and across multiple generations</w:t>
      </w:r>
      <w:r w:rsidR="00223184">
        <w:t xml:space="preserve">. </w:t>
      </w:r>
      <w:r w:rsidRPr="001C283E">
        <w:t xml:space="preserve">These data </w:t>
      </w:r>
      <w:r w:rsidR="009837B5">
        <w:t xml:space="preserve">and </w:t>
      </w:r>
      <w:r w:rsidR="00F56DEF">
        <w:t xml:space="preserve">detailed </w:t>
      </w:r>
      <w:r w:rsidR="009837B5">
        <w:t xml:space="preserve">information on their collection </w:t>
      </w:r>
      <w:r w:rsidR="00454242">
        <w:t xml:space="preserve">have been </w:t>
      </w:r>
      <w:r w:rsidRPr="001C283E">
        <w:t xml:space="preserve">sourced by CLOSER and used in the </w:t>
      </w:r>
      <w:r w:rsidR="00681418">
        <w:t>development</w:t>
      </w:r>
      <w:r w:rsidRPr="001C283E">
        <w:t xml:space="preserve"> of new and enhanced resources</w:t>
      </w:r>
      <w:r w:rsidR="00C45011">
        <w:t>, as outlined</w:t>
      </w:r>
      <w:r w:rsidR="00E13179">
        <w:t xml:space="preserve"> </w:t>
      </w:r>
      <w:r w:rsidR="00E42886" w:rsidRPr="001C283E">
        <w:t xml:space="preserve">in Figure </w:t>
      </w:r>
      <w:r w:rsidR="00E13179">
        <w:t>1</w:t>
      </w:r>
      <w:r w:rsidR="00C45011">
        <w:t xml:space="preserve"> and discussed in the following sections</w:t>
      </w:r>
      <w:r w:rsidR="00863C5B">
        <w:t>.</w:t>
      </w:r>
    </w:p>
    <w:p w14:paraId="0421C1DA" w14:textId="77777777" w:rsidR="009D48C6" w:rsidRPr="001C283E" w:rsidRDefault="009D48C6" w:rsidP="009D48C6"/>
    <w:p w14:paraId="6167D213" w14:textId="5CE1C305" w:rsidR="00354DDD" w:rsidRPr="001C283E" w:rsidRDefault="00901537" w:rsidP="00FA49AA">
      <w:r>
        <w:rPr>
          <w:noProof/>
        </w:rPr>
        <w:t>[Please insert Figure 1 here]</w:t>
      </w:r>
    </w:p>
    <w:p w14:paraId="66F30F19" w14:textId="77777777" w:rsidR="00520E66" w:rsidRPr="001C283E" w:rsidRDefault="00520E66" w:rsidP="00A117F3"/>
    <w:p w14:paraId="15971703" w14:textId="5CB8624C" w:rsidR="00431893" w:rsidRPr="001C283E" w:rsidRDefault="008A0720" w:rsidP="00AE1B7B">
      <w:pPr>
        <w:pStyle w:val="Heading4"/>
      </w:pPr>
      <w:r w:rsidRPr="001C283E">
        <w:t>Metadata C</w:t>
      </w:r>
      <w:r w:rsidR="00431893" w:rsidRPr="001C283E">
        <w:t>ollation</w:t>
      </w:r>
      <w:r w:rsidR="008C77D6">
        <w:t xml:space="preserve"> and Enhancement</w:t>
      </w:r>
    </w:p>
    <w:p w14:paraId="605A9B44" w14:textId="1CD01083" w:rsidR="00851E52" w:rsidRDefault="00E13179" w:rsidP="00192B43">
      <w:r>
        <w:t>Metadata, which has widely been defined as ‘data about data’</w:t>
      </w:r>
      <w:r w:rsidR="001C2B67">
        <w:fldChar w:fldCharType="begin" w:fldLock="1"/>
      </w:r>
      <w:r w:rsidR="00591EBD">
        <w:instrText>ADDIN CSL_CITATION {"citationItems":[{"id":"ITEM-1","itemData":{"author":[{"dropping-particle":"","family":"Kitchin","given":"Rob","non-dropping-particle":"","parse-names":false,"suffix":""}],"id":"ITEM-1","issued":{"date-parts":[["2014"]]},"publisher":"SAGE Publications","publisher-place":"London, UK","title":"The Data Revolution: Big Data, Open Data, Data Infrastructures and Their Consequences","type":"book"},"uris":["http://www.mendeley.com/documents/?uuid=3cad411a-7ada-4484-b13b-bbbd55d413c5"]}],"mendeley":{"formattedCitation":"&lt;sup&gt;15&lt;/sup&gt;","plainTextFormattedCitation":"15","previouslyFormattedCitation":"&lt;sup&gt;15&lt;/sup&gt;"},"properties":{"noteIndex":0},"schema":"https://github.com/citation-style-language/schema/raw/master/csl-citation.json"}</w:instrText>
      </w:r>
      <w:r w:rsidR="001C2B67">
        <w:fldChar w:fldCharType="separate"/>
      </w:r>
      <w:r w:rsidR="00A61FF0" w:rsidRPr="00A61FF0">
        <w:rPr>
          <w:noProof/>
          <w:vertAlign w:val="superscript"/>
        </w:rPr>
        <w:t>15</w:t>
      </w:r>
      <w:r w:rsidR="001C2B67">
        <w:fldChar w:fldCharType="end"/>
      </w:r>
      <w:r>
        <w:t xml:space="preserve">, </w:t>
      </w:r>
      <w:r w:rsidR="005F4256">
        <w:t xml:space="preserve">is any information that describes the provenance, format, and meaning of data. </w:t>
      </w:r>
      <w:r w:rsidR="00913EDA">
        <w:t xml:space="preserve">The completeness and accuracy of metadata documentation is </w:t>
      </w:r>
      <w:r w:rsidR="005F4256">
        <w:t xml:space="preserve">key in </w:t>
      </w:r>
      <w:r w:rsidR="003D33C8">
        <w:t>encouraging data reuse and study reproducibility</w:t>
      </w:r>
      <w:r w:rsidR="001C2B67">
        <w:fldChar w:fldCharType="begin" w:fldLock="1"/>
      </w:r>
      <w:r w:rsidR="00591EBD">
        <w:instrText>ADDIN CSL_CITATION {"citationItems":[{"id":"ITEM-1","itemData":{"DOI":"https://doi.org/10.1016/j.future.2011.08.004","ISSN":"0167-739X","abstract":"Scientific data represents a significant portion of the linked open data cloud and scientists stand to benefit from the data fusion capability this will afford. Publishing linked data into the cloud, however, does not ensure the required reusability. Publishing has requirements of provenance, quality, credit, attribution and methods to provide the reproducibility that enables validation of results. In this paper we make the case for a scientific data publication model on top of linked data and introduce the notion of Research Objects as first class citizens for sharing and publishing.","author":[{"dropping-particle":"","family":"Bechhofer","given":"Sean","non-dropping-particle":"","parse-names":false,"suffix":""},{"dropping-particle":"","family":"Buchan","given":"Iain","non-dropping-particle":"","parse-names":false,"suffix":""},{"dropping-particle":"","family":"Roure","given":"David","non-dropping-particle":"De","parse-names":false,"suffix":""},{"dropping-particle":"","family":"Missier","given":"Paolo","non-dropping-particle":"","parse-names":false,"suffix":""},{"dropping-particle":"","family":"Ainsworth","given":"John","non-dropping-particle":"","parse-names":false,"suffix":""},{"dropping-particle":"","family":"Bhagat","given":"Jiten","non-dropping-particle":"","parse-names":false,"suffix":""},{"dropping-particle":"","family":"Couch","given":"Philip","non-dropping-particle":"","parse-names":false,"suffix":""},{"dropping-particle":"","family":"Cruickshank","given":"Don","non-dropping-particle":"","parse-names":false,"suffix":""},{"dropping-particle":"","family":"Delderfield","given":"Mark","non-dropping-particle":"","parse-names":false,"suffix":""},{"dropping-particle":"","family":"Dunlop","given":"Ian","non-dropping-particle":"","parse-names":false,"suffix":""},{"dropping-particle":"","family":"Gamble","given":"Matthew","non-dropping-particle":"","parse-names":false,"suffix":""},{"dropping-particle":"","family":"Michaelides","given":"Danius","non-dropping-particle":"","parse-names":false,"suffix":""},{"dropping-particle":"","family":"Owen","given":"Stuart","non-dropping-particle":"","parse-names":false,"suffix":""},{"dropping-particle":"","family":"Newman","given":"David","non-dropping-particle":"","parse-names":false,"suffix":""},{"dropping-particle":"","family":"Sufi","given":"Shoaib","non-dropping-particle":"","parse-names":false,"suffix":""},{"dropping-particle":"","family":"Goble","given":"Carole","non-dropping-particle":"","parse-names":false,"suffix":""}],"container-title":"Future Generation Computer Systems","id":"ITEM-1","issue":"2","issued":{"date-parts":[["2013"]]},"page":"599-611","title":"Why linked data is not enough for scientists","type":"article-journal","volume":"29"},"uris":["http://www.mendeley.com/documents/?uuid=3ef7d9a1-0668-4909-bdcb-78324926acd5"]}],"mendeley":{"formattedCitation":"&lt;sup&gt;16&lt;/sup&gt;","plainTextFormattedCitation":"16","previouslyFormattedCitation":"&lt;sup&gt;16&lt;/sup&gt;"},"properties":{"noteIndex":0},"schema":"https://github.com/citation-style-language/schema/raw/master/csl-citation.json"}</w:instrText>
      </w:r>
      <w:r w:rsidR="001C2B67">
        <w:fldChar w:fldCharType="separate"/>
      </w:r>
      <w:r w:rsidR="00A61FF0" w:rsidRPr="00A61FF0">
        <w:rPr>
          <w:noProof/>
          <w:vertAlign w:val="superscript"/>
        </w:rPr>
        <w:t>16</w:t>
      </w:r>
      <w:r w:rsidR="001C2B67">
        <w:fldChar w:fldCharType="end"/>
      </w:r>
      <w:r w:rsidR="000C3D87">
        <w:t xml:space="preserve"> and the interpretation of research findings</w:t>
      </w:r>
      <w:r w:rsidR="005F4256">
        <w:t>.</w:t>
      </w:r>
      <w:r w:rsidR="00984296">
        <w:t xml:space="preserve"> </w:t>
      </w:r>
      <w:r w:rsidR="003D33C8">
        <w:t>Without appropriate documentation, cross-study data integration efforts are also greatly limited.</w:t>
      </w:r>
    </w:p>
    <w:p w14:paraId="0F035CFE" w14:textId="77777777" w:rsidR="00851E52" w:rsidRDefault="00851E52" w:rsidP="00192B43"/>
    <w:p w14:paraId="0F133539" w14:textId="49EEC1A1" w:rsidR="002D031E" w:rsidRDefault="00FB612B" w:rsidP="00192B43">
      <w:r>
        <w:t xml:space="preserve">CLOSER has collated </w:t>
      </w:r>
      <w:r w:rsidR="008E4BC0">
        <w:t xml:space="preserve">and enhanced </w:t>
      </w:r>
      <w:r w:rsidR="00E54C54">
        <w:t xml:space="preserve">metadata </w:t>
      </w:r>
      <w:r>
        <w:t xml:space="preserve">from each of its partner studies </w:t>
      </w:r>
      <w:r w:rsidR="00913EDA">
        <w:t xml:space="preserve">to </w:t>
      </w:r>
      <w:r w:rsidR="00C35689">
        <w:t xml:space="preserve">help researchers </w:t>
      </w:r>
      <w:r w:rsidR="006E6E59">
        <w:t>identify</w:t>
      </w:r>
      <w:r w:rsidR="00C35689">
        <w:t xml:space="preserve"> relevant variables across </w:t>
      </w:r>
      <w:r>
        <w:t xml:space="preserve">these different sources </w:t>
      </w:r>
      <w:r w:rsidR="00681418">
        <w:t xml:space="preserve">and </w:t>
      </w:r>
      <w:r w:rsidR="000E0050">
        <w:t xml:space="preserve">to provide comprehensive </w:t>
      </w:r>
      <w:r w:rsidR="0023377D">
        <w:t>contextual</w:t>
      </w:r>
      <w:r>
        <w:t xml:space="preserve"> information to facilitate their use</w:t>
      </w:r>
      <w:r w:rsidR="000E0050">
        <w:t>.</w:t>
      </w:r>
      <w:r w:rsidR="00851E52">
        <w:t xml:space="preserve"> These metadata have been </w:t>
      </w:r>
      <w:r w:rsidR="003A4F05">
        <w:t>catalogued in detail</w:t>
      </w:r>
      <w:r w:rsidR="00573995">
        <w:t xml:space="preserve"> according</w:t>
      </w:r>
      <w:r w:rsidR="00851E52">
        <w:t xml:space="preserve"> </w:t>
      </w:r>
      <w:r w:rsidR="00573995">
        <w:t xml:space="preserve">to </w:t>
      </w:r>
      <w:r w:rsidR="00851E52">
        <w:t xml:space="preserve">the </w:t>
      </w:r>
      <w:r w:rsidR="000101C3" w:rsidRPr="00BE2403">
        <w:t>Data Documentation Initiative</w:t>
      </w:r>
      <w:r w:rsidR="00B76636">
        <w:t xml:space="preserve"> Lifecycle</w:t>
      </w:r>
      <w:r w:rsidR="000101C3">
        <w:t xml:space="preserve"> (DDI</w:t>
      </w:r>
      <w:r w:rsidR="00B76636">
        <w:t>-L</w:t>
      </w:r>
      <w:r w:rsidR="000101C3">
        <w:t>)</w:t>
      </w:r>
      <w:r w:rsidR="003A4F05">
        <w:t xml:space="preserve"> standard for the documentation of observational measurements</w:t>
      </w:r>
      <w:r w:rsidR="00591EBD">
        <w:fldChar w:fldCharType="begin" w:fldLock="1"/>
      </w:r>
      <w:r w:rsidR="00745D26">
        <w:instrText>ADDIN CSL_CITATION {"citationItems":[{"id":"ITEM-1","itemData":{"URL":"http://www.ddialliance.org/Specification/DDI-Lifecycle/3.2/","author":[{"dropping-particle":"","family":"Data Documentation Initiative","given":"","non-dropping-particle":"","parse-names":false,"suffix":""}],"container-title":"2014","id":"ITEM-1","issued":{"date-parts":[["0"]]},"title":"DDI-Lifecycle 3.2","type":"webpage"},"uris":["http://www.mendeley.com/documents/?uuid=1432ee62-e2f4-414b-b983-f4ad1d47b4df"]}],"mendeley":{"formattedCitation":"&lt;sup&gt;17&lt;/sup&gt;","plainTextFormattedCitation":"17","previouslyFormattedCitation":"&lt;sup&gt;17&lt;/sup&gt;"},"properties":{"noteIndex":0},"schema":"https://github.com/citation-style-language/schema/raw/master/csl-citation.json"}</w:instrText>
      </w:r>
      <w:r w:rsidR="00591EBD">
        <w:fldChar w:fldCharType="separate"/>
      </w:r>
      <w:r w:rsidR="00591EBD" w:rsidRPr="00591EBD">
        <w:rPr>
          <w:noProof/>
          <w:vertAlign w:val="superscript"/>
        </w:rPr>
        <w:t>17</w:t>
      </w:r>
      <w:r w:rsidR="00591EBD">
        <w:fldChar w:fldCharType="end"/>
      </w:r>
      <w:r w:rsidR="000101C3">
        <w:t xml:space="preserve">. </w:t>
      </w:r>
      <w:bookmarkStart w:id="5" w:name="_Hlk530495789"/>
      <w:r w:rsidR="000101C3">
        <w:t>This provides advantages in terms of enabling cross</w:t>
      </w:r>
      <w:r w:rsidR="002D031E">
        <w:t xml:space="preserve">-cohort comparisons, </w:t>
      </w:r>
      <w:bookmarkStart w:id="6" w:name="_Hlk529565790"/>
      <w:r w:rsidR="0029632F">
        <w:t xml:space="preserve">improving efficiencies in software development through the adoption of an </w:t>
      </w:r>
      <w:r w:rsidR="008B638D">
        <w:t xml:space="preserve">existing </w:t>
      </w:r>
      <w:r w:rsidR="0029632F">
        <w:t>data specification</w:t>
      </w:r>
      <w:bookmarkEnd w:id="6"/>
      <w:r w:rsidR="008B638D">
        <w:t xml:space="preserve"> framework</w:t>
      </w:r>
      <w:r w:rsidR="0029632F">
        <w:t xml:space="preserve">, </w:t>
      </w:r>
      <w:r w:rsidR="002D031E">
        <w:t xml:space="preserve">and the potential to </w:t>
      </w:r>
      <w:r w:rsidR="00B76636">
        <w:t xml:space="preserve">transform </w:t>
      </w:r>
      <w:r w:rsidR="002D031E">
        <w:t xml:space="preserve">these formatted metadata efficiently to other standards. </w:t>
      </w:r>
      <w:bookmarkEnd w:id="5"/>
    </w:p>
    <w:p w14:paraId="6EED80FA" w14:textId="77777777" w:rsidR="002D031E" w:rsidRDefault="002D031E" w:rsidP="00192B43"/>
    <w:p w14:paraId="2879FCA5" w14:textId="2BBE0904" w:rsidR="00C81B35" w:rsidRDefault="002D031E" w:rsidP="00192B43">
      <w:r>
        <w:t xml:space="preserve">The metadata comprise three distinct elements: 1) </w:t>
      </w:r>
      <w:r w:rsidR="00B76636">
        <w:t xml:space="preserve">descriptive metadata for each of </w:t>
      </w:r>
      <w:r w:rsidR="00E054F6">
        <w:t>the studies;</w:t>
      </w:r>
      <w:r>
        <w:t xml:space="preserve"> 2) </w:t>
      </w:r>
      <w:r w:rsidR="00E054F6">
        <w:t>a CLOSER harmonised ontology which enables the grouping of data/metad</w:t>
      </w:r>
      <w:r w:rsidR="00C81B35">
        <w:t xml:space="preserve">ata into </w:t>
      </w:r>
      <w:r w:rsidR="008519BA">
        <w:t>topic areas</w:t>
      </w:r>
      <w:r w:rsidR="00C81B35">
        <w:t xml:space="preserve">; and 3) the </w:t>
      </w:r>
      <w:r w:rsidR="00B76636">
        <w:t xml:space="preserve">structural </w:t>
      </w:r>
      <w:r w:rsidR="00C81B35">
        <w:t xml:space="preserve">metadata </w:t>
      </w:r>
      <w:r w:rsidR="004F4F5F">
        <w:t xml:space="preserve">with </w:t>
      </w:r>
      <w:r w:rsidR="00484C83">
        <w:t>associated</w:t>
      </w:r>
      <w:r w:rsidR="00C81B35">
        <w:t xml:space="preserve"> intra-</w:t>
      </w:r>
      <w:r w:rsidR="004F4F5F">
        <w:t xml:space="preserve"> and inter-</w:t>
      </w:r>
      <w:r w:rsidR="00C81B35">
        <w:t xml:space="preserve">study </w:t>
      </w:r>
      <w:r w:rsidR="004F4F5F">
        <w:t xml:space="preserve">cross-referencing of </w:t>
      </w:r>
      <w:r w:rsidR="00484C83">
        <w:t>comparable measure</w:t>
      </w:r>
      <w:r w:rsidR="004F4F5F">
        <w:t>s</w:t>
      </w:r>
      <w:r w:rsidR="00C81B35">
        <w:t>.</w:t>
      </w:r>
    </w:p>
    <w:p w14:paraId="6ADE094D" w14:textId="77777777" w:rsidR="00C81B35" w:rsidRDefault="00C81B35" w:rsidP="00192B43"/>
    <w:p w14:paraId="6317B420" w14:textId="573A2866" w:rsidR="00192B43" w:rsidRDefault="00300DBC" w:rsidP="00192B43">
      <w:r w:rsidRPr="001C283E">
        <w:t>T</w:t>
      </w:r>
      <w:r w:rsidR="00E0418B" w:rsidRPr="001C283E">
        <w:t xml:space="preserve">he </w:t>
      </w:r>
      <w:r w:rsidR="00BA75EC">
        <w:t xml:space="preserve">assembled </w:t>
      </w:r>
      <w:r w:rsidR="00E0418B" w:rsidRPr="001C283E">
        <w:t xml:space="preserve">metadata </w:t>
      </w:r>
      <w:r w:rsidR="00913EDA">
        <w:t>are</w:t>
      </w:r>
      <w:r w:rsidR="00F16779">
        <w:t xml:space="preserve"> </w:t>
      </w:r>
      <w:r w:rsidR="00E0418B" w:rsidRPr="001C283E">
        <w:t xml:space="preserve">made publicly </w:t>
      </w:r>
      <w:r w:rsidR="007C4C4B">
        <w:t xml:space="preserve">and freely </w:t>
      </w:r>
      <w:r w:rsidR="00E0418B" w:rsidRPr="001C283E">
        <w:t>avai</w:t>
      </w:r>
      <w:r w:rsidR="00772543">
        <w:t xml:space="preserve">lable via an </w:t>
      </w:r>
      <w:r w:rsidR="00E0418B" w:rsidRPr="001C283E">
        <w:t xml:space="preserve">online repository, called CLOSER </w:t>
      </w:r>
      <w:r w:rsidR="001C283E" w:rsidRPr="001C283E">
        <w:t>Discovery</w:t>
      </w:r>
      <w:r w:rsidR="004C49F9">
        <w:t xml:space="preserve">, that enables users to </w:t>
      </w:r>
      <w:r w:rsidR="00772543">
        <w:t xml:space="preserve">locate and explore </w:t>
      </w:r>
      <w:r w:rsidR="00FB612B">
        <w:t xml:space="preserve">study questions and </w:t>
      </w:r>
      <w:r w:rsidR="009D066F" w:rsidRPr="001C283E">
        <w:t>variable</w:t>
      </w:r>
      <w:r w:rsidR="00FB612B">
        <w:t>s</w:t>
      </w:r>
      <w:r w:rsidR="009D066F" w:rsidRPr="001C283E">
        <w:t xml:space="preserve"> </w:t>
      </w:r>
      <w:r w:rsidR="00E0418B" w:rsidRPr="001C283E">
        <w:t xml:space="preserve">via </w:t>
      </w:r>
      <w:r w:rsidR="00772543">
        <w:t xml:space="preserve">text </w:t>
      </w:r>
      <w:r w:rsidR="00E0418B" w:rsidRPr="001C283E">
        <w:t xml:space="preserve">search </w:t>
      </w:r>
      <w:r w:rsidR="00772543">
        <w:t xml:space="preserve">and </w:t>
      </w:r>
      <w:r w:rsidR="00C24F90">
        <w:t>filter</w:t>
      </w:r>
      <w:r w:rsidR="002742BC">
        <w:t xml:space="preserve"> functions</w:t>
      </w:r>
      <w:r w:rsidR="00E0418B" w:rsidRPr="001C283E">
        <w:t xml:space="preserve">. </w:t>
      </w:r>
      <w:r w:rsidR="006F51E5">
        <w:t xml:space="preserve">The </w:t>
      </w:r>
      <w:r w:rsidR="00573995">
        <w:t xml:space="preserve">repository </w:t>
      </w:r>
      <w:r w:rsidR="006F51E5">
        <w:t xml:space="preserve">provides descriptive statistics on the available data for each variable, as well as information on its lineage (such as the study, sweep and questionnaire/data file sources). </w:t>
      </w:r>
      <w:r w:rsidR="004313D3">
        <w:t>Figure 2 illustrates t</w:t>
      </w:r>
      <w:r w:rsidR="005B2723">
        <w:t>he</w:t>
      </w:r>
      <w:r w:rsidR="00046A06">
        <w:t xml:space="preserve"> hierarchical</w:t>
      </w:r>
      <w:r w:rsidR="005B2723">
        <w:t xml:space="preserve"> process </w:t>
      </w:r>
      <w:r w:rsidR="006F51E5">
        <w:t>by which the metadata are collated</w:t>
      </w:r>
      <w:r w:rsidR="0065147B">
        <w:t>.</w:t>
      </w:r>
    </w:p>
    <w:p w14:paraId="1F6611DC" w14:textId="77777777" w:rsidR="00192B43" w:rsidRDefault="00192B43" w:rsidP="00192B43"/>
    <w:p w14:paraId="7D0879A1" w14:textId="5D076AE8" w:rsidR="008344E9" w:rsidRDefault="005B2723" w:rsidP="006057FF">
      <w:r>
        <w:t xml:space="preserve">Currently, </w:t>
      </w:r>
      <w:r w:rsidR="006F51E5">
        <w:t xml:space="preserve">Discovery </w:t>
      </w:r>
      <w:r>
        <w:t xml:space="preserve">comprises </w:t>
      </w:r>
      <w:r w:rsidR="00BB4E13">
        <w:t xml:space="preserve">information sourced from 93 sweeps </w:t>
      </w:r>
      <w:r w:rsidR="00192B43">
        <w:t xml:space="preserve">of the 8 CLOSER partner studies, with </w:t>
      </w:r>
      <w:r>
        <w:t xml:space="preserve">79,412 </w:t>
      </w:r>
      <w:r w:rsidR="00BB4E13">
        <w:t xml:space="preserve">study </w:t>
      </w:r>
      <w:r>
        <w:t>variables</w:t>
      </w:r>
      <w:r w:rsidR="00192B43">
        <w:t xml:space="preserve"> documented to date</w:t>
      </w:r>
      <w:r w:rsidR="004C49F9">
        <w:t xml:space="preserve">. </w:t>
      </w:r>
      <w:r w:rsidR="00DD13DC">
        <w:t>The</w:t>
      </w:r>
      <w:r w:rsidR="00192B43">
        <w:t>se</w:t>
      </w:r>
      <w:r w:rsidR="00DD13DC">
        <w:t xml:space="preserve"> </w:t>
      </w:r>
      <w:r w:rsidR="00BB4E13">
        <w:t xml:space="preserve">metadata </w:t>
      </w:r>
      <w:r w:rsidR="004C49F9">
        <w:t xml:space="preserve">are </w:t>
      </w:r>
      <w:r w:rsidR="00BB4E13">
        <w:t xml:space="preserve">categorised according to the period of life </w:t>
      </w:r>
      <w:r w:rsidR="004C49F9">
        <w:t>they cover</w:t>
      </w:r>
      <w:r w:rsidR="00DD13DC">
        <w:t xml:space="preserve"> and </w:t>
      </w:r>
      <w:r w:rsidR="00BB4E13">
        <w:t>the research topic</w:t>
      </w:r>
      <w:r w:rsidR="004C49F9">
        <w:t>s</w:t>
      </w:r>
      <w:r w:rsidR="00BB4E13">
        <w:t xml:space="preserve"> to which </w:t>
      </w:r>
      <w:r w:rsidR="004C49F9">
        <w:t>they apply</w:t>
      </w:r>
      <w:r w:rsidR="001933B9">
        <w:t xml:space="preserve"> (also illustrated in Figure 2)</w:t>
      </w:r>
      <w:r w:rsidR="00BB4E13">
        <w:t>.</w:t>
      </w:r>
      <w:r w:rsidR="004C49F9">
        <w:t xml:space="preserve"> </w:t>
      </w:r>
      <w:r w:rsidR="00E0418B" w:rsidRPr="001C283E">
        <w:t>The repository continues to expand</w:t>
      </w:r>
      <w:r w:rsidR="00C24F90">
        <w:t xml:space="preserve"> as studies conduct new sweeps</w:t>
      </w:r>
      <w:r w:rsidR="00F16779">
        <w:t xml:space="preserve">, </w:t>
      </w:r>
      <w:r w:rsidR="00C24F90">
        <w:t xml:space="preserve">and </w:t>
      </w:r>
      <w:r w:rsidR="00E0418B" w:rsidRPr="001C283E">
        <w:t>studies outside the CLOSER consortium</w:t>
      </w:r>
      <w:r w:rsidR="004C49F9">
        <w:t xml:space="preserve"> are also now being added</w:t>
      </w:r>
      <w:r w:rsidR="00E0418B" w:rsidRPr="001C283E">
        <w:t xml:space="preserve">. The first of these is </w:t>
      </w:r>
      <w:r w:rsidR="00F16779">
        <w:t xml:space="preserve">the </w:t>
      </w:r>
      <w:r w:rsidR="00E0418B" w:rsidRPr="001C283E">
        <w:t>Whitehall II</w:t>
      </w:r>
      <w:r w:rsidR="00F16779">
        <w:t xml:space="preserve"> </w:t>
      </w:r>
      <w:r w:rsidR="007253B0">
        <w:t>occupational cohort, a study of 10,308 British civil servants which commenced in 1985</w:t>
      </w:r>
      <w:r w:rsidR="001C2B67">
        <w:fldChar w:fldCharType="begin" w:fldLock="1"/>
      </w:r>
      <w:r w:rsidR="00745D26">
        <w:instrText>ADDIN CSL_CITATION {"citationItems":[{"id":"ITEM-1","itemData":{"DOI":"10.1093/ije/dyh372","ISBN":"0300-5771","ISSN":"03005771","PMID":"15576467","abstract":"The Whitehall studies have come to be closely associated with the investigation of socioeconomic differences in physical and mental illness and mortality: the social gradient.1,2","author":[{"dropping-particle":"","family":"Marmot","given":"Michael","non-dropping-particle":"","parse-names":false,"suffix":""},{"dropping-particle":"","family":"Brunner","given":"Eric","non-dropping-particle":"","parse-names":false,"suffix":""}],"container-title":"International Journal of Epidemiology","id":"ITEM-1","issue":"2","issued":{"date-parts":[["2005"]]},"page":"251-256","title":"Cohort profile: The Whitehall II study","type":"article-journal","volume":"34"},"uris":["http://www.mendeley.com/documents/?uuid=a4e8bb9f-fbd4-4bd4-8a23-06be29743c67"]}],"mendeley":{"formattedCitation":"&lt;sup&gt;18&lt;/sup&gt;","plainTextFormattedCitation":"18","previouslyFormattedCitation":"&lt;sup&gt;18&lt;/sup&gt;"},"properties":{"noteIndex":0},"schema":"https://github.com/citation-style-language/schema/raw/master/csl-citation.json"}</w:instrText>
      </w:r>
      <w:r w:rsidR="001C2B67">
        <w:fldChar w:fldCharType="separate"/>
      </w:r>
      <w:r w:rsidR="00591EBD" w:rsidRPr="00591EBD">
        <w:rPr>
          <w:noProof/>
          <w:vertAlign w:val="superscript"/>
        </w:rPr>
        <w:t>18</w:t>
      </w:r>
      <w:r w:rsidR="001C2B67">
        <w:fldChar w:fldCharType="end"/>
      </w:r>
      <w:r w:rsidR="00E0418B" w:rsidRPr="001C283E">
        <w:t>.</w:t>
      </w:r>
      <w:r w:rsidR="0063774A">
        <w:t xml:space="preserve"> </w:t>
      </w:r>
      <w:r w:rsidR="00EF209A">
        <w:t xml:space="preserve">CLOSER has </w:t>
      </w:r>
      <w:r w:rsidR="0063774A">
        <w:t xml:space="preserve">also </w:t>
      </w:r>
      <w:r w:rsidR="00EF209A">
        <w:t xml:space="preserve">recently published a </w:t>
      </w:r>
      <w:r w:rsidR="002E2CAA">
        <w:t xml:space="preserve">catalogue of </w:t>
      </w:r>
      <w:r w:rsidR="00EF209A">
        <w:t xml:space="preserve">the extensive </w:t>
      </w:r>
      <w:r w:rsidR="002E2CAA">
        <w:t xml:space="preserve">biomarker </w:t>
      </w:r>
      <w:r w:rsidR="00EF209A">
        <w:t>data collected by CLOSER’s partner studies</w:t>
      </w:r>
      <w:r w:rsidR="001C2B67">
        <w:fldChar w:fldCharType="begin" w:fldLock="1"/>
      </w:r>
      <w:r w:rsidR="00745D26">
        <w:instrText>ADDIN CSL_CITATION {"citationItems":[{"id":"ITEM-1","itemData":{"author":[{"dropping-particle":"","family":"Ruiz","given":"Milagros","non-dropping-particle":"","parse-names":false,"suffix":""},{"dropping-particle":"","family":"Benzeval","given":"Michaela","non-dropping-particle":"","parse-names":false,"suffix":""},{"dropping-particle":"","family":"Kumari","given":"Meena","non-dropping-particle":"","parse-names":false,"suffix":""}],"id":"ITEM-1","issued":{"date-parts":[["2017"]]},"publisher-place":"London, UK","title":"A guide to biomarker data in the CLOSER studies: A catalogue across the cohort and longitudinal studies","type":"report"},"uris":["http://www.mendeley.com/documents/?uuid=70eff039-6f8b-4cdc-91cb-b8e9dac51b18"]}],"mendeley":{"formattedCitation":"&lt;sup&gt;19&lt;/sup&gt;","plainTextFormattedCitation":"19","previouslyFormattedCitation":"&lt;sup&gt;19&lt;/sup&gt;"},"properties":{"noteIndex":0},"schema":"https://github.com/citation-style-language/schema/raw/master/csl-citation.json"}</w:instrText>
      </w:r>
      <w:r w:rsidR="001C2B67">
        <w:fldChar w:fldCharType="separate"/>
      </w:r>
      <w:r w:rsidR="00591EBD" w:rsidRPr="00591EBD">
        <w:rPr>
          <w:noProof/>
          <w:vertAlign w:val="superscript"/>
        </w:rPr>
        <w:t>19</w:t>
      </w:r>
      <w:r w:rsidR="001C2B67">
        <w:fldChar w:fldCharType="end"/>
      </w:r>
      <w:r w:rsidR="00B25A2E">
        <w:t xml:space="preserve">, </w:t>
      </w:r>
      <w:r w:rsidR="00B25A2E" w:rsidRPr="00B25A2E">
        <w:t>supplementing the utility of Discovery</w:t>
      </w:r>
      <w:r w:rsidR="00460F8B">
        <w:t xml:space="preserve">. This provides </w:t>
      </w:r>
      <w:r w:rsidR="00B25A2E" w:rsidRPr="00B25A2E">
        <w:t>additional guidance on definition, measurement and interpretation</w:t>
      </w:r>
      <w:r w:rsidR="00B25A2E">
        <w:t xml:space="preserve"> of biomarkers </w:t>
      </w:r>
      <w:r w:rsidR="002415DA">
        <w:t>drawn from blood, urine and saliva samples.</w:t>
      </w:r>
      <w:r w:rsidR="008E1984">
        <w:t xml:space="preserve"> An overview of the genetic data available from the CLOSER studies is a</w:t>
      </w:r>
      <w:r w:rsidR="000A7A0E">
        <w:t>vailable on the CLOSER website.</w:t>
      </w:r>
    </w:p>
    <w:p w14:paraId="492F232D" w14:textId="77777777" w:rsidR="008344E9" w:rsidRDefault="008344E9" w:rsidP="006057FF"/>
    <w:p w14:paraId="306561C5" w14:textId="4C6B9E85" w:rsidR="00A117F3" w:rsidRPr="001C283E" w:rsidRDefault="00EF209A" w:rsidP="006057FF">
      <w:r>
        <w:t>CLOSER</w:t>
      </w:r>
      <w:r w:rsidR="002415DA">
        <w:t xml:space="preserve">’s </w:t>
      </w:r>
      <w:r w:rsidR="00A9084B">
        <w:t xml:space="preserve">comprehensive documentation </w:t>
      </w:r>
      <w:r w:rsidR="005067F1">
        <w:t xml:space="preserve">of </w:t>
      </w:r>
      <w:r w:rsidR="002415DA">
        <w:t xml:space="preserve">the diverse </w:t>
      </w:r>
      <w:r w:rsidR="00493EC4">
        <w:t>information</w:t>
      </w:r>
      <w:r w:rsidR="002415DA">
        <w:t xml:space="preserve"> collected by UK longitudinal studies helps </w:t>
      </w:r>
      <w:r w:rsidR="006057FF">
        <w:t xml:space="preserve">researchers to effectively locate, use and interpret the large volumes of </w:t>
      </w:r>
      <w:r w:rsidR="00493EC4">
        <w:t xml:space="preserve">participant data </w:t>
      </w:r>
      <w:r w:rsidR="00A61FD2">
        <w:t>available</w:t>
      </w:r>
      <w:r w:rsidR="002E2CAA">
        <w:t xml:space="preserve">. </w:t>
      </w:r>
      <w:r w:rsidR="00C23A5E">
        <w:t>The detailed archiving can assist study coordinators seeking to ensure backward equivalence is achieved in future study sweeps</w:t>
      </w:r>
      <w:r w:rsidR="005E1AED">
        <w:t>.</w:t>
      </w:r>
      <w:r w:rsidR="00C23A5E">
        <w:t xml:space="preserve"> Similarly, g</w:t>
      </w:r>
      <w:r w:rsidR="006057FF">
        <w:t xml:space="preserve">iven the </w:t>
      </w:r>
      <w:r w:rsidR="00225BF0">
        <w:t xml:space="preserve">detailed cross-study coverage of variables and the data they include that is offered by </w:t>
      </w:r>
      <w:r w:rsidR="001413D4">
        <w:t>CLOSER’s metadata resources</w:t>
      </w:r>
      <w:r w:rsidR="006057FF">
        <w:t xml:space="preserve">, </w:t>
      </w:r>
      <w:r w:rsidR="001413D4">
        <w:t xml:space="preserve">these </w:t>
      </w:r>
      <w:r>
        <w:t xml:space="preserve">resources are </w:t>
      </w:r>
      <w:r w:rsidR="001413D4">
        <w:t xml:space="preserve">of </w:t>
      </w:r>
      <w:r>
        <w:t xml:space="preserve">particular </w:t>
      </w:r>
      <w:r w:rsidR="006057FF">
        <w:t xml:space="preserve">relevance to data harmonisation </w:t>
      </w:r>
      <w:r w:rsidR="0063774A">
        <w:t>and linkage</w:t>
      </w:r>
      <w:r w:rsidR="006057FF">
        <w:t xml:space="preserve"> efforts.</w:t>
      </w:r>
    </w:p>
    <w:p w14:paraId="79DCBE71" w14:textId="77777777" w:rsidR="00192B43" w:rsidRDefault="00192B43" w:rsidP="00AB4B44"/>
    <w:p w14:paraId="4FB6E865" w14:textId="136BBB37" w:rsidR="008133AE" w:rsidRDefault="00901537" w:rsidP="00FA49AA">
      <w:r>
        <w:rPr>
          <w:noProof/>
        </w:rPr>
        <w:t>[Please insert Figure 2 here]</w:t>
      </w:r>
    </w:p>
    <w:p w14:paraId="36FE553E" w14:textId="77777777" w:rsidR="00501FD8" w:rsidRPr="001C283E" w:rsidRDefault="00501FD8" w:rsidP="00AB4B44"/>
    <w:p w14:paraId="5618EA3D" w14:textId="77777777" w:rsidR="00431893" w:rsidRPr="001C283E" w:rsidRDefault="00431893" w:rsidP="00AE1B7B">
      <w:pPr>
        <w:pStyle w:val="Heading4"/>
      </w:pPr>
      <w:r w:rsidRPr="001C283E">
        <w:t xml:space="preserve">Harmonised </w:t>
      </w:r>
      <w:r w:rsidR="008A0720" w:rsidRPr="001C283E">
        <w:t>V</w:t>
      </w:r>
      <w:r w:rsidR="00520E66" w:rsidRPr="001C283E">
        <w:t>ariables/</w:t>
      </w:r>
      <w:r w:rsidR="008A0720" w:rsidRPr="001C283E">
        <w:t>D</w:t>
      </w:r>
      <w:r w:rsidR="00520E66" w:rsidRPr="001C283E">
        <w:t>atasets</w:t>
      </w:r>
    </w:p>
    <w:p w14:paraId="14DF0147" w14:textId="497F6B93" w:rsidR="001413D4" w:rsidRDefault="0041595C" w:rsidP="0048635E">
      <w:r>
        <w:t>Whilst multiple techniques are available for the joint analysis of data from different studies, such as aggregate data meta-analysis, i</w:t>
      </w:r>
      <w:r w:rsidR="00774677">
        <w:t>dentifying</w:t>
      </w:r>
      <w:r w:rsidR="001413D4">
        <w:t xml:space="preserve"> equivalence in individual-level data </w:t>
      </w:r>
      <w:r>
        <w:t xml:space="preserve">further </w:t>
      </w:r>
      <w:r w:rsidR="00E07514">
        <w:t xml:space="preserve">increases </w:t>
      </w:r>
      <w:r w:rsidR="00C708F3">
        <w:t xml:space="preserve">the </w:t>
      </w:r>
      <w:r w:rsidR="001413D4">
        <w:t>data</w:t>
      </w:r>
      <w:r w:rsidR="00774677">
        <w:t>’s</w:t>
      </w:r>
      <w:r w:rsidR="001413D4">
        <w:t xml:space="preserve"> utility and analytic possibility</w:t>
      </w:r>
      <w:r w:rsidR="001C2B67" w:rsidRPr="00225BF0">
        <w:rPr>
          <w:vertAlign w:val="superscript"/>
        </w:rPr>
        <w:fldChar w:fldCharType="begin" w:fldLock="1"/>
      </w:r>
      <w:r w:rsidR="00745D26">
        <w:rPr>
          <w:vertAlign w:val="superscript"/>
        </w:rPr>
        <w:instrText>ADDIN CSL_CITATION {"citationItems":[{"id":"ITEM-1","itemData":{"DOI":"10.1093/ije/dyw075","ISSN":"14643685","PMID":"27272186","abstract":"BACKGROUND It is widely accepted and acknowledged that data harmonization is crucial: in its absence, the co-analysis of major tranches of high quality extant data is liable to inefficiency or error. However, despite its widespread practice, no formalized/systematic guidelines exist to ensure high quality retrospective data harmonization. METHODS To better understand real-world harmonization practices and facilitate development of formal guidelines, three interrelated initiatives were undertaken between 2006 and 2015. They included a phone survey with 34 major international research initiatives, a series of workshops with experts, and case studies applying the proposed guidelines. RESULTS A wide range of projects use retrospective harmonization to support their research activities but even when appropriate approaches are used, the terminologies, procedures, technologies and methods adopted vary markedly. The generic guidelines outlined in this article delineate the essentials required and describe an interdependent step-by-step approach to harmonization: 0) define the research question, objectives and protocol; 1) assemble pre-existing knowledge and select studies; 2) define targeted variables and evaluate harmonization potential; 3) process data; 4) estimate quality of the harmonized dataset(s) generated; and 5) disseminate and preserve final harmonization products. CONCLUSIONS This manuscript provides guidelines aiming to encourage rigorous and effective approaches to harmonization which are comprehensively and transparently documented and straightforward to interpret and implement. This can be seen as a key step towards implementing guiding principles analogous to those that are well recognised as being essential in securing the foundational underpinning of systematic reviews and the meta-analysis of clinical trials.","author":[{"dropping-particle":"","family":"Fortier","given":"Isabel","non-dropping-particle":"","parse-names":false,"suffix":""},{"dropping-particle":"","family":"Raina","given":"Parminder","non-dropping-particle":"","parse-names":false,"suffix":""},{"dropping-particle":"","family":"Heuvel","given":"Edwin R","non-dropping-particle":"Van den","parse-names":false,"suffix":""},{"dropping-particle":"","family":"Griffith","given":"Lauren E","non-dropping-particle":"","parse-names":false,"suffix":""},{"dropping-particle":"","family":"Craig","given":"Camille","non-dropping-particle":"","parse-names":false,"suffix":""},{"dropping-particle":"","family":"Saliba","given":"Matilda","non-dropping-particle":"","parse-names":false,"suffix":""},{"dropping-particle":"","family":"Doiron","given":"Dany","non-dropping-particle":"","parse-names":false,"suffix":""},{"dropping-particle":"","family":"Stolk","given":"Ronald P","non-dropping-particle":"","parse-names":false,"suffix":""},{"dropping-particle":"","family":"Knoppers","given":"Bartha M","non-dropping-particle":"","parse-names":false,"suffix":""},{"dropping-particle":"","family":"Ferretti","given":"Vincent","non-dropping-particle":"","parse-names":false,"suffix":""},{"dropping-particle":"","family":"Granda","given":"Peter","non-dropping-particle":"","parse-names":false,"suffix":""},{"dropping-particle":"","family":"Burton","given":"Paul","non-dropping-particle":"","parse-names":false,"suffix":""}],"container-title":"International Journal of Epidemiology","id":"ITEM-1","issue":"1","issued":{"date-parts":[["2017","2","1"]]},"page":"103-115","publisher":"Oxford University Press","title":"Maelstrom Research guidelines for rigorous retrospective data harmonization","type":"article-journal","volume":"46"},"uris":["http://www.mendeley.com/documents/?uuid=860af0d2-4173-437f-a806-576b575490d8"]}],"mendeley":{"formattedCitation":"&lt;sup&gt;20&lt;/sup&gt;","plainTextFormattedCitation":"20","previouslyFormattedCitation":"&lt;sup&gt;20&lt;/sup&gt;"},"properties":{"noteIndex":0},"schema":"https://github.com/citation-style-language/schema/raw/master/csl-citation.json"}</w:instrText>
      </w:r>
      <w:r w:rsidR="001C2B67" w:rsidRPr="00225BF0">
        <w:rPr>
          <w:vertAlign w:val="superscript"/>
        </w:rPr>
        <w:fldChar w:fldCharType="separate"/>
      </w:r>
      <w:r w:rsidR="00591EBD" w:rsidRPr="00591EBD">
        <w:rPr>
          <w:noProof/>
          <w:vertAlign w:val="superscript"/>
        </w:rPr>
        <w:t>20</w:t>
      </w:r>
      <w:r w:rsidR="001C2B67" w:rsidRPr="00225BF0">
        <w:rPr>
          <w:vertAlign w:val="superscript"/>
        </w:rPr>
        <w:fldChar w:fldCharType="end"/>
      </w:r>
      <w:r w:rsidR="001413D4">
        <w:t xml:space="preserve">. </w:t>
      </w:r>
      <w:r w:rsidR="002E75FD">
        <w:t xml:space="preserve">However, </w:t>
      </w:r>
      <w:r w:rsidR="00C708F3">
        <w:t xml:space="preserve">this is made complex by the </w:t>
      </w:r>
      <w:r w:rsidR="002E75FD">
        <w:t xml:space="preserve">considerable differences in topic coverage and assessment tools </w:t>
      </w:r>
      <w:r w:rsidR="00C708F3">
        <w:t xml:space="preserve">that </w:t>
      </w:r>
      <w:r w:rsidR="002E75FD">
        <w:t xml:space="preserve">exist both between and within studies, reflecting </w:t>
      </w:r>
      <w:r w:rsidR="0048635E">
        <w:t xml:space="preserve">developments in </w:t>
      </w:r>
      <w:r w:rsidR="002E75FD">
        <w:t>understanding and assessment practices</w:t>
      </w:r>
      <w:r w:rsidR="00460F8B">
        <w:t xml:space="preserve"> over time</w:t>
      </w:r>
      <w:r w:rsidR="002E75FD">
        <w:t>.</w:t>
      </w:r>
      <w:r w:rsidR="001413D4">
        <w:t xml:space="preserve"> </w:t>
      </w:r>
      <w:r w:rsidR="002E75FD">
        <w:t xml:space="preserve">These </w:t>
      </w:r>
      <w:r w:rsidR="001413D4">
        <w:t xml:space="preserve">variations require recognition and accommodation in any </w:t>
      </w:r>
      <w:r w:rsidR="002E75FD">
        <w:t xml:space="preserve">retrospective </w:t>
      </w:r>
      <w:r w:rsidR="00774677">
        <w:t xml:space="preserve">data </w:t>
      </w:r>
      <w:r w:rsidR="001413D4">
        <w:t>harmonisation</w:t>
      </w:r>
      <w:r w:rsidR="00774677">
        <w:t xml:space="preserve"> attempt</w:t>
      </w:r>
      <w:r w:rsidR="001413D4">
        <w:t>. Harmonisation strategies themselves can differ between research groups, and there is consequently a</w:t>
      </w:r>
      <w:r w:rsidR="0070573E">
        <w:t xml:space="preserve"> </w:t>
      </w:r>
      <w:r w:rsidR="001413D4">
        <w:t xml:space="preserve">need to </w:t>
      </w:r>
      <w:r w:rsidR="0070573E">
        <w:t xml:space="preserve">better </w:t>
      </w:r>
      <w:r w:rsidR="001413D4">
        <w:t xml:space="preserve">coordinate the standardisation and integration of </w:t>
      </w:r>
      <w:r w:rsidR="00774677">
        <w:t>participant data across studies</w:t>
      </w:r>
      <w:r w:rsidR="001C2B67" w:rsidRPr="00225BF0">
        <w:rPr>
          <w:vertAlign w:val="superscript"/>
        </w:rPr>
        <w:fldChar w:fldCharType="begin" w:fldLock="1"/>
      </w:r>
      <w:r w:rsidR="00745D26">
        <w:rPr>
          <w:vertAlign w:val="superscript"/>
        </w:rPr>
        <w:instrText>ADDIN CSL_CITATION {"citationItems":[{"id":"ITEM-1","itemData":{"DOI":"10.1007/s11135-015-0215-z","ISBN":"1113501502","ISSN":"15737845","abstract":"Cross-national survey data harmonization combines surveys conducted in multiple countries and across many time periods into a single, coherent dataset. Methodologically, ex post survey data harmonization is especially complex because it combines projects that were not specifically designed to be comparable. We examine the institutional and intellectual history of nine large scale ex post survey data harmonization (SDH) projects in the social sciences from the 1980s to the 2010s. An interdisciplinary methodological field of SDH slowly emerges, facilitated in part by a partnership between academia and government and from the coordinated contributions of social scientists, survey methodologists and computer scientists. While there has been a learning process, it is in terms of accumulated practicalities, and not with the coordination or institutional apparatus one would expect from a 30 year effort.","author":[{"dropping-particle":"","family":"Dubrow","given":"Joshua Kjerulf","non-dropping-particle":"","parse-names":false,"suffix":""},{"dropping-particle":"","family":"Tomescu-Dubrow","given":"Irina","non-dropping-particle":"","parse-names":false,"suffix":""}],"container-title":"Quality &amp; Quantity","id":"ITEM-1","issue":"4","issued":{"date-parts":[["2016","7","9"]]},"page":"1449-1467","publisher":"Springer Netherlands","title":"The rise of cross-national survey data harmonization in the social sciences: Emergence of an interdisciplinary methodological field","type":"article-journal","volume":"50"},"uris":["http://www.mendeley.com/documents/?uuid=2b9d1a01-160b-4bd1-959c-3dc39879772b"]}],"mendeley":{"formattedCitation":"&lt;sup&gt;21&lt;/sup&gt;","plainTextFormattedCitation":"21","previouslyFormattedCitation":"&lt;sup&gt;21&lt;/sup&gt;"},"properties":{"noteIndex":0},"schema":"https://github.com/citation-style-language/schema/raw/master/csl-citation.json"}</w:instrText>
      </w:r>
      <w:r w:rsidR="001C2B67" w:rsidRPr="00225BF0">
        <w:rPr>
          <w:vertAlign w:val="superscript"/>
        </w:rPr>
        <w:fldChar w:fldCharType="separate"/>
      </w:r>
      <w:r w:rsidR="00591EBD" w:rsidRPr="00591EBD">
        <w:rPr>
          <w:noProof/>
          <w:vertAlign w:val="superscript"/>
        </w:rPr>
        <w:t>21</w:t>
      </w:r>
      <w:r w:rsidR="001C2B67" w:rsidRPr="00225BF0">
        <w:rPr>
          <w:vertAlign w:val="superscript"/>
        </w:rPr>
        <w:fldChar w:fldCharType="end"/>
      </w:r>
      <w:r w:rsidR="001413D4">
        <w:t>.</w:t>
      </w:r>
      <w:r w:rsidR="0048635E">
        <w:t xml:space="preserve"> Once </w:t>
      </w:r>
      <w:r w:rsidR="002E75FD">
        <w:t xml:space="preserve">retrospective harmonisation has been </w:t>
      </w:r>
      <w:r w:rsidR="0048635E">
        <w:t xml:space="preserve">carried out, this can help provide </w:t>
      </w:r>
      <w:r w:rsidR="002E75FD">
        <w:t xml:space="preserve">clarity </w:t>
      </w:r>
      <w:r w:rsidR="0048635E">
        <w:t xml:space="preserve">regarding </w:t>
      </w:r>
      <w:r w:rsidR="002E75FD">
        <w:t>concepts and instrument</w:t>
      </w:r>
      <w:r w:rsidR="0048635E">
        <w:t>s</w:t>
      </w:r>
      <w:r w:rsidR="002E75FD">
        <w:t xml:space="preserve"> </w:t>
      </w:r>
      <w:r w:rsidR="0048635E">
        <w:t xml:space="preserve">and thus </w:t>
      </w:r>
      <w:r w:rsidR="002E75FD">
        <w:t>encourage prospective harmonisation in future sweeps</w:t>
      </w:r>
      <w:r w:rsidR="0048635E">
        <w:t xml:space="preserve"> of data collection.</w:t>
      </w:r>
    </w:p>
    <w:p w14:paraId="4A40AF79" w14:textId="77777777" w:rsidR="001413D4" w:rsidRDefault="001413D4" w:rsidP="002E75FD"/>
    <w:p w14:paraId="2E989504" w14:textId="4E0BDF11" w:rsidR="001413D4" w:rsidRPr="001C283E" w:rsidRDefault="001413D4" w:rsidP="002E75FD">
      <w:r>
        <w:t>The CLOSER consortium is address</w:t>
      </w:r>
      <w:r w:rsidR="00211E00">
        <w:t>ing</w:t>
      </w:r>
      <w:r>
        <w:t xml:space="preserve"> </w:t>
      </w:r>
      <w:r w:rsidR="00460F8B">
        <w:t xml:space="preserve">the challenges of retrospective harmonisation </w:t>
      </w:r>
      <w:r>
        <w:t xml:space="preserve">by </w:t>
      </w:r>
      <w:r w:rsidR="0009345C">
        <w:t xml:space="preserve">developing </w:t>
      </w:r>
      <w:r w:rsidR="00B94599">
        <w:t xml:space="preserve">harmonisation guides and </w:t>
      </w:r>
      <w:r>
        <w:t xml:space="preserve">datasets for wider research usage. </w:t>
      </w:r>
      <w:r w:rsidR="008F5299">
        <w:t>N</w:t>
      </w:r>
      <w:r>
        <w:t>ine separate work packages, covering a broad array of applied</w:t>
      </w:r>
      <w:r w:rsidR="00F3728C">
        <w:t xml:space="preserve"> </w:t>
      </w:r>
      <w:r>
        <w:t>topics</w:t>
      </w:r>
      <w:r w:rsidR="00190763">
        <w:t xml:space="preserve"> and </w:t>
      </w:r>
      <w:r w:rsidR="006F1C93">
        <w:t xml:space="preserve">using a </w:t>
      </w:r>
      <w:r w:rsidR="0048635E">
        <w:t xml:space="preserve">selection </w:t>
      </w:r>
      <w:r w:rsidR="006F1C93">
        <w:t>of the different CLOSER studies</w:t>
      </w:r>
      <w:r w:rsidR="008F5299">
        <w:t>, have been completed to date</w:t>
      </w:r>
      <w:r>
        <w:t xml:space="preserve"> (see Figure 3). The work packages have each documented the decision-making process involved in the harmonisation, including sample selection, data cleaning, and </w:t>
      </w:r>
      <w:r w:rsidR="0070573E">
        <w:t xml:space="preserve">potential </w:t>
      </w:r>
      <w:r>
        <w:t xml:space="preserve">limitations. </w:t>
      </w:r>
      <w:r w:rsidR="003F77B7">
        <w:t xml:space="preserve">This information is provided </w:t>
      </w:r>
      <w:r>
        <w:t xml:space="preserve">in </w:t>
      </w:r>
      <w:r w:rsidR="003F77B7">
        <w:t xml:space="preserve">user </w:t>
      </w:r>
      <w:r>
        <w:t xml:space="preserve">guides that accompany all harmonised dataset releases. </w:t>
      </w:r>
      <w:r w:rsidR="003F77B7">
        <w:t>Before release, pseudo</w:t>
      </w:r>
      <w:r w:rsidR="003F77B7" w:rsidRPr="001C283E">
        <w:t xml:space="preserve">nymisation of the datasets </w:t>
      </w:r>
      <w:r w:rsidR="003F77B7">
        <w:t xml:space="preserve">is performed </w:t>
      </w:r>
      <w:r w:rsidR="003F77B7" w:rsidRPr="001C283E">
        <w:t>to ensure participant confidentiality across the data management and sharing process.</w:t>
      </w:r>
      <w:r w:rsidR="003F77B7">
        <w:t xml:space="preserve"> </w:t>
      </w:r>
      <w:r w:rsidR="0070573E">
        <w:t>T</w:t>
      </w:r>
      <w:r>
        <w:t xml:space="preserve">wo sets of harmonised data have been made available </w:t>
      </w:r>
      <w:r w:rsidR="00460F8B">
        <w:t xml:space="preserve">via </w:t>
      </w:r>
      <w:r>
        <w:t xml:space="preserve">the UK Data Service with more releases </w:t>
      </w:r>
      <w:r w:rsidR="0002623A">
        <w:t>forthcoming</w:t>
      </w:r>
      <w:r>
        <w:t xml:space="preserve">. These datasets cover more than six decades of assessment, and enable researchers to examine how diverse </w:t>
      </w:r>
      <w:r w:rsidR="0063774A">
        <w:t xml:space="preserve">biomedical </w:t>
      </w:r>
      <w:r>
        <w:t xml:space="preserve">and social characteristics of the UK population have changed </w:t>
      </w:r>
      <w:r w:rsidR="0070573E">
        <w:t>across this period</w:t>
      </w:r>
      <w:r>
        <w:t>.</w:t>
      </w:r>
      <w:r w:rsidR="00BB59BA">
        <w:t xml:space="preserve"> </w:t>
      </w:r>
      <w:bookmarkStart w:id="7" w:name="_Hlk530683813"/>
      <w:r w:rsidR="00BB59BA">
        <w:t xml:space="preserve">Additional detail on </w:t>
      </w:r>
      <w:r w:rsidR="00FD214F">
        <w:t xml:space="preserve">these </w:t>
      </w:r>
      <w:r w:rsidR="000B49DD">
        <w:t xml:space="preserve">harmonisation </w:t>
      </w:r>
      <w:r w:rsidR="00BB59BA">
        <w:t>work packages</w:t>
      </w:r>
      <w:r w:rsidR="000B49DD">
        <w:t xml:space="preserve">, including </w:t>
      </w:r>
      <w:r w:rsidR="00E34579">
        <w:t xml:space="preserve">information on </w:t>
      </w:r>
      <w:r w:rsidR="000B49DD">
        <w:t xml:space="preserve">the harmonisation </w:t>
      </w:r>
      <w:r w:rsidR="00E34579">
        <w:t xml:space="preserve">approaches used </w:t>
      </w:r>
      <w:r w:rsidR="000B49DD">
        <w:t xml:space="preserve">and descriptions of the variables derived, </w:t>
      </w:r>
      <w:r w:rsidR="00BB59BA">
        <w:t>is available in the supplementary materials.</w:t>
      </w:r>
      <w:bookmarkEnd w:id="7"/>
    </w:p>
    <w:p w14:paraId="2E998F0C" w14:textId="2818A1DE" w:rsidR="001413D4" w:rsidRDefault="001413D4" w:rsidP="00965190"/>
    <w:p w14:paraId="7ED00B47" w14:textId="43CF9E71" w:rsidR="008F5299" w:rsidRDefault="00281411" w:rsidP="008F5299">
      <w:r>
        <w:t xml:space="preserve">Eight </w:t>
      </w:r>
      <w:r w:rsidR="008F5299">
        <w:t xml:space="preserve">more harmonisation work packages </w:t>
      </w:r>
      <w:r w:rsidR="006F1C93">
        <w:t>are in progress</w:t>
      </w:r>
      <w:r w:rsidR="008F5299">
        <w:t>. The</w:t>
      </w:r>
      <w:r w:rsidR="00AE1B8C">
        <w:t xml:space="preserve">se cover additional </w:t>
      </w:r>
      <w:r w:rsidR="0042315D">
        <w:t xml:space="preserve">research </w:t>
      </w:r>
      <w:r w:rsidR="00AE1B8C">
        <w:t xml:space="preserve">areas, including </w:t>
      </w:r>
      <w:r w:rsidR="008F5299">
        <w:t xml:space="preserve">dietary data, </w:t>
      </w:r>
      <w:r w:rsidR="00AE1B8C">
        <w:t>physical activity measures, and DNA methylation data (see Figure 3)</w:t>
      </w:r>
      <w:r w:rsidR="008F5299">
        <w:t>. Upon completion, datasets and other resources produced from this work will be made available by CLOSER.</w:t>
      </w:r>
    </w:p>
    <w:p w14:paraId="54067785" w14:textId="77777777" w:rsidR="008F5299" w:rsidRDefault="008F5299" w:rsidP="00965190"/>
    <w:p w14:paraId="19E4FE5D" w14:textId="762DA455" w:rsidR="00901537" w:rsidRDefault="00901537" w:rsidP="00FA49AA">
      <w:r>
        <w:rPr>
          <w:noProof/>
        </w:rPr>
        <w:t>[Please insert Figure 3 here]</w:t>
      </w:r>
    </w:p>
    <w:p w14:paraId="4299666A" w14:textId="217829B6" w:rsidR="00845C9D" w:rsidRPr="001C283E" w:rsidRDefault="00845C9D" w:rsidP="001B7096"/>
    <w:p w14:paraId="2899E8C2" w14:textId="77777777" w:rsidR="00431893" w:rsidRPr="001C283E" w:rsidRDefault="008A0720" w:rsidP="004913E9">
      <w:pPr>
        <w:pStyle w:val="Heading4"/>
      </w:pPr>
      <w:r w:rsidRPr="001C283E">
        <w:t>Data L</w:t>
      </w:r>
      <w:r w:rsidR="00431893" w:rsidRPr="001C283E">
        <w:t>inkage</w:t>
      </w:r>
    </w:p>
    <w:p w14:paraId="338333F1" w14:textId="387976A7" w:rsidR="00B40654" w:rsidRPr="000120ED" w:rsidRDefault="00877377" w:rsidP="00B40654">
      <w:pPr>
        <w:rPr>
          <w:rStyle w:val="CommentReference"/>
          <w:rFonts w:asciiTheme="majorHAnsi" w:hAnsiTheme="majorHAnsi" w:cstheme="majorBidi"/>
        </w:rPr>
      </w:pPr>
      <w:r>
        <w:t>Linking</w:t>
      </w:r>
      <w:r w:rsidR="00B40654">
        <w:t xml:space="preserve"> data held</w:t>
      </w:r>
      <w:r w:rsidR="00000178" w:rsidRPr="001C283E">
        <w:t xml:space="preserve"> </w:t>
      </w:r>
      <w:r w:rsidR="00045048" w:rsidRPr="001C283E">
        <w:t>with</w:t>
      </w:r>
      <w:r w:rsidR="00B40654">
        <w:t>in</w:t>
      </w:r>
      <w:r w:rsidR="00045048" w:rsidRPr="001C283E">
        <w:t xml:space="preserve"> </w:t>
      </w:r>
      <w:r w:rsidR="00A96022" w:rsidRPr="001C283E">
        <w:t xml:space="preserve">administrative </w:t>
      </w:r>
      <w:r w:rsidR="00E85985">
        <w:t>systems</w:t>
      </w:r>
      <w:r>
        <w:t xml:space="preserve"> </w:t>
      </w:r>
      <w:r w:rsidR="00D77DE3">
        <w:t xml:space="preserve">to the data collected by longitudinal studies </w:t>
      </w:r>
      <w:r w:rsidR="001A2ABB">
        <w:t xml:space="preserve">can </w:t>
      </w:r>
      <w:r w:rsidR="001A2ABB" w:rsidRPr="001C283E">
        <w:t>enhanc</w:t>
      </w:r>
      <w:r w:rsidR="001A2ABB">
        <w:t xml:space="preserve">e </w:t>
      </w:r>
      <w:r w:rsidR="001A2ABB" w:rsidRPr="001C283E">
        <w:t xml:space="preserve">the </w:t>
      </w:r>
      <w:r w:rsidR="001A2ABB">
        <w:t xml:space="preserve">analytic potential of both forms of data, by allowing </w:t>
      </w:r>
      <w:r w:rsidR="0048635E">
        <w:t xml:space="preserve">analysts to </w:t>
      </w:r>
      <w:r w:rsidR="001A2ABB">
        <w:t xml:space="preserve">combine </w:t>
      </w:r>
      <w:r w:rsidR="0048635E">
        <w:t xml:space="preserve">the rich and varied data collected by longitudinal studies and </w:t>
      </w:r>
      <w:r w:rsidR="001A2ABB">
        <w:t xml:space="preserve">with the </w:t>
      </w:r>
      <w:r w:rsidR="0048635E">
        <w:t>detail offered by administrative data</w:t>
      </w:r>
      <w:r w:rsidR="0048635E">
        <w:fldChar w:fldCharType="begin" w:fldLock="1"/>
      </w:r>
      <w:r w:rsidR="00745D26">
        <w:instrText>ADDIN CSL_CITATION {"citationItems":[{"id":"ITEM-1","itemData":{"DOI":"10.1016/J.SSRESEARCH.2016.04.015","ISSN":"0049-089X","abstract":"The term big data is currently a buzzword in social science, however its precise meaning is ambiguous. In this paper we focus on administrative data which is a distinctive form of big data. Exciting new opportunities for social science research will be afforded by new administrative data resources, but these are currently under appreciated by the research community. The central aim of this paper is to discuss the challenges associated with administrative data. We emphasise that it is critical for researchers to carefully consider how administrative data has been produced. We conclude that administrative datasets have the potential to contribute to the development of high-quality and impactful social science research, and should not be overlooked in the emerging field of big data.","author":[{"dropping-particle":"","family":"Connelly","given":"Roxanne","non-dropping-particle":"","parse-names":false,"suffix":""},{"dropping-particle":"","family":"Playford","given":"Christopher J.","non-dropping-particle":"","parse-names":false,"suffix":""},{"dropping-particle":"","family":"Gayle","given":"Vernon","non-dropping-particle":"","parse-names":false,"suffix":""},{"dropping-particle":"","family":"Dibben","given":"Chris","non-dropping-particle":"","parse-names":false,"suffix":""}],"container-title":"Social Science Research","id":"ITEM-1","issued":{"date-parts":[["2016","9","1"]]},"page":"1-12","title":"The role of administrative data in the big data revolution in social science research","type":"article-journal","volume":"59"},"uris":["http://www.mendeley.com/documents/?uuid=5100155b-cf35-32ef-be86-9f104692eb26"]}],"mendeley":{"formattedCitation":"&lt;sup&gt;22&lt;/sup&gt;","plainTextFormattedCitation":"22","previouslyFormattedCitation":"&lt;sup&gt;22&lt;/sup&gt;"},"properties":{"noteIndex":0},"schema":"https://github.com/citation-style-language/schema/raw/master/csl-citation.json"}</w:instrText>
      </w:r>
      <w:r w:rsidR="0048635E">
        <w:fldChar w:fldCharType="separate"/>
      </w:r>
      <w:r w:rsidR="00591EBD" w:rsidRPr="00591EBD">
        <w:rPr>
          <w:noProof/>
          <w:vertAlign w:val="superscript"/>
        </w:rPr>
        <w:t>22</w:t>
      </w:r>
      <w:r w:rsidR="0048635E">
        <w:fldChar w:fldCharType="end"/>
      </w:r>
      <w:r w:rsidR="003569D5">
        <w:t xml:space="preserve">. </w:t>
      </w:r>
      <w:r w:rsidR="0048635E">
        <w:t xml:space="preserve">Linkage </w:t>
      </w:r>
      <w:r w:rsidR="003569D5">
        <w:t xml:space="preserve">can </w:t>
      </w:r>
      <w:r w:rsidR="0074668B">
        <w:t xml:space="preserve">potentially </w:t>
      </w:r>
      <w:r w:rsidR="00234166">
        <w:t>r</w:t>
      </w:r>
      <w:r>
        <w:t>educe the data collection load</w:t>
      </w:r>
      <w:r w:rsidR="00F3728C">
        <w:t xml:space="preserve"> on study participants</w:t>
      </w:r>
      <w:r w:rsidR="002359D7">
        <w:t xml:space="preserve"> in certain areas of study</w:t>
      </w:r>
      <w:r w:rsidR="001C2B67">
        <w:fldChar w:fldCharType="begin" w:fldLock="1"/>
      </w:r>
      <w:r w:rsidR="00745D26">
        <w:instrText>ADDIN CSL_CITATION {"citationItems":[{"id":"ITEM-1","itemData":{"DOI":"10.1177/0049124112460381","ISBN":"0000000000000","ISSN":"00491241","PMID":"3958","abstract":"Survey records are increasingly being linked to administrative databases to enhance the survey data and increase research opportunities for data users. A necessary prerequisite to linking survey and administrative records is obtaining informed consent from respondents. Obtaining consent from all respondents is a difficult challenge and one that faces significant resistance. Consequently, data linkage consent rates vary widely from study to study. Several studies have found significant differences between consenters and nonconsenters on sociodemographic variables, but no study has investigated the underlying mechanisms of consent from a theory-driven perspective. In this study, we describe and test several hypotheses related to respondents’ willingness to consent to an earnings and benefit data linkage request based on mechanisms related to financial uncertainty, privacy concerns, resistance toward the survey interview, level of attentiveness during the interview, the respondents’ preexisting relationship with the administrative data agency, and matching respondents and interviewers on observable characteristics. The results point to several implications for survey practice and suggestions for future research.","author":[{"dropping-particle":"","family":"Sakshaug","given":"Joseph W.","non-dropping-particle":"","parse-names":false,"suffix":""},{"dropping-particle":"","family":"Couper","given":"Mick P.","non-dropping-particle":"","parse-names":false,"suffix":""},{"dropping-particle":"","family":"Ofstedal","given":"Mary Beth","non-dropping-particle":"","parse-names":false,"suffix":""},{"dropping-particle":"","family":"Weir","given":"David R.","non-dropping-particle":"","parse-names":false,"suffix":""}],"container-title":"Sociological Methods and Research","id":"ITEM-1","issue":"4","issued":{"date-parts":[["2012","11","24"]]},"page":"535-569","title":"Linking survey and administrative records: Mechanisms of consent","type":"article-journal","volume":"41"},"uris":["http://www.mendeley.com/documents/?uuid=20390e4a-d8c0-4b94-8490-79563ef99dd3"]}],"mendeley":{"formattedCitation":"&lt;sup&gt;23&lt;/sup&gt;","plainTextFormattedCitation":"23","previouslyFormattedCitation":"&lt;sup&gt;23&lt;/sup&gt;"},"properties":{"noteIndex":0},"schema":"https://github.com/citation-style-language/schema/raw/master/csl-citation.json"}</w:instrText>
      </w:r>
      <w:r w:rsidR="001C2B67">
        <w:fldChar w:fldCharType="separate"/>
      </w:r>
      <w:r w:rsidR="00591EBD" w:rsidRPr="00591EBD">
        <w:rPr>
          <w:noProof/>
          <w:vertAlign w:val="superscript"/>
        </w:rPr>
        <w:t>23</w:t>
      </w:r>
      <w:r w:rsidR="001C2B67">
        <w:fldChar w:fldCharType="end"/>
      </w:r>
      <w:r w:rsidR="00E42886" w:rsidRPr="001C283E">
        <w:t xml:space="preserve"> and </w:t>
      </w:r>
      <w:r w:rsidR="00E85985">
        <w:t xml:space="preserve">help further clarify </w:t>
      </w:r>
      <w:r w:rsidR="009F74D6">
        <w:t xml:space="preserve">the relevance of research </w:t>
      </w:r>
      <w:r w:rsidR="009038A2">
        <w:t xml:space="preserve">outputs </w:t>
      </w:r>
      <w:r w:rsidR="009F74D6">
        <w:t>to decisions on policy and service provision</w:t>
      </w:r>
      <w:r w:rsidR="001C2B67">
        <w:fldChar w:fldCharType="begin" w:fldLock="1"/>
      </w:r>
      <w:r w:rsidR="00745D26">
        <w:instrText>ADDIN CSL_CITATION {"citationItems":[{"id":"ITEM-1","itemData":{"DOI":"10.1093/pubmed/fdx037","ISSN":"1741-3842","PMID":"28369581","abstract":"Record linkage of administrative and survey data is increasingly used to generate evidence to inform policy and services. Although a powerful and efficient way of generating new information from existing data sets, errors related to data processing before, during and after linkage can bias results. However, researchers and users of linked data rarely have access to information that can be used to assess these biases or take them into account in analyses. As linked administrative data are increasingly used to provide evidence to guide policy and services, linkage error, which disproportionately affects disadvantaged groups, can undermine evidence for public health. We convened a group of researchers and experts from government data providers to develop guidance about the information that needs to be made available about the data linkage process, by data providers, data linkers, analysts and the researchers who write reports. The guidance goes beyond recommendations for information to be included in research reports. Our aim is to raise awareness of information that may be required at each step of the linkage pathway to improve the transparency, reproducibility, and accuracy of linkage processes, and the validity of analyses and interpretation of results.","author":[{"dropping-particle":"","family":"Gilbert","given":"Ruth","non-dropping-particle":"","parse-names":false,"suffix":""},{"dropping-particle":"","family":"Lafferty","given":"Rosemary","non-dropping-particle":"","parse-names":false,"suffix":""},{"dropping-particle":"","family":"Hagger-Johnson","given":"Gareth","non-dropping-particle":"","parse-names":false,"suffix":""},{"dropping-particle":"","family":"Harron","given":"Katie","non-dropping-particle":"","parse-names":false,"suffix":""},{"dropping-particle":"","family":"Zhang","given":"Li-Chun","non-dropping-particle":"","parse-names":false,"suffix":""},{"dropping-particle":"","family":"Smith","given":"Peter","non-dropping-particle":"","parse-names":false,"suffix":""},{"dropping-particle":"","family":"Dibben","given":"Chris","non-dropping-particle":"","parse-names":false,"suffix":""},{"dropping-particle":"","family":"Goldstein","given":"Harvey","non-dropping-particle":"","parse-names":false,"suffix":""}],"container-title":"Journal of Public Health","id":"ITEM-1","issue":"1","issued":{"date-parts":[["2017"]]},"page":"191-198","title":"GUILD: GUidance for Information about Linking Data sets","type":"article-journal","volume":"40"},"uris":["http://www.mendeley.com/documents/?uuid=5da523b2-9ab8-4141-acff-c65cfae25c40"]}],"mendeley":{"formattedCitation":"&lt;sup&gt;24&lt;/sup&gt;","plainTextFormattedCitation":"24","previouslyFormattedCitation":"&lt;sup&gt;24&lt;/sup&gt;"},"properties":{"noteIndex":0},"schema":"https://github.com/citation-style-language/schema/raw/master/csl-citation.json"}</w:instrText>
      </w:r>
      <w:r w:rsidR="001C2B67">
        <w:fldChar w:fldCharType="separate"/>
      </w:r>
      <w:r w:rsidR="00591EBD" w:rsidRPr="00591EBD">
        <w:rPr>
          <w:noProof/>
          <w:vertAlign w:val="superscript"/>
        </w:rPr>
        <w:t>24</w:t>
      </w:r>
      <w:r w:rsidR="001C2B67">
        <w:fldChar w:fldCharType="end"/>
      </w:r>
      <w:r w:rsidR="009F74D6">
        <w:t>. Linkage can also enable</w:t>
      </w:r>
      <w:r w:rsidR="00E42886" w:rsidRPr="001C283E">
        <w:t xml:space="preserve"> the </w:t>
      </w:r>
      <w:r w:rsidR="00A23E41">
        <w:t>cross-</w:t>
      </w:r>
      <w:r w:rsidR="00E42886" w:rsidRPr="001C283E">
        <w:t>validation of self-</w:t>
      </w:r>
      <w:r w:rsidR="00F943AC">
        <w:t xml:space="preserve">reported </w:t>
      </w:r>
      <w:r w:rsidR="0048635E">
        <w:t xml:space="preserve">and administrative </w:t>
      </w:r>
      <w:r w:rsidR="00F943AC">
        <w:t>data</w:t>
      </w:r>
      <w:r w:rsidR="00A50235">
        <w:fldChar w:fldCharType="begin" w:fldLock="1"/>
      </w:r>
      <w:r w:rsidR="00745D26">
        <w:instrText>ADDIN CSL_CITATION {"citationItems":[{"id":"ITEM-1","itemData":{"DOI":"10.1080/13811118.2015.1033121","ISSN":"1381-1118","abstract":"The objective of this study was to examine agreement between self-reported and medically recorded self-harm, and investigate whether the prevalence of self-harm differs in questionnaire responders vs. non-responders. A total of 4,810 participants from the Avon Longitudinal Study of Parents and Children (ALSPAC) completed a self-harm questionnaire at age 16 years. Data from consenting participants were linked to medical records (number available for analyses ranges from 205–3,027). The prevalence of self-harm leading to hospital admission was somewhat higher in questionnaire non-responders than responders (2.0 vs. 1.2%). Hospital attendance with self-harm was under-reported on the questionnaire. One third reported self-harm inconsistently over time; inconsistent reporters were less likely to have depression and fewer had self-harmed with suicidal intent. Self-harm prevalence estimates derived from self-report may be underestimated; more accurate figures may come from combining data from multiple sources.","author":[{"dropping-particle":"","family":"Mars","given":"Becky","non-dropping-particle":"","parse-names":false,"suffix":""},{"dropping-particle":"","family":"Cornish","given":"Rosie","non-dropping-particle":"","parse-names":false,"suffix":""},{"dropping-particle":"","family":"Heron","given":"Jon","non-dropping-particle":"","parse-names":false,"suffix":""},{"dropping-particle":"","family":"Boyd","given":"Andy","non-dropping-particle":"","parse-names":false,"suffix":""},{"dropping-particle":"","family":"Crane","given":"Catherine","non-dropping-particle":"","parse-names":false,"suffix":""},{"dropping-particle":"","family":"Hawton","given":"Keith","non-dropping-particle":"","parse-names":false,"suffix":""},{"dropping-particle":"","family":"Lewis","given":"Glyn","non-dropping-particle":"","parse-names":false,"suffix":""},{"dropping-particle":"","family":"Tilling","given":"Kate","non-dropping-particle":"","parse-names":false,"suffix":""},{"dropping-particle":"","family":"Macleod","given":"John","non-dropping-particle":"","parse-names":false,"suffix":""},{"dropping-particle":"","family":"Gunnell","given":"David","non-dropping-particle":"","parse-names":false,"suffix":""}],"container-title":"Archives of Suicide Research","id":"ITEM-1","issue":"2","issued":{"date-parts":[["2016","1","20"]]},"page":"113-141","publisher":"Routledge","title":"Using data linkage to investigate inconsistent reporting of self-harm and questionnaire non-response","type":"article-journal","volume":"20"},"uris":["http://www.mendeley.com/documents/?uuid=d6ab2c47-f9c7-4211-b736-6b61576db266"]},{"id":"ITEM-2","itemData":{"DOI":"10.9778/cmajo.20170029","ISSN":"2291-0026","PMID":"28947426","abstract":"BACKGROUND Various data sources may be used to document the presence of chronic medical conditions. This study examined the agreement between self-reported and health administrative data. METHODS A randomly selected cohort of participants aged 25-75 years recruited by telephone from the general population of Quebec reported on the presence of 1 or more chronic conditions from a candidate list of 12 conditions: diabetes, hypertension, thyroid disorder, any cardiac disease, cancer diagnosis in the previous 5 years (including melanoma but excluding other skin cancers), asthma, osteoarthritis, rheumatoid arthritis or lupus, osteoporosis, chronic obstructive pulmonary disease, intestinal disease and hypercholesterolemia. We also used health administrative data from Quebec's universal health insurance provider to identify participants' chronic conditions. Unique identifiers allowed linkage of both data sources to the individual participant. The frequencies of the 12 conditions and the prevalence of multimorbidity (≥ 2, ≥ 3 and ≥ 4 conditions) were analyzed for each data source. RESULTS We analyzed data for 1177 participants (mean age 53 [standard deviation 12.4] yr; 684 women [58.1%]). We found low (but varied) agreement between the 2 data sources, with the poorest agreement for hypercholesterolemia (κ = 0.04 [95% confidence interval (CI) 0.01 to 0.07]) and the best for diabetes (κ = 0.82 [95% CI 0.76 to 0.88]). Prevalence estimates of multimorbidity obtained with health administrative data were lower than those obtained with self-reported data regardless of the operational definition used. Most participants with multimorbidity were identified by self-report. INTERPRETATION We argue for the use of self-reported chronic conditions in the study of multimorbidity, as health administrative data based on the billing system in Quebec seem to underestimate the prevalence of many chronic conditions, which results in biased estimates of multimorbidity.","author":[{"dropping-particle":"","family":"Fortin","given":"Martin","non-dropping-particle":"","parse-names":false,"suffix":""},{"dropping-particle":"","family":"Haggerty","given":"Jeannie","non-dropping-particle":"","parse-names":false,"suffix":""},{"dropping-particle":"","family":"Sanche","given":"Steven","non-dropping-particle":"","parse-names":false,"suffix":""},{"dropping-particle":"","family":"Almirall","given":"José","non-dropping-particle":"","parse-names":false,"suffix":""}],"container-title":"CMAJ open","id":"ITEM-2","issue":"3","issued":{"date-parts":[["2017","9","25"]]},"page":"E729-E733","publisher":"Canadian Medical Association","title":"Self-reported versus health administrative data: implications for assessing chronic illness burden in populations. A cross-sectional study.","type":"article-journal","volume":"5"},"uris":["http://www.mendeley.com/documents/?uuid=5349073b-2df5-355b-8ec5-5c1de885c3ba"]}],"mendeley":{"formattedCitation":"&lt;sup&gt;25,26&lt;/sup&gt;","plainTextFormattedCitation":"25,26","previouslyFormattedCitation":"&lt;sup&gt;25,26&lt;/sup&gt;"},"properties":{"noteIndex":0},"schema":"https://github.com/citation-style-language/schema/raw/master/csl-citation.json"}</w:instrText>
      </w:r>
      <w:r w:rsidR="00A50235">
        <w:fldChar w:fldCharType="separate"/>
      </w:r>
      <w:r w:rsidR="00591EBD" w:rsidRPr="00591EBD">
        <w:rPr>
          <w:noProof/>
          <w:vertAlign w:val="superscript"/>
        </w:rPr>
        <w:t>25,26</w:t>
      </w:r>
      <w:r w:rsidR="00A50235">
        <w:fldChar w:fldCharType="end"/>
      </w:r>
      <w:r w:rsidR="00E85985">
        <w:t xml:space="preserve"> and </w:t>
      </w:r>
      <w:r w:rsidR="001E7175">
        <w:t xml:space="preserve">help </w:t>
      </w:r>
      <w:r w:rsidR="00E85985">
        <w:t>address</w:t>
      </w:r>
      <w:r w:rsidR="001E7175">
        <w:t xml:space="preserve"> </w:t>
      </w:r>
      <w:r w:rsidR="00E85985">
        <w:t>data incompleteness</w:t>
      </w:r>
      <w:r w:rsidR="0056511E">
        <w:t xml:space="preserve"> and sampling biases</w:t>
      </w:r>
      <w:r w:rsidR="001C2B67">
        <w:fldChar w:fldCharType="begin" w:fldLock="1"/>
      </w:r>
      <w:r w:rsidR="00745D26">
        <w:instrText>ADDIN CSL_CITATION {"citationItems":[{"id":"ITEM-1","itemData":{"DOI":"978-0-470-01871-2","author":[{"dropping-particle":"","family":"Calderwood","given":"Lisa","non-dropping-particle":"","parse-names":false,"suffix":""},{"dropping-particle":"","family":"Lessof","given":"Carli","non-dropping-particle":"","parse-names":false,"suffix":""}],"container-title":"Methodology of Longitudinal Surveys","editor":[{"dropping-particle":"","family":"Lynn","given":"Peter","non-dropping-particle":"","parse-names":false,"suffix":""}],"id":"ITEM-1","issued":{"date-parts":[["2009"]]},"page":"55-72","publisher":"John Wiley &amp; Sons, Ltd.","publisher-place":"Chichester, UK","title":"Enhancing longitudinal surveys by linking to administrative data","type":"chapter"},"uris":["http://www.mendeley.com/documents/?uuid=547e2937-3164-40f6-b31e-63b372ea96c2"]},{"id":"ITEM-2","itemData":{"DOI":"10.1186/1475-9276-12-66","ISSN":"1475-9276","abstract":"INTRODUCTION: In adults, multimorbidity is associated with social position. Socially disadvantaged adults typically experience more chronic illness at a younger age than comparable individuals who are more advantaged. The relation between social position and multimorbidity amongst children and adolescents has not been as widely studied and is less clear. METHODS: The NHS Information Centre (NHS IC) linked participants in the Avon Longitudinal Study of Parents and Children (ALSPAC) to the General Practice Research Database (GPRD). Multimorbidity was measured in three different ways: using a count of the number of drugs prescribed, a count of chronic diseases, and a person’s predicted resource use score; the latter two measures were derived using the Johns Hopkins ACG system. A number of different socio-economic position variables measured as part of ALSPAC during pregnancy and early childhood were considered. Ordered logistic and negative binomial regression models were used to investigate associations between socio-economic variables and multimorbidity. RESULTS: After mutually adjusting for the different markers of socio-economic position, there was evidence, albeit weak, that chronic condition counts among children aged from 0 to 9 years were higher among those whose mothers were less well educated (OR = 0.44; 95% confidence interval 0.18-1.10; p = 0.08). Conversely, children whose mothers were better educated had higher rates of chronic illness between 10 and 18 years (OR = 1.94; 95% CI 1.14-3.30). However, living in a more deprived area, as indicated by the Townsend score, was associated with a higher odds of chronic illness between 10 and 18 years (OR for each increasing decile of Townsend score = 1.09; 95% CI 1.00-1.19; p = 0.06). CONCLUSIONS: We have found some evidence that, in younger children, multimorbidity may be higher amongst children whose parents are less well educated. In older children and adolescents this association is less clear. We have also demonstrated that linkage between prospective observational studies and electronic patient records can provide an effective way of obtaining objectively measured outcome variables.","author":[{"dropping-particle":"","family":"Cornish","given":"Rosie P","non-dropping-particle":"","parse-names":false,"suffix":""},{"dropping-particle":"","family":"Boyd","given":"Andy","non-dropping-particle":"","parse-names":false,"suffix":""},{"dropping-particle":"","family":"Staa","given":"Tjeerd","non-dropping-particle":"Van","parse-names":false,"suffix":""},{"dropping-particle":"","family":"Salisbury","given":"Chris","non-dropping-particle":"","parse-names":false,"suffix":""},{"dropping-particle":"","family":"Macleod","given":"John","non-dropping-particle":"","parse-names":false,"suffix":""}],"container-title":"International Journal for Equity in Health","id":"ITEM-2","issued":{"date-parts":[["2013","8","20"]]},"page":"66","publisher":"BioMed Central","title":"Socio-economic position and childhood multimorbidity: A study using linkage between the Avon Longitudinal study of parents and children and the general practice research database","type":"article-journal","volume":"12"},"uris":["http://www.mendeley.com/documents/?uuid=e52589e1-6057-4efe-b2fb-764a0a3586e4"]}],"mendeley":{"formattedCitation":"&lt;sup&gt;27,28&lt;/sup&gt;","plainTextFormattedCitation":"27,28","previouslyFormattedCitation":"&lt;sup&gt;27,28&lt;/sup&gt;"},"properties":{"noteIndex":0},"schema":"https://github.com/citation-style-language/schema/raw/master/csl-citation.json"}</w:instrText>
      </w:r>
      <w:r w:rsidR="001C2B67">
        <w:fldChar w:fldCharType="separate"/>
      </w:r>
      <w:r w:rsidR="00591EBD" w:rsidRPr="00591EBD">
        <w:rPr>
          <w:noProof/>
          <w:vertAlign w:val="superscript"/>
        </w:rPr>
        <w:t>27,28</w:t>
      </w:r>
      <w:r w:rsidR="001C2B67">
        <w:fldChar w:fldCharType="end"/>
      </w:r>
      <w:r w:rsidR="00F943AC">
        <w:t xml:space="preserve">. </w:t>
      </w:r>
      <w:r w:rsidR="00B40654">
        <w:t xml:space="preserve">However there are a number of practical obstacles to data linkage within the UK, reflecting a </w:t>
      </w:r>
      <w:r w:rsidR="00B40654" w:rsidRPr="00994F4F">
        <w:t>range of legal, ethical and social constraints</w:t>
      </w:r>
      <w:r w:rsidR="00F20AA2">
        <w:fldChar w:fldCharType="begin" w:fldLock="1"/>
      </w:r>
      <w:r w:rsidR="00745D26">
        <w:instrText>ADDIN CSL_CITATION {"citationItems":[{"id":"ITEM-1","itemData":{"abstract":"In this article we draw on the concept of a social licence to explain public concern at the introduction of care.data, a recent English initiative designed to extract data from primary care medical records for commissioning and other purposes, including research. The concept of a social licence describes how the expectations of society regarding some activities may go beyond compliance with the requirements of formal regulation; those who do not fulfil the conditions for the social licence (even if formally compliant) may experience ongoing challenge and contestation. Previous work suggests that people&amp;#039;s cooperation with specific research studies depends on their perceptions that their participation is voluntary and is governed by values of reciprocity, non-exploitation and service of the public good. When these conditions are not seen to obtain, threats to the social licence for research may emerge. We propose that care.data failed to adequately secure a social licence because of: (i) defects in the warrants of trust provided for care.data, (ii) the implied rupture in the traditional role, expectations and duties of general practitioners, and (iii) uncertainty about the status of care.data as a public good. The concept of a social licence may be useful in explaining the specifics of care.data, and also in reinforcing the more general lesson for policy-makers that legal authority does not necessarily command social legitimacy.","author":[{"dropping-particle":"","family":"Carter","given":"Pam","non-dropping-particle":"","parse-names":false,"suffix":""},{"dropping-particle":"","family":"Laurie","given":"Graeme T","non-dropping-particle":"","parse-names":false,"suffix":""},{"dropping-particle":"","family":"Dixon-Woods","given":"Mary","non-dropping-particle":"","parse-names":false,"suffix":""}],"container-title":"Journal of Medical Ethics","id":"ITEM-1","issue":"5","issued":{"date-parts":[["2015","5","1"]]},"page":"404 LP - 409","title":"The social licence for research: Why care.data ran into trouble","type":"article-journal","volume":"41"},"uris":["http://www.mendeley.com/documents/?uuid=4322423d-de60-432d-b524-775c431c33c3"]}],"mendeley":{"formattedCitation":"&lt;sup&gt;29&lt;/sup&gt;","plainTextFormattedCitation":"29","previouslyFormattedCitation":"&lt;sup&gt;29&lt;/sup&gt;"},"properties":{"noteIndex":0},"schema":"https://github.com/citation-style-language/schema/raw/master/csl-citation.json"}</w:instrText>
      </w:r>
      <w:r w:rsidR="00F20AA2">
        <w:fldChar w:fldCharType="separate"/>
      </w:r>
      <w:r w:rsidR="00591EBD" w:rsidRPr="00591EBD">
        <w:rPr>
          <w:noProof/>
          <w:vertAlign w:val="superscript"/>
        </w:rPr>
        <w:t>29</w:t>
      </w:r>
      <w:r w:rsidR="00F20AA2">
        <w:fldChar w:fldCharType="end"/>
      </w:r>
      <w:r w:rsidR="00B40654" w:rsidRPr="00994F4F">
        <w:t xml:space="preserve">, with different data </w:t>
      </w:r>
      <w:r w:rsidR="00B40654" w:rsidRPr="000120ED">
        <w:t>sources having different access requirements and restrictions</w:t>
      </w:r>
      <w:r w:rsidR="001C2B67" w:rsidRPr="000120ED">
        <w:fldChar w:fldCharType="begin" w:fldLock="1"/>
      </w:r>
      <w:r w:rsidR="00745D26">
        <w:instrText>ADDIN CSL_CITATION {"citationItems":[{"id":"ITEM-1","itemData":{"DOI":"10.1177/0049124112460381","ISBN":"0000000000000","ISSN":"00491241","PMID":"3958","abstract":"Survey records are increasingly being linked to administrative databases to enhance the survey data and increase research opportunities for data users. A necessary prerequisite to linking survey and administrative records is obtaining informed consent from respondents. Obtaining consent from all respondents is a difficult challenge and one that faces significant resistance. Consequently, data linkage consent rates vary widely from study to study. Several studies have found significant differences between consenters and nonconsenters on sociodemographic variables, but no study has investigated the underlying mechanisms of consent from a theory-driven perspective. In this study, we describe and test several hypotheses related to respondents’ willingness to consent to an earnings and benefit data linkage request based on mechanisms related to financial uncertainty, privacy concerns, resistance toward the survey interview, level of attentiveness during the interview, the respondents’ preexisting relationship with the administrative data agency, and matching respondents and interviewers on observable characteristics. The results point to several implications for survey practice and suggestions for future research.","author":[{"dropping-particle":"","family":"Sakshaug","given":"Joseph W.","non-dropping-particle":"","parse-names":false,"suffix":""},{"dropping-particle":"","family":"Couper","given":"Mick P.","non-dropping-particle":"","parse-names":false,"suffix":""},{"dropping-particle":"","family":"Ofstedal","given":"Mary Beth","non-dropping-particle":"","parse-names":false,"suffix":""},{"dropping-particle":"","family":"Weir","given":"David R.","non-dropping-particle":"","parse-names":false,"suffix":""}],"container-title":"Sociological Methods and Research","id":"ITEM-1","issue":"4","issued":{"date-parts":[["2012","11","24"]]},"page":"535-569","title":"Linking survey and administrative records: Mechanisms of consent","type":"article-journal","volume":"41"},"uris":["http://www.mendeley.com/documents/?uuid=20390e4a-d8c0-4b94-8490-79563ef99dd3"]}],"mendeley":{"formattedCitation":"&lt;sup&gt;23&lt;/sup&gt;","plainTextFormattedCitation":"23","previouslyFormattedCitation":"&lt;sup&gt;23&lt;/sup&gt;"},"properties":{"noteIndex":0},"schema":"https://github.com/citation-style-language/schema/raw/master/csl-citation.json"}</w:instrText>
      </w:r>
      <w:r w:rsidR="001C2B67" w:rsidRPr="000120ED">
        <w:fldChar w:fldCharType="separate"/>
      </w:r>
      <w:r w:rsidR="00591EBD" w:rsidRPr="00591EBD">
        <w:rPr>
          <w:noProof/>
          <w:vertAlign w:val="superscript"/>
        </w:rPr>
        <w:t>23</w:t>
      </w:r>
      <w:r w:rsidR="001C2B67" w:rsidRPr="000120ED">
        <w:fldChar w:fldCharType="end"/>
      </w:r>
      <w:r w:rsidR="00B40654" w:rsidRPr="000120ED">
        <w:t>.</w:t>
      </w:r>
      <w:r w:rsidR="00994F4F" w:rsidRPr="000120ED">
        <w:t xml:space="preserve"> Identifying and adopting appropriate strategies for obtaining consent and approval is key</w:t>
      </w:r>
      <w:r w:rsidR="001E564B">
        <w:fldChar w:fldCharType="begin" w:fldLock="1"/>
      </w:r>
      <w:r w:rsidR="00745D26">
        <w:instrText>ADDIN CSL_CITATION {"citationItems":[{"id":"ITEM-1","itemData":{"DOI":"10.1186/s12874-016-0132-4","ISSN":"1471-2288","abstract":"Electronic administrative data exist in several domains which, if linked, are potentially useful for research. However, benefits from data linkage should be considered alongside risks such as the threat to privacy. Avon Longitudinal Study of Parents and Children (ALSPAC) is a birth cohort study. The Project to Enhance ALSPAC through Record Linkage (PEARL) was established to enrich the ALSPAC resource through linkage between ALSPAC participants and routine sources of health and social data. Qualitative research was incorporated in the PEARL study to examine participants’ views about data linkage and inform approaches to information sharing. This paper focusses on issues of consent.","author":[{"dropping-particle":"","family":"Audrey","given":"Suzanne","non-dropping-particle":"","parse-names":false,"suffix":""},{"dropping-particle":"","family":"Brown","given":"Lindsey","non-dropping-particle":"","parse-names":false,"suffix":""},{"dropping-particle":"","family":"Campbell","given":"Rona","non-dropping-particle":"","parse-names":false,"suffix":""},{"dropping-particle":"","family":"Boyd","given":"Andy","non-dropping-particle":"","parse-names":false,"suffix":""},{"dropping-particle":"","family":"Macleod","given":"John","non-dropping-particle":"","parse-names":false,"suffix":""}],"container-title":"BMC Medical Research Methodology","id":"ITEM-1","issue":"1","issued":{"date-parts":[["2016"]]},"page":"34","title":"Young people’s views about consenting to data linkage: Findings from the PEARL qualitative study","type":"article-journal","volume":"16"},"uris":["http://www.mendeley.com/documents/?uuid=42cde77e-6403-48e1-a077-51ec39d81073"]},{"id":"ITEM-2","itemData":{"DOI":"10.1186/1471-2288-14-125","ISSN":"1471-2288","abstract":"A number of cohort studies and longitudinal household panel studies in Great Britain have asked for consent to link survey data to administrative health data. We explore commonalities and differences in the process of collecting consent, achieved consent rates and biases in consent with respect to socio-demographic, socio-economic and health characteristics. We hypothesise that British cohort studies which are rooted within the health sciences achieve higher consent rates than the UK household longitudinal studies which are rooted within the social sciences. By contrast, the lack of a specific health focus in household panel studies means there may be less selectivity in consent, in particular, with respect to health characteristics.","author":[{"dropping-particle":"","family":"Knies","given":"Gundi","non-dropping-particle":"","parse-names":false,"suffix":""},{"dropping-particle":"","family":"Burton","given":"Jonathan","non-dropping-particle":"","parse-names":false,"suffix":""}],"container-title":"BMC Medical Research Methodology","id":"ITEM-2","issue":"1","issued":{"date-parts":[["2014"]]},"page":"125","title":"Analysis of four studies in a comparative framework reveals: Health linkage consent rates on British cohort studies higher than on UK household panel surveys","type":"article-journal","volume":"14"},"uris":["http://www.mendeley.com/documents/?uuid=70a55853-b0c2-474d-9020-cbe9924df3e5"]}],"mendeley":{"formattedCitation":"&lt;sup&gt;30,31&lt;/sup&gt;","plainTextFormattedCitation":"30,31","previouslyFormattedCitation":"&lt;sup&gt;30,31&lt;/sup&gt;"},"properties":{"noteIndex":0},"schema":"https://github.com/citation-style-language/schema/raw/master/csl-citation.json"}</w:instrText>
      </w:r>
      <w:r w:rsidR="001E564B">
        <w:fldChar w:fldCharType="separate"/>
      </w:r>
      <w:r w:rsidR="00591EBD" w:rsidRPr="00591EBD">
        <w:rPr>
          <w:noProof/>
          <w:vertAlign w:val="superscript"/>
        </w:rPr>
        <w:t>30,31</w:t>
      </w:r>
      <w:r w:rsidR="001E564B">
        <w:fldChar w:fldCharType="end"/>
      </w:r>
      <w:r w:rsidR="00994F4F" w:rsidRPr="000120ED">
        <w:t>.</w:t>
      </w:r>
    </w:p>
    <w:p w14:paraId="4B111EC9" w14:textId="77777777" w:rsidR="001A2ABB" w:rsidRPr="0042315D" w:rsidRDefault="001A2ABB" w:rsidP="0085508E">
      <w:pPr>
        <w:rPr>
          <w:rStyle w:val="CommentReference"/>
          <w:sz w:val="21"/>
          <w:szCs w:val="21"/>
        </w:rPr>
      </w:pPr>
    </w:p>
    <w:p w14:paraId="1B875C05" w14:textId="3C332143" w:rsidR="004B7DA8" w:rsidRDefault="00C708F3" w:rsidP="00B40654">
      <w:r w:rsidRPr="000120ED">
        <w:t xml:space="preserve">CLOSER has coordinated a </w:t>
      </w:r>
      <w:r>
        <w:t xml:space="preserve">series </w:t>
      </w:r>
      <w:r w:rsidRPr="000120ED">
        <w:t>of work packages</w:t>
      </w:r>
      <w:r>
        <w:t xml:space="preserve"> t</w:t>
      </w:r>
      <w:r w:rsidR="00B40654" w:rsidRPr="000120ED">
        <w:t xml:space="preserve">o </w:t>
      </w:r>
      <w:r w:rsidR="008149C5" w:rsidRPr="000120ED">
        <w:t xml:space="preserve">help improve access to such </w:t>
      </w:r>
      <w:r w:rsidR="00B40654" w:rsidRPr="000120ED">
        <w:t>linked data</w:t>
      </w:r>
      <w:r w:rsidR="008149C5" w:rsidRPr="000120ED">
        <w:t xml:space="preserve"> and </w:t>
      </w:r>
      <w:r w:rsidR="00994F4F" w:rsidRPr="000120ED">
        <w:t>promote good</w:t>
      </w:r>
      <w:r w:rsidR="008149C5" w:rsidRPr="000120ED">
        <w:t xml:space="preserve"> practice in this area</w:t>
      </w:r>
      <w:r w:rsidR="00994F4F" w:rsidRPr="000120ED">
        <w:t xml:space="preserve">. These have examined and undertaken the </w:t>
      </w:r>
      <w:r w:rsidR="00B40654" w:rsidRPr="000120ED">
        <w:t>linkage</w:t>
      </w:r>
      <w:r w:rsidR="00960B2B" w:rsidRPr="000120ED">
        <w:t xml:space="preserve"> of </w:t>
      </w:r>
      <w:r w:rsidR="00B40654" w:rsidRPr="000120ED">
        <w:t>administrative datasets</w:t>
      </w:r>
      <w:r w:rsidR="00994F4F" w:rsidRPr="000120ED">
        <w:t xml:space="preserve"> </w:t>
      </w:r>
      <w:r w:rsidR="00D77DE3">
        <w:t xml:space="preserve">to longitudinal studies, </w:t>
      </w:r>
      <w:r w:rsidR="00994F4F" w:rsidRPr="000120ED">
        <w:t>covering a range of research areas</w:t>
      </w:r>
      <w:r w:rsidR="00B40E34" w:rsidRPr="000120ED">
        <w:t xml:space="preserve"> (see Figure 4)</w:t>
      </w:r>
      <w:r w:rsidR="00D828A1">
        <w:t xml:space="preserve"> and complementing other linkage work being undertaken by the individual CLOSER studies</w:t>
      </w:r>
      <w:r w:rsidR="00B40E34" w:rsidRPr="000120ED">
        <w:t xml:space="preserve">. </w:t>
      </w:r>
      <w:r w:rsidR="00877377">
        <w:t>An awareness of the risk and impact of l</w:t>
      </w:r>
      <w:r w:rsidR="00994F4F" w:rsidRPr="000120ED">
        <w:t>inkage error and bias</w:t>
      </w:r>
      <w:r w:rsidR="00877377">
        <w:t xml:space="preserve"> </w:t>
      </w:r>
      <w:r w:rsidR="00994F4F" w:rsidRPr="000120ED">
        <w:t>has informed this work</w:t>
      </w:r>
      <w:r w:rsidR="004B7DA8">
        <w:t>.</w:t>
      </w:r>
    </w:p>
    <w:p w14:paraId="32E1F82B" w14:textId="77777777" w:rsidR="004B7DA8" w:rsidRDefault="004B7DA8" w:rsidP="00B40654"/>
    <w:p w14:paraId="2E607248" w14:textId="37F3EB97" w:rsidR="00681A6B" w:rsidRDefault="00D77DE3" w:rsidP="00E34CF4">
      <w:r>
        <w:t>S</w:t>
      </w:r>
      <w:r w:rsidR="000120ED" w:rsidRPr="000120ED">
        <w:t xml:space="preserve">tudies seeking to link </w:t>
      </w:r>
      <w:r w:rsidR="00681A6B">
        <w:t xml:space="preserve">centralised healthcare </w:t>
      </w:r>
      <w:r w:rsidR="000120ED" w:rsidRPr="000120ED">
        <w:t>records</w:t>
      </w:r>
      <w:r>
        <w:t xml:space="preserve"> to longitudinal research data face </w:t>
      </w:r>
      <w:r w:rsidR="00F65B99">
        <w:t>several</w:t>
      </w:r>
      <w:r>
        <w:t xml:space="preserve"> challenges. In recognition of this, </w:t>
      </w:r>
      <w:r w:rsidR="000120ED" w:rsidRPr="000120ED">
        <w:t xml:space="preserve">CLOSER </w:t>
      </w:r>
      <w:r w:rsidR="00681A6B">
        <w:t xml:space="preserve">has </w:t>
      </w:r>
      <w:r w:rsidR="00420AE0">
        <w:t xml:space="preserve">worked in tandem with </w:t>
      </w:r>
      <w:r w:rsidR="0027672F">
        <w:t>its study partners</w:t>
      </w:r>
      <w:r w:rsidR="00420AE0">
        <w:t xml:space="preserve"> to </w:t>
      </w:r>
      <w:r w:rsidR="00681A6B">
        <w:t xml:space="preserve">develop resources documenting mechanisms by which </w:t>
      </w:r>
      <w:r w:rsidR="009B0394">
        <w:t xml:space="preserve">approval </w:t>
      </w:r>
      <w:r w:rsidR="0027672F">
        <w:t xml:space="preserve">for </w:t>
      </w:r>
      <w:r w:rsidR="00681A6B">
        <w:t xml:space="preserve">such </w:t>
      </w:r>
      <w:r w:rsidR="000120ED" w:rsidRPr="000120ED">
        <w:t xml:space="preserve">linkage </w:t>
      </w:r>
      <w:r w:rsidR="00681A6B">
        <w:t>can be achieved</w:t>
      </w:r>
      <w:r w:rsidR="001C2B67">
        <w:fldChar w:fldCharType="begin" w:fldLock="1"/>
      </w:r>
      <w:r w:rsidR="00745D26">
        <w:instrText>ADDIN CSL_CITATION {"citationItems":[{"id":"ITEM-1","itemData":{"author":[{"dropping-particle":"","family":"Boyd","given":"Andy","non-dropping-particle":"","parse-names":false,"suffix":""}],"id":"ITEM-1","issued":{"date-parts":[["2018"]]},"publisher-place":"London, UK","title":"NHS Digital: Precedents set","type":"report"},"uris":["http://www.mendeley.com/documents/?uuid=398497db-6e0d-4de9-ba29-6137b42fbda9"]}],"mendeley":{"formattedCitation":"&lt;sup&gt;32&lt;/sup&gt;","plainTextFormattedCitation":"32","previouslyFormattedCitation":"&lt;sup&gt;32&lt;/sup&gt;"},"properties":{"noteIndex":0},"schema":"https://github.com/citation-style-language/schema/raw/master/csl-citation.json"}</w:instrText>
      </w:r>
      <w:r w:rsidR="001C2B67">
        <w:fldChar w:fldCharType="separate"/>
      </w:r>
      <w:r w:rsidR="00591EBD" w:rsidRPr="00591EBD">
        <w:rPr>
          <w:noProof/>
          <w:vertAlign w:val="superscript"/>
        </w:rPr>
        <w:t>32</w:t>
      </w:r>
      <w:r w:rsidR="001C2B67">
        <w:fldChar w:fldCharType="end"/>
      </w:r>
      <w:r w:rsidR="000120ED" w:rsidRPr="000120ED">
        <w:t>.</w:t>
      </w:r>
    </w:p>
    <w:p w14:paraId="6FFDC939" w14:textId="77777777" w:rsidR="00681A6B" w:rsidRDefault="00681A6B" w:rsidP="00E34CF4"/>
    <w:p w14:paraId="21FA66FC" w14:textId="7C422FD1" w:rsidR="000120ED" w:rsidRDefault="00ED196F" w:rsidP="00E34CF4">
      <w:r>
        <w:t xml:space="preserve">CLOSER has </w:t>
      </w:r>
      <w:r w:rsidR="00460F8B">
        <w:t>reviewed the scope and potential of geographical variables which could be linked to UK longitudinal data</w:t>
      </w:r>
      <w:r w:rsidR="00945891">
        <w:fldChar w:fldCharType="begin" w:fldLock="1"/>
      </w:r>
      <w:r w:rsidR="00745D26">
        <w:instrText>ADDIN CSL_CITATION {"citationItems":[{"id":"ITEM-1","itemData":{"author":[{"dropping-particle":"","family":"Feng","given":"Zhiqiang","non-dropping-particle":"","parse-names":false,"suffix":""},{"dropping-particle":"","family":"Dibben","given":"Chris","non-dropping-particle":"","parse-names":false,"suffix":""}],"id":"ITEM-1","issued":{"date-parts":[["2013"]]},"publisher-place":"London, UK","title":"A review of resources for geographical variables","type":"report"},"uris":["http://www.mendeley.com/documents/?uuid=33a43b1a-a291-4a27-a205-6e53a2bec844"]}],"mendeley":{"formattedCitation":"&lt;sup&gt;33&lt;/sup&gt;","plainTextFormattedCitation":"33","previouslyFormattedCitation":"&lt;sup&gt;33&lt;/sup&gt;"},"properties":{"noteIndex":0},"schema":"https://github.com/citation-style-language/schema/raw/master/csl-citation.json"}</w:instrText>
      </w:r>
      <w:r w:rsidR="00945891">
        <w:fldChar w:fldCharType="separate"/>
      </w:r>
      <w:r w:rsidR="00591EBD" w:rsidRPr="00591EBD">
        <w:rPr>
          <w:noProof/>
          <w:vertAlign w:val="superscript"/>
        </w:rPr>
        <w:t>33</w:t>
      </w:r>
      <w:r w:rsidR="00945891">
        <w:fldChar w:fldCharType="end"/>
      </w:r>
      <w:r w:rsidR="00460F8B">
        <w:t xml:space="preserve">. It has also </w:t>
      </w:r>
      <w:r>
        <w:t>expand</w:t>
      </w:r>
      <w:r w:rsidR="00460F8B">
        <w:t>ed</w:t>
      </w:r>
      <w:r>
        <w:t xml:space="preserve"> the number of studies with geo-</w:t>
      </w:r>
      <w:r w:rsidR="00492FB1">
        <w:t>coded participant address data (geo-coding to location at a postcode level</w:t>
      </w:r>
      <w:r w:rsidR="001A2ABB">
        <w:t xml:space="preserve">) in order to facilitate linkage to </w:t>
      </w:r>
      <w:r w:rsidR="00492FB1">
        <w:t xml:space="preserve">associated </w:t>
      </w:r>
      <w:r>
        <w:t>contextual identifiers</w:t>
      </w:r>
      <w:r w:rsidR="00492FB1">
        <w:t xml:space="preserve"> such as electoral, health and census geographies</w:t>
      </w:r>
      <w:r w:rsidR="001A2ABB">
        <w:t xml:space="preserve">. This improves </w:t>
      </w:r>
      <w:r w:rsidR="00960B2B" w:rsidRPr="000120ED">
        <w:t xml:space="preserve">researchers’ ability to </w:t>
      </w:r>
      <w:r w:rsidR="00377D7D">
        <w:t xml:space="preserve">conduct multi-level modelling, to </w:t>
      </w:r>
      <w:r w:rsidR="00960B2B" w:rsidRPr="000120ED">
        <w:t>evaluate changes in</w:t>
      </w:r>
      <w:r w:rsidR="00E34CF4">
        <w:t xml:space="preserve"> </w:t>
      </w:r>
      <w:r w:rsidR="00AD2625">
        <w:t xml:space="preserve">geographical </w:t>
      </w:r>
      <w:r w:rsidR="00960B2B" w:rsidRPr="000120ED">
        <w:t xml:space="preserve">characteristics </w:t>
      </w:r>
      <w:r w:rsidR="000120ED" w:rsidRPr="000120ED">
        <w:t>across different time periods</w:t>
      </w:r>
      <w:r w:rsidR="00377D7D">
        <w:t xml:space="preserve"> and to link additional natural and social environmental data to study data (e.g. pollution exposures, green space provision, neighbourhood quality indices)</w:t>
      </w:r>
      <w:r w:rsidR="00960B2B" w:rsidRPr="000120ED">
        <w:t>.</w:t>
      </w:r>
      <w:r w:rsidR="000B49DD">
        <w:t xml:space="preserve"> Further information on the diverse outputs from CLOSER’s data linkage work packages, including information on the linkage methodologies used, is available in the supplementary materials.</w:t>
      </w:r>
    </w:p>
    <w:p w14:paraId="43180946" w14:textId="362E5FFF" w:rsidR="004B5C37" w:rsidRDefault="004B5C37" w:rsidP="00E34CF4"/>
    <w:p w14:paraId="27E70795" w14:textId="2DB87259" w:rsidR="00AB192E" w:rsidRDefault="004B5C37" w:rsidP="00214612">
      <w:r>
        <w:t xml:space="preserve">Two new data linkage work packages are also now planned, looking at linkage of primary care electronic patient records </w:t>
      </w:r>
      <w:r w:rsidRPr="000120ED">
        <w:t xml:space="preserve">and </w:t>
      </w:r>
      <w:r>
        <w:t>social media data (see Figure 4). T</w:t>
      </w:r>
      <w:r w:rsidRPr="000120ED">
        <w:t>heir outputs will also be released via the CLOSER website.</w:t>
      </w:r>
      <w:r>
        <w:t xml:space="preserve"> </w:t>
      </w:r>
      <w:r w:rsidR="002505DB" w:rsidRPr="000120ED">
        <w:t xml:space="preserve">CLOSER </w:t>
      </w:r>
      <w:r w:rsidR="0095713B">
        <w:t xml:space="preserve">is also continuing to </w:t>
      </w:r>
      <w:r w:rsidR="002505DB" w:rsidRPr="000120ED">
        <w:t>augment its work on improving linkage practice through engagement with data owners and key stakeholders in the UK.</w:t>
      </w:r>
    </w:p>
    <w:p w14:paraId="21703DEF" w14:textId="77777777" w:rsidR="002505DB" w:rsidRDefault="002505DB" w:rsidP="00214612"/>
    <w:p w14:paraId="6DA053C0" w14:textId="6E70D046" w:rsidR="00901537" w:rsidRDefault="00901537" w:rsidP="00FA49AA">
      <w:r>
        <w:rPr>
          <w:noProof/>
        </w:rPr>
        <w:t>[Please insert Figure 4 here]</w:t>
      </w:r>
    </w:p>
    <w:p w14:paraId="08F9AE4C" w14:textId="77777777" w:rsidR="00901537" w:rsidRDefault="00901537" w:rsidP="00520E66"/>
    <w:p w14:paraId="67831222" w14:textId="1E60F35F" w:rsidR="00D95F3D" w:rsidRDefault="00D95F3D">
      <w:pPr>
        <w:pStyle w:val="Heading4"/>
      </w:pPr>
      <w:r>
        <w:t xml:space="preserve">Training </w:t>
      </w:r>
      <w:r w:rsidR="004F71D1">
        <w:t xml:space="preserve">and </w:t>
      </w:r>
      <w:r w:rsidR="00294E0B">
        <w:t>K</w:t>
      </w:r>
      <w:r w:rsidR="00B77024">
        <w:t xml:space="preserve">nowledge </w:t>
      </w:r>
      <w:r w:rsidR="00294E0B">
        <w:t>E</w:t>
      </w:r>
      <w:r w:rsidR="00B77024">
        <w:t>xchange</w:t>
      </w:r>
    </w:p>
    <w:p w14:paraId="17944EC7" w14:textId="4D8CC41F" w:rsidR="004F71D1" w:rsidRDefault="004F71D1" w:rsidP="00294E0B">
      <w:r w:rsidRPr="00776B3C">
        <w:t>CLOSER develop</w:t>
      </w:r>
      <w:r>
        <w:t>s</w:t>
      </w:r>
      <w:r w:rsidRPr="00776B3C">
        <w:t xml:space="preserve"> </w:t>
      </w:r>
      <w:r>
        <w:t xml:space="preserve">a range of </w:t>
      </w:r>
      <w:r w:rsidRPr="00776B3C">
        <w:t>resources for training</w:t>
      </w:r>
      <w:r w:rsidR="00B77024">
        <w:t>,</w:t>
      </w:r>
      <w:r w:rsidRPr="00776B3C">
        <w:t xml:space="preserve"> capacity building</w:t>
      </w:r>
      <w:r w:rsidR="00B77024">
        <w:t xml:space="preserve"> and knowledge exchange. These focus </w:t>
      </w:r>
      <w:r w:rsidRPr="00776B3C">
        <w:t>particularly on building professional and research capacity and skills in the management, conduct and analysis of longitudinal studies</w:t>
      </w:r>
      <w:r w:rsidR="00611987">
        <w:t xml:space="preserve">. </w:t>
      </w:r>
      <w:r>
        <w:t>The</w:t>
      </w:r>
      <w:r w:rsidR="00611987">
        <w:t xml:space="preserve">y </w:t>
      </w:r>
      <w:r>
        <w:t>typically take the form of workshops and/or resource reports</w:t>
      </w:r>
      <w:r w:rsidR="00611987">
        <w:t xml:space="preserve">, with relevant </w:t>
      </w:r>
      <w:r>
        <w:t>e</w:t>
      </w:r>
      <w:r w:rsidR="00611987">
        <w:t xml:space="preserve">xamples including a </w:t>
      </w:r>
      <w:r>
        <w:t>workshop and report on developments in new technology for health-related data capture in longitudinal studies</w:t>
      </w:r>
      <w:r w:rsidR="008A61AA">
        <w:fldChar w:fldCharType="begin" w:fldLock="1"/>
      </w:r>
      <w:r w:rsidR="00745D26">
        <w:instrText>ADDIN CSL_CITATION {"citationItems":[{"id":"ITEM-1","itemData":{"author":[{"dropping-particle":"","family":"Stone","given":"Christopher J","non-dropping-particle":"","parse-names":false,"suffix":""},{"dropping-particle":"","family":"Skinner","given":"Andrew L","non-dropping-particle":"","parse-names":false,"suffix":""}],"id":"ITEM-1","issued":{"date-parts":[["2017"]]},"publisher-place":"London, UK","title":"New technology and novel methods for capturing health-related data in longitudinal and cohort studies: Report from a CLOSER workshop","type":"report"},"uris":["http://www.mendeley.com/documents/?uuid=3b13ce8c-1d5d-43bb-83d4-f752caa4c98d"]}],"mendeley":{"formattedCitation":"&lt;sup&gt;34&lt;/sup&gt;","plainTextFormattedCitation":"34","previouslyFormattedCitation":"&lt;sup&gt;34&lt;/sup&gt;"},"properties":{"noteIndex":0},"schema":"https://github.com/citation-style-language/schema/raw/master/csl-citation.json"}</w:instrText>
      </w:r>
      <w:r w:rsidR="008A61AA">
        <w:fldChar w:fldCharType="separate"/>
      </w:r>
      <w:r w:rsidR="00591EBD" w:rsidRPr="00591EBD">
        <w:rPr>
          <w:noProof/>
          <w:vertAlign w:val="superscript"/>
        </w:rPr>
        <w:t>34</w:t>
      </w:r>
      <w:r w:rsidR="008A61AA">
        <w:fldChar w:fldCharType="end"/>
      </w:r>
      <w:r>
        <w:t xml:space="preserve"> and a report on NHS Numbers (patient identifiers) and key features of their use with regard to longitudinal studies</w:t>
      </w:r>
      <w:r w:rsidR="008A61AA">
        <w:fldChar w:fldCharType="begin" w:fldLock="1"/>
      </w:r>
      <w:r w:rsidR="00745D26">
        <w:instrText>ADDIN CSL_CITATION {"citationItems":[{"id":"ITEM-1","itemData":{"author":[{"dropping-particle":"","family":"Boyd","given":"Andy","non-dropping-particle":"","parse-names":false,"suffix":""},{"dropping-particle":"","family":"Thomas","given":"Richard","non-dropping-particle":"","parse-names":false,"suffix":""},{"dropping-particle":"","family":"Macleod","given":"John","non-dropping-particle":"","parse-names":false,"suffix":""}],"id":"ITEM-1","issued":{"date-parts":[["2018"]]},"publisher-place":"London, UK","title":"NHS Number and the systems used to manage them: An overview for research users","type":"report"},"uris":["http://www.mendeley.com/documents/?uuid=6267e9e6-7576-457c-af0a-dea2f8193c2f"]}],"mendeley":{"formattedCitation":"&lt;sup&gt;35&lt;/sup&gt;","plainTextFormattedCitation":"35","previouslyFormattedCitation":"&lt;sup&gt;35&lt;/sup&gt;"},"properties":{"noteIndex":0},"schema":"https://github.com/citation-style-language/schema/raw/master/csl-citation.json"}</w:instrText>
      </w:r>
      <w:r w:rsidR="008A61AA">
        <w:fldChar w:fldCharType="separate"/>
      </w:r>
      <w:r w:rsidR="00591EBD" w:rsidRPr="00591EBD">
        <w:rPr>
          <w:noProof/>
          <w:vertAlign w:val="superscript"/>
        </w:rPr>
        <w:t>35</w:t>
      </w:r>
      <w:r w:rsidR="008A61AA">
        <w:fldChar w:fldCharType="end"/>
      </w:r>
      <w:r>
        <w:t>.</w:t>
      </w:r>
      <w:r w:rsidR="00294749">
        <w:t xml:space="preserve"> </w:t>
      </w:r>
      <w:bookmarkStart w:id="8" w:name="_Hlk529821042"/>
      <w:bookmarkStart w:id="9" w:name="_Hlk529820536"/>
      <w:bookmarkStart w:id="10" w:name="_Hlk530588340"/>
      <w:r w:rsidR="00294749">
        <w:t xml:space="preserve">CLOSER has recently run a workshop on the </w:t>
      </w:r>
      <w:r w:rsidR="00B007A6">
        <w:t xml:space="preserve">opportunities and challenges of creating and using </w:t>
      </w:r>
      <w:r w:rsidR="00294749">
        <w:t>harmonised datasets, including examples of research undertaken with the CLOSER harmonised datasets described above</w:t>
      </w:r>
      <w:r w:rsidR="00B007A6">
        <w:t xml:space="preserve"> and the constraints they encountered in producing comparable data using different data sources</w:t>
      </w:r>
      <w:r w:rsidR="00745D26">
        <w:fldChar w:fldCharType="begin" w:fldLock="1"/>
      </w:r>
      <w:r w:rsidR="00B63660">
        <w:instrText>ADDIN CSL_CITATION {"citationItems":[{"id":"ITEM-1","itemData":{"URL":"https://www.closer.ac.uk/news-opinion/blog/crossstudy-research-overcoming-obstacles-uncovering-opportunity/","author":[{"dropping-particle":"","family":"O'Neill","given":"Dara","non-dropping-particle":"","parse-names":false,"suffix":""}],"id":"ITEM-1","issued":{"date-parts":[["2018"]]},"publisher-place":"London, UK","title":"Cross-study research: Overcoming obstacles, uncovering opportunity","type":"webpage"},"uris":["http://www.mendeley.com/documents/?uuid=6e8dfa69-ef85-4546-93cd-e15074e7deef"]}],"mendeley":{"formattedCitation":"&lt;sup&gt;36&lt;/sup&gt;","plainTextFormattedCitation":"36","previouslyFormattedCitation":"&lt;sup&gt;36&lt;/sup&gt;"},"properties":{"noteIndex":0},"schema":"https://github.com/citation-style-language/schema/raw/master/csl-citation.json"}</w:instrText>
      </w:r>
      <w:r w:rsidR="00745D26">
        <w:fldChar w:fldCharType="separate"/>
      </w:r>
      <w:r w:rsidR="00745D26" w:rsidRPr="00745D26">
        <w:rPr>
          <w:noProof/>
          <w:vertAlign w:val="superscript"/>
        </w:rPr>
        <w:t>36</w:t>
      </w:r>
      <w:r w:rsidR="00745D26">
        <w:fldChar w:fldCharType="end"/>
      </w:r>
      <w:r w:rsidR="00294749">
        <w:t>.</w:t>
      </w:r>
      <w:bookmarkEnd w:id="8"/>
      <w:bookmarkEnd w:id="9"/>
      <w:r w:rsidR="002E1932">
        <w:t xml:space="preserve"> </w:t>
      </w:r>
      <w:r w:rsidR="000B49DD">
        <w:t>To help disseminate the learning from such events and encourage wider knowledge exchange</w:t>
      </w:r>
      <w:r w:rsidR="002E1932">
        <w:t xml:space="preserve">, </w:t>
      </w:r>
      <w:r w:rsidR="000B49DD">
        <w:t xml:space="preserve">the </w:t>
      </w:r>
      <w:r w:rsidR="002E1932">
        <w:t xml:space="preserve">materials from </w:t>
      </w:r>
      <w:r w:rsidR="000B49DD">
        <w:t xml:space="preserve">these </w:t>
      </w:r>
      <w:r w:rsidR="002E1932">
        <w:t xml:space="preserve">workshops are made available </w:t>
      </w:r>
      <w:r w:rsidR="000B49DD">
        <w:t xml:space="preserve">for access and reference via </w:t>
      </w:r>
      <w:r w:rsidR="002E1932">
        <w:t>the CLOSER website.</w:t>
      </w:r>
      <w:bookmarkEnd w:id="10"/>
    </w:p>
    <w:p w14:paraId="2F9EE044" w14:textId="77777777" w:rsidR="004F71D1" w:rsidRDefault="004F71D1" w:rsidP="00294E0B"/>
    <w:p w14:paraId="2A5B7FA4" w14:textId="75B6A07F" w:rsidR="00FE67EA" w:rsidRDefault="008B1F4D" w:rsidP="001B7096">
      <w:r>
        <w:t xml:space="preserve">CLOSER has also produced a data resource for educational use. </w:t>
      </w:r>
      <w:r w:rsidR="00E93BF2">
        <w:t xml:space="preserve">Using </w:t>
      </w:r>
      <w:r>
        <w:t xml:space="preserve">NCDS </w:t>
      </w:r>
      <w:r w:rsidR="00E93BF2">
        <w:t>data</w:t>
      </w:r>
      <w:r>
        <w:t xml:space="preserve">, CLOSER has </w:t>
      </w:r>
      <w:r w:rsidR="00612C6F">
        <w:t>derived</w:t>
      </w:r>
      <w:r>
        <w:t xml:space="preserve"> a cleaned and pseudonymised training dat</w:t>
      </w:r>
      <w:r w:rsidR="00886905">
        <w:t>aset for students and educators</w:t>
      </w:r>
      <w:r>
        <w:t xml:space="preserve">. This dataset comprises 89 variables assessed across eight </w:t>
      </w:r>
      <w:r w:rsidR="00652DCB">
        <w:t xml:space="preserve">study </w:t>
      </w:r>
      <w:r>
        <w:t xml:space="preserve">waves </w:t>
      </w:r>
      <w:r w:rsidR="00652DCB">
        <w:t>from 1958 through to 2008.</w:t>
      </w:r>
      <w:r w:rsidR="00886905">
        <w:t xml:space="preserve"> </w:t>
      </w:r>
      <w:r>
        <w:t xml:space="preserve">Information on the dataset is available </w:t>
      </w:r>
      <w:r w:rsidR="00EE6B4D">
        <w:t xml:space="preserve">via the CLOSER Learning Hub, </w:t>
      </w:r>
      <w:r>
        <w:t xml:space="preserve">an </w:t>
      </w:r>
      <w:r w:rsidR="00B57FB9">
        <w:t xml:space="preserve">educational platform </w:t>
      </w:r>
      <w:r>
        <w:t>developed by the consortium</w:t>
      </w:r>
      <w:r w:rsidR="00B57FB9">
        <w:t xml:space="preserve">. This platform provides </w:t>
      </w:r>
      <w:r w:rsidR="00E93BF2">
        <w:t xml:space="preserve">training materials </w:t>
      </w:r>
      <w:r w:rsidR="00B57FB9">
        <w:t xml:space="preserve">for students and educators that introduce the fundamentals of longitudinal research. Using actual data and </w:t>
      </w:r>
      <w:r>
        <w:t xml:space="preserve">published study </w:t>
      </w:r>
      <w:r w:rsidR="00B57FB9">
        <w:t>outputs, t</w:t>
      </w:r>
      <w:r w:rsidR="00FE67EA">
        <w:t xml:space="preserve">he Learning Hub </w:t>
      </w:r>
      <w:r w:rsidR="004313D3">
        <w:t xml:space="preserve">offers instruction </w:t>
      </w:r>
      <w:r w:rsidR="00B57FB9">
        <w:t xml:space="preserve">on terminology, design issues and </w:t>
      </w:r>
      <w:r w:rsidR="00652DCB">
        <w:t>analytic methods</w:t>
      </w:r>
      <w:r w:rsidR="00B57FB9">
        <w:t>. The platform has evidence section</w:t>
      </w:r>
      <w:r w:rsidR="0070573E">
        <w:t>s</w:t>
      </w:r>
      <w:r w:rsidR="00B57FB9">
        <w:t xml:space="preserve"> dedicated to reviewing specific research areas </w:t>
      </w:r>
      <w:r w:rsidR="0070573E">
        <w:t xml:space="preserve">and papers </w:t>
      </w:r>
      <w:r w:rsidR="00B57FB9">
        <w:t>in detail.</w:t>
      </w:r>
      <w:r>
        <w:t xml:space="preserve"> </w:t>
      </w:r>
      <w:r w:rsidR="0070573E">
        <w:t>T</w:t>
      </w:r>
      <w:r>
        <w:t xml:space="preserve">he site </w:t>
      </w:r>
      <w:r w:rsidR="0070573E">
        <w:t xml:space="preserve">also provides </w:t>
      </w:r>
      <w:r>
        <w:t>teaching exercises specific to the training dataset, with answer</w:t>
      </w:r>
      <w:r w:rsidR="008716DC">
        <w:t xml:space="preserve"> </w:t>
      </w:r>
      <w:r>
        <w:t xml:space="preserve">sheets provided </w:t>
      </w:r>
      <w:r w:rsidR="00612C6F">
        <w:t xml:space="preserve">that enable </w:t>
      </w:r>
      <w:r>
        <w:t xml:space="preserve">learners to </w:t>
      </w:r>
      <w:r w:rsidR="00D82A9C">
        <w:t xml:space="preserve">appraise </w:t>
      </w:r>
      <w:r>
        <w:t xml:space="preserve">their </w:t>
      </w:r>
      <w:r w:rsidR="00D82A9C">
        <w:t>work</w:t>
      </w:r>
      <w:r>
        <w:t>.</w:t>
      </w:r>
      <w:r w:rsidR="00AB192E">
        <w:t xml:space="preserve"> </w:t>
      </w:r>
    </w:p>
    <w:p w14:paraId="133C6F87" w14:textId="77777777" w:rsidR="001165BE" w:rsidRPr="001C283E" w:rsidRDefault="001165BE" w:rsidP="001165BE">
      <w:pPr>
        <w:rPr>
          <w:sz w:val="22"/>
        </w:rPr>
      </w:pPr>
    </w:p>
    <w:p w14:paraId="108F4352" w14:textId="77777777" w:rsidR="00673D50" w:rsidRPr="001C283E" w:rsidRDefault="00673D50" w:rsidP="004913E9">
      <w:pPr>
        <w:pStyle w:val="Heading2"/>
        <w:rPr>
          <w:rFonts w:ascii="Times New Roman" w:hAnsi="Times New Roman"/>
          <w:bCs/>
          <w:sz w:val="27"/>
          <w:szCs w:val="27"/>
        </w:rPr>
      </w:pPr>
      <w:r w:rsidRPr="001C283E">
        <w:t>Ethical clearance</w:t>
      </w:r>
    </w:p>
    <w:p w14:paraId="631659E2" w14:textId="04902B69" w:rsidR="00673D50" w:rsidRPr="001C283E" w:rsidRDefault="00673D50" w:rsidP="00AB4B44">
      <w:r w:rsidRPr="001C283E">
        <w:t>The work undertaken by CLOSER received ethical approval from the UCL Institute</w:t>
      </w:r>
      <w:r w:rsidR="00F65B99">
        <w:t xml:space="preserve"> of Education (FPS-447-CLOSER).</w:t>
      </w:r>
    </w:p>
    <w:p w14:paraId="6B831CAC" w14:textId="77777777" w:rsidR="001165BE" w:rsidRPr="001C283E" w:rsidRDefault="001165BE" w:rsidP="001165BE">
      <w:pPr>
        <w:rPr>
          <w:sz w:val="22"/>
        </w:rPr>
      </w:pPr>
    </w:p>
    <w:p w14:paraId="1FEFF011" w14:textId="77777777" w:rsidR="00673D50" w:rsidRPr="001C283E" w:rsidRDefault="00673D50" w:rsidP="00AE1B7B">
      <w:pPr>
        <w:pStyle w:val="Heading2"/>
        <w:rPr>
          <w:rFonts w:ascii="Times New Roman" w:hAnsi="Times New Roman"/>
          <w:bCs/>
          <w:sz w:val="27"/>
          <w:szCs w:val="27"/>
        </w:rPr>
      </w:pPr>
      <w:r w:rsidRPr="001C283E">
        <w:t>Funding sources</w:t>
      </w:r>
    </w:p>
    <w:p w14:paraId="52D98023" w14:textId="53757EBF" w:rsidR="00673D50" w:rsidRPr="00FA49AA" w:rsidRDefault="00673D50" w:rsidP="00AB4B44">
      <w:pPr>
        <w:rPr>
          <w:sz w:val="24"/>
          <w:szCs w:val="24"/>
        </w:rPr>
      </w:pPr>
      <w:r w:rsidRPr="001C283E">
        <w:t xml:space="preserve">The CLOSER consortium is </w:t>
      </w:r>
      <w:r w:rsidRPr="00FA49AA">
        <w:t>supported by funding from the Economic and Social Research Council (ESRC)</w:t>
      </w:r>
      <w:r w:rsidR="00714D62" w:rsidRPr="00FA49AA">
        <w:t xml:space="preserve"> and the Medical Research Council (MRC)</w:t>
      </w:r>
      <w:r w:rsidRPr="00FA49AA">
        <w:t xml:space="preserve">. </w:t>
      </w:r>
      <w:r w:rsidR="00D00000" w:rsidRPr="00FA49AA">
        <w:t xml:space="preserve">An initial grant for this work was awarded to CLOSER in </w:t>
      </w:r>
      <w:r w:rsidR="00FA49AA" w:rsidRPr="00FA49AA">
        <w:t>2012 and</w:t>
      </w:r>
      <w:r w:rsidR="00D00000" w:rsidRPr="00FA49AA">
        <w:t xml:space="preserve"> extended in 2017</w:t>
      </w:r>
      <w:r w:rsidR="00336D32" w:rsidRPr="00FA49AA">
        <w:t xml:space="preserve"> (</w:t>
      </w:r>
      <w:r w:rsidR="005A7650" w:rsidRPr="00FA49AA">
        <w:t xml:space="preserve">award reference: </w:t>
      </w:r>
      <w:r w:rsidR="00164964" w:rsidRPr="00FA49AA">
        <w:rPr>
          <w:rFonts w:cs="Helvetica"/>
          <w:color w:val="000000"/>
          <w:shd w:val="clear" w:color="auto" w:fill="FFFFFF"/>
        </w:rPr>
        <w:t>ES/K000357/1</w:t>
      </w:r>
      <w:r w:rsidR="00336D32" w:rsidRPr="00FA49AA">
        <w:t>)</w:t>
      </w:r>
      <w:r w:rsidR="00D00000" w:rsidRPr="00FA49AA">
        <w:t>.</w:t>
      </w:r>
    </w:p>
    <w:p w14:paraId="7D158EE2" w14:textId="77777777" w:rsidR="00673D50" w:rsidRPr="001C283E" w:rsidRDefault="00673D50" w:rsidP="00AB4B44">
      <w:pPr>
        <w:rPr>
          <w:sz w:val="22"/>
        </w:rPr>
      </w:pPr>
    </w:p>
    <w:p w14:paraId="3F1781F1" w14:textId="77777777" w:rsidR="00673D50" w:rsidRPr="001C283E" w:rsidRDefault="00673D50" w:rsidP="00AE1B7B">
      <w:pPr>
        <w:pStyle w:val="Heading1"/>
      </w:pPr>
      <w:r w:rsidRPr="001C283E">
        <w:t>Data Resource Use</w:t>
      </w:r>
    </w:p>
    <w:p w14:paraId="03E0CE8D" w14:textId="77777777" w:rsidR="001C28FF" w:rsidRDefault="00A56900" w:rsidP="001B7096">
      <w:pPr>
        <w:pStyle w:val="Heading2"/>
      </w:pPr>
      <w:r>
        <w:t xml:space="preserve">Harmonised </w:t>
      </w:r>
      <w:bookmarkStart w:id="11" w:name="_Hlk521944370"/>
      <w:r w:rsidR="00454242">
        <w:t>A</w:t>
      </w:r>
      <w:r w:rsidR="00454242" w:rsidRPr="00454242">
        <w:t xml:space="preserve">nthropometric </w:t>
      </w:r>
      <w:bookmarkEnd w:id="11"/>
      <w:r>
        <w:t xml:space="preserve">and Socio-Economic </w:t>
      </w:r>
      <w:r w:rsidR="001C28FF">
        <w:t>Measures</w:t>
      </w:r>
    </w:p>
    <w:p w14:paraId="62609C16" w14:textId="74AEF548" w:rsidR="001412D6" w:rsidRDefault="001412D6" w:rsidP="00454242">
      <w:r w:rsidRPr="001C283E">
        <w:t>CLOSER</w:t>
      </w:r>
      <w:r w:rsidR="009426F5">
        <w:t xml:space="preserve">’s </w:t>
      </w:r>
      <w:r w:rsidR="00B17949">
        <w:t xml:space="preserve">data </w:t>
      </w:r>
      <w:r w:rsidR="009426F5">
        <w:t xml:space="preserve">resources </w:t>
      </w:r>
      <w:r w:rsidR="00025C01" w:rsidRPr="001C283E">
        <w:t xml:space="preserve">have been used in </w:t>
      </w:r>
      <w:r w:rsidR="00665022" w:rsidRPr="001C283E">
        <w:t>several</w:t>
      </w:r>
      <w:r w:rsidR="00025C01" w:rsidRPr="001C283E">
        <w:t xml:space="preserve"> </w:t>
      </w:r>
      <w:r w:rsidR="00857FAF">
        <w:t>research projects</w:t>
      </w:r>
      <w:r w:rsidR="009426F5">
        <w:t xml:space="preserve"> to date</w:t>
      </w:r>
      <w:r w:rsidR="00025C01" w:rsidRPr="001C283E">
        <w:t>, with more forthcoming</w:t>
      </w:r>
      <w:r w:rsidR="009426F5">
        <w:t xml:space="preserve"> as the</w:t>
      </w:r>
      <w:r w:rsidR="000C0228">
        <w:t xml:space="preserve"> current work packages conclude</w:t>
      </w:r>
      <w:r w:rsidR="00025C01" w:rsidRPr="001C283E">
        <w:t xml:space="preserve">. An example </w:t>
      </w:r>
      <w:r w:rsidR="00B97AEF">
        <w:t xml:space="preserve">is </w:t>
      </w:r>
      <w:r w:rsidR="00025C01" w:rsidRPr="001C283E">
        <w:t xml:space="preserve">the </w:t>
      </w:r>
      <w:r w:rsidR="009E34F9">
        <w:t xml:space="preserve">cross-study </w:t>
      </w:r>
      <w:r w:rsidR="00B97AEF">
        <w:t xml:space="preserve">research that has been </w:t>
      </w:r>
      <w:r w:rsidR="000847A0">
        <w:t xml:space="preserve">undertaken </w:t>
      </w:r>
      <w:r w:rsidR="009E34F9">
        <w:t xml:space="preserve">on </w:t>
      </w:r>
      <w:r w:rsidR="00B66D30">
        <w:t>body si</w:t>
      </w:r>
      <w:r w:rsidR="00454242">
        <w:t xml:space="preserve">ze and </w:t>
      </w:r>
      <w:r w:rsidR="009E34F9">
        <w:t>composition measures</w:t>
      </w:r>
      <w:r w:rsidR="009271C8">
        <w:t xml:space="preserve">, part of CLOSER’s </w:t>
      </w:r>
      <w:r w:rsidR="009426F5">
        <w:t xml:space="preserve">data </w:t>
      </w:r>
      <w:r w:rsidR="009271C8">
        <w:t xml:space="preserve">harmonisation </w:t>
      </w:r>
      <w:r w:rsidR="009426F5">
        <w:t>efforts</w:t>
      </w:r>
      <w:r w:rsidR="00B66D30">
        <w:t>.</w:t>
      </w:r>
      <w:r w:rsidR="00B6439B">
        <w:t xml:space="preserve"> </w:t>
      </w:r>
      <w:r w:rsidR="009426F5">
        <w:t xml:space="preserve">This harmonisation involved the integration of data </w:t>
      </w:r>
      <w:r w:rsidR="008F43D0">
        <w:t xml:space="preserve">from </w:t>
      </w:r>
      <w:bookmarkStart w:id="12" w:name="_Hlk521337420"/>
      <w:r w:rsidR="005C6641">
        <w:t xml:space="preserve">56,425 participants </w:t>
      </w:r>
      <w:bookmarkEnd w:id="12"/>
      <w:r w:rsidR="005C6641">
        <w:t xml:space="preserve">across </w:t>
      </w:r>
      <w:r w:rsidR="008F43D0">
        <w:t>fiv</w:t>
      </w:r>
      <w:r w:rsidR="006A4513">
        <w:t xml:space="preserve">e </w:t>
      </w:r>
      <w:r w:rsidR="00736568">
        <w:t xml:space="preserve">cohort studies within </w:t>
      </w:r>
      <w:r w:rsidR="00551BB4">
        <w:t xml:space="preserve">the </w:t>
      </w:r>
      <w:r w:rsidR="006A4513">
        <w:t>CLOSER</w:t>
      </w:r>
      <w:r w:rsidR="00A475A5">
        <w:t xml:space="preserve"> </w:t>
      </w:r>
      <w:r w:rsidR="00551BB4">
        <w:t>consortium</w:t>
      </w:r>
      <w:r w:rsidR="009426F5">
        <w:t xml:space="preserve">. </w:t>
      </w:r>
      <w:r w:rsidR="006A4513">
        <w:t xml:space="preserve">The </w:t>
      </w:r>
      <w:r w:rsidR="005C6641">
        <w:t xml:space="preserve">resultant </w:t>
      </w:r>
      <w:r w:rsidR="006A4513">
        <w:t>dataset</w:t>
      </w:r>
      <w:r w:rsidR="00454242">
        <w:t>s</w:t>
      </w:r>
      <w:r w:rsidR="006A4513">
        <w:t xml:space="preserve"> </w:t>
      </w:r>
      <w:r w:rsidR="00454242">
        <w:t>provide</w:t>
      </w:r>
      <w:r w:rsidR="009426F5">
        <w:t xml:space="preserve"> </w:t>
      </w:r>
      <w:r w:rsidR="008F43D0">
        <w:t xml:space="preserve">participant weight, height and </w:t>
      </w:r>
      <w:r w:rsidR="000C0228">
        <w:t>body-mass index (</w:t>
      </w:r>
      <w:r w:rsidR="008F43D0">
        <w:t>BMI</w:t>
      </w:r>
      <w:r w:rsidR="000C0228">
        <w:t>)</w:t>
      </w:r>
      <w:r w:rsidR="009426F5">
        <w:t xml:space="preserve"> variables</w:t>
      </w:r>
      <w:r w:rsidR="008F43D0">
        <w:t>, alongside information on measurement method (self-report or directly assessed), units used (imperial or metric), and measurement precision</w:t>
      </w:r>
      <w:r w:rsidR="00064F6E">
        <w:t xml:space="preserve">. </w:t>
      </w:r>
      <w:r w:rsidR="008F43D0">
        <w:t>The dataset</w:t>
      </w:r>
      <w:r w:rsidR="00454242">
        <w:t>s also include</w:t>
      </w:r>
      <w:r w:rsidR="008F43D0">
        <w:t xml:space="preserve"> </w:t>
      </w:r>
      <w:r w:rsidR="005C6641">
        <w:t xml:space="preserve">a cohort study </w:t>
      </w:r>
      <w:r w:rsidR="002B01AE">
        <w:t>identifier</w:t>
      </w:r>
      <w:r w:rsidR="00536679">
        <w:t xml:space="preserve">, </w:t>
      </w:r>
      <w:r w:rsidR="005C6641">
        <w:t>a pseudonymised participant code</w:t>
      </w:r>
      <w:r w:rsidR="002B01AE">
        <w:t xml:space="preserve">, </w:t>
      </w:r>
      <w:r w:rsidR="00E07514">
        <w:t>and demographic details</w:t>
      </w:r>
      <w:r w:rsidR="002B01AE">
        <w:t xml:space="preserve">. </w:t>
      </w:r>
      <w:r w:rsidR="008F43D0">
        <w:t xml:space="preserve">Table </w:t>
      </w:r>
      <w:r w:rsidR="007F22A3">
        <w:t>1</w:t>
      </w:r>
      <w:r w:rsidR="008F43D0">
        <w:t xml:space="preserve"> summarises the data available for the </w:t>
      </w:r>
      <w:r w:rsidR="007F22A3">
        <w:t>key</w:t>
      </w:r>
      <w:r w:rsidR="009426F5">
        <w:t xml:space="preserve"> </w:t>
      </w:r>
      <w:r w:rsidR="008F43D0">
        <w:t>harmonised variables</w:t>
      </w:r>
      <w:r w:rsidR="009426F5">
        <w:t>, with the number of waves and counts</w:t>
      </w:r>
      <w:r w:rsidR="007F22A3">
        <w:t xml:space="preserve"> </w:t>
      </w:r>
      <w:r w:rsidR="0052183F">
        <w:t>provided</w:t>
      </w:r>
      <w:r w:rsidR="009426F5">
        <w:t xml:space="preserve"> for each of the source studies</w:t>
      </w:r>
      <w:r w:rsidR="008F43D0">
        <w:t>.</w:t>
      </w:r>
      <w:r w:rsidR="00454242">
        <w:t xml:space="preserve"> These datasets have recently been used together in an investigation </w:t>
      </w:r>
      <w:r w:rsidR="00536679">
        <w:t>of</w:t>
      </w:r>
      <w:r w:rsidR="00454242">
        <w:t xml:space="preserve"> obesity trajectories across the lifecourse and whether these differ between older and younger generations of UK residents</w:t>
      </w:r>
      <w:r w:rsidR="001C2B67">
        <w:fldChar w:fldCharType="begin" w:fldLock="1"/>
      </w:r>
      <w:r w:rsidR="00B63660">
        <w:instrText>ADDIN CSL_CITATION {"citationItems":[{"id":"ITEM-1","itemData":{"DOI":"10.1371/journal.pmed.1001828","abstract":"In a longitudinal analysis, William Johnson and colleagues examine how individual lifetime BMI trajectories among white citizens of the UK have changed from 1946 to 2014.","author":[{"dropping-particle":"","family":"Johnson","given":"William","non-dropping-particle":"","parse-names":false,"suffix":""},{"dropping-particle":"","family":"Li","given":"Leah","non-dropping-particle":"","parse-names":false,"suffix":""},{"dropping-particle":"","family":"Kuh","given":"Diana","non-dropping-particle":"","parse-names":false,"suffix":""},{"dropping-particle":"","family":"Hardy","given":"Rebecca","non-dropping-particle":"","parse-names":false,"suffix":""}],"container-title":"PLOS Medicine","id":"ITEM-1","issue":"5","issued":{"date-parts":[["2015","5","19"]]},"page":"e1001828","title":"How has the age-related process of overweight or obesity development changed over time? Co-ordinated analyses of individual participant data from five United Kingdom birth cohorts","type":"article-journal","volume":"12"},"uris":["http://www.mendeley.com/documents/?uuid=8348e354-5a3b-40ed-822f-46fd0dfba578"]}],"mendeley":{"formattedCitation":"&lt;sup&gt;37&lt;/sup&gt;","plainTextFormattedCitation":"37","previouslyFormattedCitation":"&lt;sup&gt;37&lt;/sup&gt;"},"properties":{"noteIndex":0},"schema":"https://github.com/citation-style-language/schema/raw/master/csl-citation.json"}</w:instrText>
      </w:r>
      <w:r w:rsidR="001C2B67">
        <w:fldChar w:fldCharType="separate"/>
      </w:r>
      <w:r w:rsidR="00745D26" w:rsidRPr="00745D26">
        <w:rPr>
          <w:noProof/>
          <w:vertAlign w:val="superscript"/>
        </w:rPr>
        <w:t>37</w:t>
      </w:r>
      <w:r w:rsidR="001C2B67">
        <w:fldChar w:fldCharType="end"/>
      </w:r>
      <w:r w:rsidR="00454242">
        <w:t>.</w:t>
      </w:r>
    </w:p>
    <w:p w14:paraId="2F50DFEB" w14:textId="77777777" w:rsidR="006363D7" w:rsidRDefault="006363D7" w:rsidP="00D27BD9"/>
    <w:p w14:paraId="4A4D7F62" w14:textId="63DA0832" w:rsidR="00025C01" w:rsidRDefault="00FA49AA" w:rsidP="00D27BD9">
      <w:r>
        <w:t>[Please insert Table 1 here]</w:t>
      </w:r>
    </w:p>
    <w:p w14:paraId="5F97C1C5" w14:textId="77777777" w:rsidR="00FA49AA" w:rsidRDefault="00FA49AA" w:rsidP="00D27BD9"/>
    <w:p w14:paraId="1A1CAB52" w14:textId="6485B394" w:rsidR="00B97AEF" w:rsidRDefault="00454242" w:rsidP="00D27BD9">
      <w:r>
        <w:t>The</w:t>
      </w:r>
      <w:r w:rsidR="00D6534C">
        <w:t>s</w:t>
      </w:r>
      <w:r>
        <w:t>e</w:t>
      </w:r>
      <w:r w:rsidR="00D6534C">
        <w:t xml:space="preserve"> </w:t>
      </w:r>
      <w:r>
        <w:t>data have</w:t>
      </w:r>
      <w:r w:rsidR="00D6534C">
        <w:t xml:space="preserve"> also been </w:t>
      </w:r>
      <w:r w:rsidR="00B10F2E">
        <w:t xml:space="preserve">linked to a second </w:t>
      </w:r>
      <w:r w:rsidR="00BB71A5">
        <w:t xml:space="preserve">set </w:t>
      </w:r>
      <w:r w:rsidR="00B10F2E">
        <w:t xml:space="preserve">of CLOSER’s </w:t>
      </w:r>
      <w:r w:rsidR="009A35A4">
        <w:t xml:space="preserve">data </w:t>
      </w:r>
      <w:r>
        <w:t xml:space="preserve">outputs </w:t>
      </w:r>
      <w:r w:rsidR="007313C7">
        <w:t xml:space="preserve">in which </w:t>
      </w:r>
      <w:r w:rsidR="00BB71A5">
        <w:t xml:space="preserve">longitudinal measures of </w:t>
      </w:r>
      <w:r w:rsidR="009E62E6">
        <w:t xml:space="preserve">socioeconomic </w:t>
      </w:r>
      <w:r w:rsidR="001E564B">
        <w:t xml:space="preserve">position </w:t>
      </w:r>
      <w:r w:rsidR="00D10919">
        <w:t xml:space="preserve">(based on occupational social class) </w:t>
      </w:r>
      <w:r w:rsidR="007313C7">
        <w:t xml:space="preserve">were </w:t>
      </w:r>
      <w:r w:rsidR="009A35A4">
        <w:t xml:space="preserve">harmonised </w:t>
      </w:r>
      <w:r w:rsidR="007313C7">
        <w:t xml:space="preserve">across </w:t>
      </w:r>
      <w:r w:rsidR="00BB71A5">
        <w:t xml:space="preserve">four of the CLOSER partner studies. </w:t>
      </w:r>
      <w:r w:rsidR="009A35A4">
        <w:t xml:space="preserve">The variables, studies and participant counts are outlined in </w:t>
      </w:r>
      <w:r w:rsidR="008958F3">
        <w:t xml:space="preserve">Table 2. </w:t>
      </w:r>
      <w:r w:rsidR="009A35A4">
        <w:t xml:space="preserve">These </w:t>
      </w:r>
      <w:r w:rsidR="008958F3">
        <w:t>socio-economic data have</w:t>
      </w:r>
      <w:r w:rsidR="00BB71A5">
        <w:t xml:space="preserve"> been used </w:t>
      </w:r>
      <w:r w:rsidR="009A35A4">
        <w:t>alongside the harmonised a</w:t>
      </w:r>
      <w:r w:rsidR="009A35A4" w:rsidRPr="00454242">
        <w:t xml:space="preserve">nthropometric </w:t>
      </w:r>
      <w:r w:rsidR="009A35A4">
        <w:t xml:space="preserve">data </w:t>
      </w:r>
      <w:r w:rsidR="00BB71A5">
        <w:t xml:space="preserve">in </w:t>
      </w:r>
      <w:r w:rsidR="009E62E6">
        <w:t xml:space="preserve">two </w:t>
      </w:r>
      <w:r w:rsidR="00BB71A5">
        <w:t xml:space="preserve">recent </w:t>
      </w:r>
      <w:r w:rsidR="009E62E6">
        <w:t xml:space="preserve">studies evaluating </w:t>
      </w:r>
      <w:r w:rsidR="00BB71A5">
        <w:t xml:space="preserve">lifecourse </w:t>
      </w:r>
      <w:r w:rsidR="00EC141C">
        <w:t>changes</w:t>
      </w:r>
      <w:r w:rsidR="00BB71A5">
        <w:t xml:space="preserve"> and </w:t>
      </w:r>
      <w:r w:rsidR="000C0228">
        <w:t xml:space="preserve">generational </w:t>
      </w:r>
      <w:r w:rsidR="00EC141C">
        <w:t xml:space="preserve">differences </w:t>
      </w:r>
      <w:r w:rsidR="000C0228">
        <w:t xml:space="preserve">in the association between </w:t>
      </w:r>
      <w:r w:rsidR="008958F3">
        <w:t>body size</w:t>
      </w:r>
      <w:r w:rsidR="00BB71A5">
        <w:t xml:space="preserve"> and socioeconomic inequality</w:t>
      </w:r>
      <w:r w:rsidR="001C2B67">
        <w:fldChar w:fldCharType="begin" w:fldLock="1"/>
      </w:r>
      <w:r w:rsidR="00B63660">
        <w:instrText>ADDIN CSL_CITATION {"citationItems":[{"id":"ITEM-1","itemData":{"DOI":"10.1371/journal.pmed.1002214","abstract":"In a harmonized analysis of socioeconomic and anthropometric data from three cohorts, David Bann and colleagues trace the relationship between socioeconomic status and BMI over time in the UK.","author":[{"dropping-particle":"","family":"Bann","given":"David","non-dropping-particle":"","parse-names":false,"suffix":""},{"dropping-particle":"","family":"Johnson","given":"William","non-dropping-particle":"","parse-names":false,"suffix":""},{"dropping-particle":"","family":"Li","given":"Leah","non-dropping-particle":"","parse-names":false,"suffix":""},{"dropping-particle":"","family":"Kuh","given":"Diana","non-dropping-particle":"","parse-names":false,"suffix":""},{"dropping-particle":"","family":"Hardy","given":"Rebecca","non-dropping-particle":"","parse-names":false,"suffix":""}],"container-title":"PLOS Medicine","id":"ITEM-1","issue":"1","issued":{"date-parts":[["2017","1","10"]]},"page":"e1002214","title":"Socioeconomic inequalities in body mass index across adulthood: Coordinated analyses of individual participant data from three British birth cohort studies initiated in 1946, 1958 and 1970","type":"article-journal","volume":"14"},"uris":["http://www.mendeley.com/documents/?uuid=66a2e3f0-8c4e-4efb-9fbb-cc42af97a3ba"]},{"id":"ITEM-2","itemData":{"DOI":"10.1016/S2468-2667(18)30045-8","ISSN":"2468-2667","PMID":"29571937","abstract":"Background Socioeconomic inequalities in childhood body-mass index (BMI) have been documented in high-income countries; however, uncertainty exists with regard to how they have changed over time, how inequalities in the composite parts (ie, weight and height) of BMI have changed, and whether inequalities differ in magnitude across the outcome distribution. Therefore, we aimed to investigate how socioeconomic inequalities in childhood and adolescent weight, height, and BMI have changed over time in Britain. Methods We used data from four British longitudinal, observational, birth cohort studies: the 1946 Medical Research Council National Survey of Health and Development (1946 NSHD), 1958 National Child Development Study (1958 NCDS), 1970 British Cohort Study (1970 BCS), and 2001 Millennium Cohort Study (2001 MCS). BMI (kg/m²) was derived in each study from measured weight and height. Childhood socioeconomic position was indicated by the father's occupational social class, measured at the ages of 10–11 years. We examined associations between childhood socioeconomic position and anthropometric outcomes at age 7 years, 11 years, and 15 years to assess socioeconomic inequalities in each cohort using gender-adjusted linear regression models. We also used multilevel models to examine whether these inequalities widened or narrowed from childhood to adolescence, and quantile regression was used to examine whether the magnitude of inequalities differed across the outcome distribution. Findings In England, Scotland, and Wales, 5362 singleton births were enrolled in 1946, 17 202 in 1958, 17 290 in 1970, and 16 404 in 2001. Low socioeconomic position was associated with lower weight at childhood and adolescent in the earlier-born cohorts (1946–70), but with higher weight in the 2001 MCS cohort. Weight disparities became larger from childhood to adolescence in the 2001 MCS but not the earlier-born cohorts (p interaction =0·001). Low socioeconomic position was also associated with shorter height in all cohorts, yet the absolute magnitude of this difference narrowed across generations. These disparities widened with age in the 2001 MCS (p interaction =0·002) but not in the earlier-born cohorts. There was little inequality in childhood BMI in the 1946–70 cohorts, whereas inequalities were present in the 2001 cohort and widened from childhood to adolescence in the 1958–2001 cohorts (p interaction &lt;0·05 in the later three cohorts but not the 1946 NSHD). BMI and weight dis…","author":[{"dropping-particle":"","family":"Kuh","given":"D","non-dropping-particle":"","parse-names":false,"suffix":""},{"dropping-particle":"","family":"Hardy","given":"Rebecca","non-dropping-particle":"","parse-names":false,"suffix":""},{"dropping-particle":"","family":"Bann","given":"David","non-dropping-particle":"","parse-names":false,"suffix":""},{"dropping-particle":"","family":"Johnson","given":"William","non-dropping-particle":"","parse-names":false,"suffix":""},{"dropping-particle":"","family":"Li","given":"Leah","non-dropping-particle":"","parse-names":false,"suffix":""},{"dropping-particle":"","family":"Kuh","given":"Diana","non-dropping-particle":"","parse-names":false,"suffix":""},{"dropping-particle":"","family":"Hardy","given":"Rebecca","non-dropping-particle":"","parse-names":false,"suffix":""}],"container-title":"Articles Lancet Public Health","id":"ITEM-2","issue":"4","issued":{"date-parts":[["2018","4","1"]]},"page":"194-203","title":"Socioeconomic inequalities in childhood and adolescent body-mass index, weight, and height from 1953 to 2015: An analysis of four longitudinal, observational, British birth cohort studies","type":"article-journal","volume":"3"},"uris":["http://www.mendeley.com/documents/?uuid=e5b6a068-7360-48e1-8e9a-b097d84ab0bf"]}],"mendeley":{"formattedCitation":"&lt;sup&gt;38,39&lt;/sup&gt;","plainTextFormattedCitation":"38,39","previouslyFormattedCitation":"&lt;sup&gt;38,39&lt;/sup&gt;"},"properties":{"noteIndex":0},"schema":"https://github.com/citation-style-language/schema/raw/master/csl-citation.json"}</w:instrText>
      </w:r>
      <w:r w:rsidR="001C2B67">
        <w:fldChar w:fldCharType="separate"/>
      </w:r>
      <w:r w:rsidR="00745D26" w:rsidRPr="00745D26">
        <w:rPr>
          <w:noProof/>
          <w:vertAlign w:val="superscript"/>
        </w:rPr>
        <w:t>38,39</w:t>
      </w:r>
      <w:r w:rsidR="001C2B67">
        <w:fldChar w:fldCharType="end"/>
      </w:r>
      <w:r w:rsidR="00D6534C">
        <w:t>.</w:t>
      </w:r>
    </w:p>
    <w:p w14:paraId="58E52A20" w14:textId="77777777" w:rsidR="00D6534C" w:rsidRDefault="00D6534C" w:rsidP="001B7096"/>
    <w:p w14:paraId="673634E7" w14:textId="39321106" w:rsidR="007E5558" w:rsidRDefault="00FA49AA" w:rsidP="001B7096">
      <w:r>
        <w:t>[Please insert Table 2 here]</w:t>
      </w:r>
    </w:p>
    <w:p w14:paraId="50C3EA65" w14:textId="77777777" w:rsidR="00FA49AA" w:rsidRDefault="00FA49AA" w:rsidP="001B7096"/>
    <w:p w14:paraId="25985E4E" w14:textId="020C9FED" w:rsidR="00CD0A32" w:rsidRDefault="00CD0A32" w:rsidP="001B7096">
      <w:r>
        <w:t xml:space="preserve">The socioeconomic data will be extended in the near future. Data on income collected at a greater number of study waves </w:t>
      </w:r>
      <w:r w:rsidR="00424323">
        <w:t xml:space="preserve">than that shown in Table 2 </w:t>
      </w:r>
      <w:r>
        <w:t xml:space="preserve">has been harmonised and will be made available to researchers </w:t>
      </w:r>
      <w:r w:rsidR="004313D3">
        <w:t xml:space="preserve">via the CLOSER series’ </w:t>
      </w:r>
      <w:r w:rsidR="007620DE">
        <w:t xml:space="preserve">page </w:t>
      </w:r>
      <w:r w:rsidR="00424323">
        <w:t>on the UK Data Service</w:t>
      </w:r>
      <w:r w:rsidR="007620DE">
        <w:t xml:space="preserve"> website</w:t>
      </w:r>
      <w:r w:rsidR="00424323">
        <w:t xml:space="preserve">, as </w:t>
      </w:r>
      <w:r w:rsidR="00EA0FFB">
        <w:t>described in the ‘</w:t>
      </w:r>
      <w:r w:rsidR="00EA0FFB" w:rsidRPr="00EA0FFB">
        <w:t>Data Resource Access</w:t>
      </w:r>
      <w:r w:rsidR="00EA0FFB">
        <w:t>’ section</w:t>
      </w:r>
      <w:r>
        <w:t>.</w:t>
      </w:r>
    </w:p>
    <w:p w14:paraId="6166AEC0" w14:textId="77777777" w:rsidR="007E5558" w:rsidRDefault="007E5558" w:rsidP="001B7096"/>
    <w:p w14:paraId="3B4AE27A" w14:textId="77777777" w:rsidR="00B17B86" w:rsidRDefault="009271C8" w:rsidP="001B7096">
      <w:pPr>
        <w:pStyle w:val="Heading2"/>
        <w:rPr>
          <w:rStyle w:val="CommentReference"/>
          <w:rFonts w:cstheme="minorBidi"/>
          <w:b w:val="0"/>
        </w:rPr>
      </w:pPr>
      <w:r>
        <w:t xml:space="preserve">CLOSER </w:t>
      </w:r>
      <w:r w:rsidR="00F7342D" w:rsidRPr="001C283E">
        <w:t>Discovery</w:t>
      </w:r>
    </w:p>
    <w:p w14:paraId="42DF3D49" w14:textId="429E65E7" w:rsidR="00E40349" w:rsidRDefault="00D6534C" w:rsidP="00E40349">
      <w:r>
        <w:t xml:space="preserve">CLOSER </w:t>
      </w:r>
      <w:r w:rsidR="009271C8">
        <w:t>Discovery’s interface</w:t>
      </w:r>
      <w:r w:rsidR="00757BE5">
        <w:t xml:space="preserve"> and search functionality</w:t>
      </w:r>
      <w:r w:rsidR="009271C8">
        <w:t xml:space="preserve"> </w:t>
      </w:r>
      <w:r w:rsidR="008958F3">
        <w:t>are</w:t>
      </w:r>
      <w:r w:rsidR="009271C8">
        <w:t xml:space="preserve"> designed to encourage exploration of </w:t>
      </w:r>
      <w:r w:rsidR="005453B1">
        <w:t xml:space="preserve">the variables collected by participating longitudinal studies </w:t>
      </w:r>
      <w:r w:rsidR="009271C8">
        <w:t xml:space="preserve">and </w:t>
      </w:r>
      <w:r w:rsidR="005453B1">
        <w:t xml:space="preserve">to </w:t>
      </w:r>
      <w:r w:rsidR="009271C8">
        <w:t xml:space="preserve">then provide comprehensive detail </w:t>
      </w:r>
      <w:r w:rsidR="00757BE5">
        <w:t xml:space="preserve">on </w:t>
      </w:r>
      <w:r w:rsidR="009A35A4">
        <w:t xml:space="preserve">any relevant </w:t>
      </w:r>
      <w:r w:rsidR="00757BE5">
        <w:t>variables</w:t>
      </w:r>
      <w:r w:rsidR="009A35A4">
        <w:t xml:space="preserve"> identified</w:t>
      </w:r>
      <w:r w:rsidR="009271C8">
        <w:t xml:space="preserve">. </w:t>
      </w:r>
      <w:r w:rsidR="008958F3">
        <w:t xml:space="preserve">Specific metadata can </w:t>
      </w:r>
      <w:r w:rsidR="00E40349">
        <w:t>be retrieved via t</w:t>
      </w:r>
      <w:r w:rsidR="009D2495">
        <w:t>he</w:t>
      </w:r>
      <w:r w:rsidR="008958F3">
        <w:t xml:space="preserve"> </w:t>
      </w:r>
      <w:r w:rsidR="009D2495">
        <w:t xml:space="preserve">Discovery </w:t>
      </w:r>
      <w:r w:rsidR="008958F3">
        <w:t>web</w:t>
      </w:r>
      <w:r w:rsidR="009D2495">
        <w:t>site</w:t>
      </w:r>
      <w:r w:rsidR="008958F3">
        <w:t>’s search engine</w:t>
      </w:r>
      <w:r w:rsidR="009D2495">
        <w:t xml:space="preserve">. </w:t>
      </w:r>
      <w:r w:rsidR="00E40349">
        <w:t xml:space="preserve">This </w:t>
      </w:r>
      <w:r w:rsidR="008958F3">
        <w:t xml:space="preserve">tool </w:t>
      </w:r>
      <w:r w:rsidR="009D2495">
        <w:t>allows researcher</w:t>
      </w:r>
      <w:r w:rsidR="008958F3">
        <w:t>s</w:t>
      </w:r>
      <w:r w:rsidR="009D2495">
        <w:t xml:space="preserve"> to </w:t>
      </w:r>
      <w:r w:rsidR="00A648C2">
        <w:t>enter any character string as a search query</w:t>
      </w:r>
      <w:r w:rsidR="00757BE5">
        <w:t xml:space="preserve"> (e.g. “</w:t>
      </w:r>
      <w:r w:rsidR="00384825" w:rsidRPr="001517FA">
        <w:rPr>
          <w:rStyle w:val="CommentReference"/>
          <w:sz w:val="21"/>
          <w:szCs w:val="21"/>
        </w:rPr>
        <w:t>asthma</w:t>
      </w:r>
      <w:r w:rsidR="00757BE5">
        <w:t>”)</w:t>
      </w:r>
      <w:r w:rsidR="00A648C2">
        <w:t xml:space="preserve">, and to </w:t>
      </w:r>
      <w:r w:rsidR="00E40349">
        <w:t xml:space="preserve">restrict </w:t>
      </w:r>
      <w:r w:rsidR="00A648C2">
        <w:t xml:space="preserve">the search to </w:t>
      </w:r>
      <w:r w:rsidR="00E40349">
        <w:t xml:space="preserve">the </w:t>
      </w:r>
      <w:r w:rsidR="009D2495">
        <w:t>study</w:t>
      </w:r>
      <w:r w:rsidR="00E40349">
        <w:t xml:space="preserve"> </w:t>
      </w:r>
      <w:r w:rsidR="00A648C2">
        <w:t>and</w:t>
      </w:r>
      <w:r w:rsidR="008958F3">
        <w:t>/or</w:t>
      </w:r>
      <w:r w:rsidR="00A648C2">
        <w:t xml:space="preserve"> life stage </w:t>
      </w:r>
      <w:r w:rsidR="007F22A3">
        <w:t>of interest</w:t>
      </w:r>
      <w:r w:rsidR="00A648C2">
        <w:t xml:space="preserve">. </w:t>
      </w:r>
      <w:r w:rsidR="00E40349">
        <w:t xml:space="preserve">Alternatively, this information </w:t>
      </w:r>
      <w:r w:rsidR="008958F3">
        <w:t xml:space="preserve">can </w:t>
      </w:r>
      <w:r w:rsidR="00E40349">
        <w:t xml:space="preserve">be accessed by browsing the thematic groupings of the variables </w:t>
      </w:r>
      <w:r>
        <w:t xml:space="preserve">as listed </w:t>
      </w:r>
      <w:r w:rsidR="00E40349">
        <w:t>on the site</w:t>
      </w:r>
      <w:r>
        <w:t>’s ‘Explore’ tab</w:t>
      </w:r>
      <w:r w:rsidR="00E40349">
        <w:t>. Once researcher</w:t>
      </w:r>
      <w:r w:rsidR="008958F3">
        <w:t>s locate</w:t>
      </w:r>
      <w:r w:rsidR="00E40349">
        <w:t xml:space="preserve"> a variable of interest, </w:t>
      </w:r>
      <w:r w:rsidR="008958F3">
        <w:t xml:space="preserve">the Discovery site provides </w:t>
      </w:r>
      <w:r w:rsidR="00757BE5">
        <w:t xml:space="preserve">a </w:t>
      </w:r>
      <w:r w:rsidR="00050077">
        <w:t xml:space="preserve">detailed metadata </w:t>
      </w:r>
      <w:r w:rsidR="00757BE5">
        <w:t xml:space="preserve">summary </w:t>
      </w:r>
      <w:r w:rsidR="00301B69">
        <w:t>describing data values, counts and missingness</w:t>
      </w:r>
      <w:r w:rsidR="00757BE5">
        <w:t>.</w:t>
      </w:r>
      <w:r w:rsidR="008A1EBA">
        <w:t xml:space="preserve"> </w:t>
      </w:r>
      <w:r w:rsidR="00301B69">
        <w:t xml:space="preserve">An example </w:t>
      </w:r>
      <w:r w:rsidR="00A15188">
        <w:t xml:space="preserve">Discovery </w:t>
      </w:r>
      <w:r w:rsidR="00301B69">
        <w:t xml:space="preserve">search </w:t>
      </w:r>
      <w:r w:rsidR="00A15188">
        <w:t xml:space="preserve">process, including the search result, </w:t>
      </w:r>
      <w:r w:rsidR="00301B69">
        <w:t xml:space="preserve">is illustrated in Figure 5. </w:t>
      </w:r>
      <w:r w:rsidR="00484D56">
        <w:t>Discovery allows r</w:t>
      </w:r>
      <w:r w:rsidR="00050077">
        <w:t>esearcher</w:t>
      </w:r>
      <w:r w:rsidR="008958F3">
        <w:t>s</w:t>
      </w:r>
      <w:r w:rsidR="00050077">
        <w:t xml:space="preserve"> </w:t>
      </w:r>
      <w:r w:rsidR="00484D56">
        <w:t xml:space="preserve">to collate variable lists </w:t>
      </w:r>
      <w:r w:rsidR="00E40349">
        <w:t xml:space="preserve">for </w:t>
      </w:r>
      <w:r w:rsidR="00050077">
        <w:t xml:space="preserve">future </w:t>
      </w:r>
      <w:r w:rsidR="00484D56">
        <w:t xml:space="preserve">retrieval, </w:t>
      </w:r>
      <w:r w:rsidR="004313D3">
        <w:t xml:space="preserve">and </w:t>
      </w:r>
      <w:r w:rsidR="007620DE">
        <w:t>these are</w:t>
      </w:r>
      <w:r w:rsidR="004313D3">
        <w:t xml:space="preserve"> </w:t>
      </w:r>
      <w:r w:rsidR="00484D56">
        <w:t xml:space="preserve">retainable across sessions </w:t>
      </w:r>
      <w:r w:rsidR="00E40349">
        <w:t>through</w:t>
      </w:r>
      <w:r w:rsidR="00050077">
        <w:t xml:space="preserve"> the creation of a site account</w:t>
      </w:r>
      <w:r w:rsidR="00E40349">
        <w:t xml:space="preserve">. </w:t>
      </w:r>
      <w:r w:rsidR="008958F3">
        <w:t>R</w:t>
      </w:r>
      <w:r w:rsidR="00050077">
        <w:t>esearcher</w:t>
      </w:r>
      <w:r w:rsidR="008958F3">
        <w:t>s</w:t>
      </w:r>
      <w:r w:rsidR="00050077">
        <w:t xml:space="preserve"> </w:t>
      </w:r>
      <w:r w:rsidR="00E40349">
        <w:t xml:space="preserve">can also export </w:t>
      </w:r>
      <w:r w:rsidR="00050077">
        <w:t xml:space="preserve">these </w:t>
      </w:r>
      <w:r w:rsidR="00E40349">
        <w:t>variable lists (and their associated metadata) in either a print-ready PDF format or as a DDI XML file for use with external software</w:t>
      </w:r>
      <w:r w:rsidR="00396403">
        <w:t xml:space="preserve"> and to facilitate efficient data extraction in the study repositories</w:t>
      </w:r>
      <w:r w:rsidR="00E40349">
        <w:t>.</w:t>
      </w:r>
    </w:p>
    <w:p w14:paraId="51B8393E" w14:textId="2378CFB3" w:rsidR="00EA0FFB" w:rsidRDefault="00EA0FFB" w:rsidP="00E40349"/>
    <w:p w14:paraId="541883FF" w14:textId="77777777" w:rsidR="00EA0FFB" w:rsidRDefault="00EA0FFB" w:rsidP="00EA0FFB">
      <w:r>
        <w:rPr>
          <w:noProof/>
        </w:rPr>
        <w:t>[Please insert Figure 5 here]</w:t>
      </w:r>
    </w:p>
    <w:p w14:paraId="5635A319" w14:textId="77777777" w:rsidR="00EA0FFB" w:rsidRDefault="00EA0FFB" w:rsidP="00EA0FFB"/>
    <w:p w14:paraId="4C3C426D" w14:textId="0CED0824" w:rsidR="008958F3" w:rsidRDefault="008958F3" w:rsidP="008958F3">
      <w:pPr>
        <w:rPr>
          <w:rStyle w:val="CommentReference"/>
        </w:rPr>
      </w:pPr>
      <w:r>
        <w:rPr>
          <w:rStyle w:val="CommentReference"/>
          <w:sz w:val="21"/>
          <w:szCs w:val="21"/>
        </w:rPr>
        <w:t xml:space="preserve">CLOSER is currently working </w:t>
      </w:r>
      <w:r w:rsidR="00484D56">
        <w:rPr>
          <w:rStyle w:val="CommentReference"/>
          <w:sz w:val="21"/>
          <w:szCs w:val="21"/>
        </w:rPr>
        <w:t>to establish</w:t>
      </w:r>
      <w:r>
        <w:rPr>
          <w:rStyle w:val="CommentReference"/>
          <w:sz w:val="21"/>
          <w:szCs w:val="21"/>
        </w:rPr>
        <w:t xml:space="preserve"> equivalency between variables to improve the ease with which researchers can identify related variables across multiple sweeps of a study</w:t>
      </w:r>
      <w:r w:rsidR="003A4F05">
        <w:rPr>
          <w:rStyle w:val="CommentReference"/>
          <w:sz w:val="21"/>
          <w:szCs w:val="21"/>
        </w:rPr>
        <w:t xml:space="preserve"> and between studies</w:t>
      </w:r>
      <w:r>
        <w:rPr>
          <w:rStyle w:val="CommentReference"/>
          <w:sz w:val="21"/>
          <w:szCs w:val="21"/>
        </w:rPr>
        <w:t>. To date, these ‘C</w:t>
      </w:r>
      <w:r w:rsidR="0041595C">
        <w:rPr>
          <w:rStyle w:val="CommentReference"/>
          <w:sz w:val="21"/>
          <w:szCs w:val="21"/>
        </w:rPr>
        <w:t xml:space="preserve">oncordance Variables’ have been identified and made available via Discovery </w:t>
      </w:r>
      <w:r>
        <w:rPr>
          <w:rStyle w:val="CommentReference"/>
          <w:sz w:val="21"/>
          <w:szCs w:val="21"/>
        </w:rPr>
        <w:t xml:space="preserve">for the ALSPAC study. </w:t>
      </w:r>
      <w:r w:rsidR="0041595C">
        <w:rPr>
          <w:rStyle w:val="CommentReference"/>
          <w:sz w:val="21"/>
          <w:szCs w:val="21"/>
        </w:rPr>
        <w:t xml:space="preserve">Future work will </w:t>
      </w:r>
      <w:r w:rsidR="00484D56">
        <w:rPr>
          <w:rStyle w:val="CommentReference"/>
          <w:sz w:val="21"/>
          <w:szCs w:val="21"/>
        </w:rPr>
        <w:t xml:space="preserve">document </w:t>
      </w:r>
      <w:r>
        <w:rPr>
          <w:rStyle w:val="CommentReference"/>
          <w:sz w:val="21"/>
          <w:szCs w:val="21"/>
        </w:rPr>
        <w:t xml:space="preserve">concordance variables for all studies listed on </w:t>
      </w:r>
      <w:r w:rsidR="009A35A4">
        <w:rPr>
          <w:rStyle w:val="CommentReference"/>
          <w:sz w:val="21"/>
          <w:szCs w:val="21"/>
        </w:rPr>
        <w:t>the repository</w:t>
      </w:r>
      <w:r>
        <w:rPr>
          <w:rStyle w:val="CommentReference"/>
          <w:sz w:val="21"/>
          <w:szCs w:val="21"/>
        </w:rPr>
        <w:t>.</w:t>
      </w:r>
    </w:p>
    <w:p w14:paraId="3ECD2371" w14:textId="77777777" w:rsidR="008958F3" w:rsidRDefault="008958F3" w:rsidP="001B7096">
      <w:pPr>
        <w:rPr>
          <w:rStyle w:val="CommentReference"/>
        </w:rPr>
      </w:pPr>
    </w:p>
    <w:p w14:paraId="5ED589B4" w14:textId="56E03111" w:rsidR="00E40349" w:rsidRDefault="00050077" w:rsidP="00E40349">
      <w:pPr>
        <w:rPr>
          <w:rStyle w:val="CommentReference"/>
        </w:rPr>
      </w:pPr>
      <w:r>
        <w:rPr>
          <w:rStyle w:val="CommentReference"/>
          <w:sz w:val="21"/>
          <w:szCs w:val="21"/>
        </w:rPr>
        <w:t>In addition to aiding data discoverability and guiding</w:t>
      </w:r>
      <w:r w:rsidR="00E40349" w:rsidRPr="001C283E">
        <w:rPr>
          <w:rStyle w:val="CommentReference"/>
          <w:sz w:val="21"/>
          <w:szCs w:val="21"/>
        </w:rPr>
        <w:t xml:space="preserve"> researchers in their engagement with study metadata</w:t>
      </w:r>
      <w:r>
        <w:rPr>
          <w:rStyle w:val="CommentReference"/>
          <w:sz w:val="21"/>
          <w:szCs w:val="21"/>
        </w:rPr>
        <w:t xml:space="preserve">, </w:t>
      </w:r>
      <w:r w:rsidRPr="001C283E">
        <w:rPr>
          <w:rStyle w:val="CommentReference"/>
          <w:sz w:val="21"/>
          <w:szCs w:val="21"/>
        </w:rPr>
        <w:t xml:space="preserve">Discovery </w:t>
      </w:r>
      <w:r>
        <w:rPr>
          <w:rStyle w:val="CommentReference"/>
          <w:sz w:val="21"/>
          <w:szCs w:val="21"/>
        </w:rPr>
        <w:t xml:space="preserve">is also being used </w:t>
      </w:r>
      <w:r w:rsidR="00484D56">
        <w:rPr>
          <w:rStyle w:val="CommentReference"/>
          <w:sz w:val="21"/>
          <w:szCs w:val="21"/>
        </w:rPr>
        <w:t>to assess and develop</w:t>
      </w:r>
      <w:r w:rsidR="00E40349" w:rsidRPr="001C283E">
        <w:rPr>
          <w:rStyle w:val="CommentReference"/>
          <w:sz w:val="21"/>
          <w:szCs w:val="21"/>
        </w:rPr>
        <w:t xml:space="preserve"> standards for data documentation.</w:t>
      </w:r>
      <w:r w:rsidR="00E40349">
        <w:rPr>
          <w:rStyle w:val="CommentReference"/>
          <w:sz w:val="21"/>
          <w:szCs w:val="21"/>
        </w:rPr>
        <w:t xml:space="preserve"> </w:t>
      </w:r>
      <w:r>
        <w:rPr>
          <w:rStyle w:val="CommentReference"/>
          <w:sz w:val="21"/>
          <w:szCs w:val="21"/>
        </w:rPr>
        <w:t xml:space="preserve">CLOSER </w:t>
      </w:r>
      <w:r w:rsidR="0081708F">
        <w:rPr>
          <w:rStyle w:val="CommentReference"/>
          <w:sz w:val="21"/>
          <w:szCs w:val="21"/>
        </w:rPr>
        <w:t>is</w:t>
      </w:r>
      <w:r>
        <w:rPr>
          <w:rStyle w:val="CommentReference"/>
          <w:sz w:val="21"/>
          <w:szCs w:val="21"/>
        </w:rPr>
        <w:t xml:space="preserve"> actively involved in the DDI Alliance, and w</w:t>
      </w:r>
      <w:r w:rsidR="00484D56">
        <w:rPr>
          <w:rStyle w:val="CommentReference"/>
          <w:sz w:val="21"/>
          <w:szCs w:val="21"/>
        </w:rPr>
        <w:t xml:space="preserve">ork on this </w:t>
      </w:r>
      <w:r w:rsidR="00E40349">
        <w:rPr>
          <w:rStyle w:val="CommentReference"/>
          <w:sz w:val="21"/>
          <w:szCs w:val="21"/>
        </w:rPr>
        <w:t>resource has been presented at a number of international conferences</w:t>
      </w:r>
      <w:r>
        <w:rPr>
          <w:rStyle w:val="CommentReference"/>
          <w:sz w:val="21"/>
          <w:szCs w:val="21"/>
        </w:rPr>
        <w:t xml:space="preserve"> on metadata</w:t>
      </w:r>
      <w:r w:rsidR="008A1EBA">
        <w:rPr>
          <w:rStyle w:val="CommentReference"/>
          <w:sz w:val="21"/>
          <w:szCs w:val="21"/>
        </w:rPr>
        <w:t xml:space="preserve"> management</w:t>
      </w:r>
      <w:r w:rsidR="001C2B67">
        <w:rPr>
          <w:rStyle w:val="CommentReference"/>
          <w:sz w:val="21"/>
          <w:szCs w:val="21"/>
        </w:rPr>
        <w:fldChar w:fldCharType="begin" w:fldLock="1"/>
      </w:r>
      <w:r w:rsidR="00B63660">
        <w:rPr>
          <w:rStyle w:val="CommentReference"/>
          <w:sz w:val="21"/>
          <w:szCs w:val="21"/>
        </w:rPr>
        <w:instrText>ADDIN CSL_CITATION {"citationItems":[{"id":"ITEM-1","itemData":{"author":[{"dropping-particle":"","family":"Mills","given":"Hayley","non-dropping-particle":"","parse-names":false,"suffix":""}],"container-title":"European DDI User Conference; 2017 December 5-6","id":"ITEM-1","issued":{"date-parts":[["2017"]]},"publisher-place":"Lausanne, Switzerland","title":"CLOSER Discovery: Past, present and future","type":"paper-conference"},"uris":["http://www.mendeley.com/documents/?uuid=e7a5d1bc-b070-4654-9a7f-49e730fa2918"]},{"id":"ITEM-2","itemData":{"author":[{"dropping-particle":"","family":"Poynter","given":"Will","non-dropping-particle":"","parse-names":false,"suffix":""}],"container-title":"European Survey Research Conference; 2017 July 18-21","id":"ITEM-2","issued":{"date-parts":[["2017"]]},"publisher-place":"Lisbon, Portugal","title":"CLOSER repository: Modernising longitudinal study management","type":"paper-conference"},"uris":["http://www.mendeley.com/documents/?uuid=ad3fdc0a-e470-44be-be5d-1ccf4c136d9e"]}],"mendeley":{"formattedCitation":"&lt;sup&gt;40,41&lt;/sup&gt;","plainTextFormattedCitation":"40,41","previouslyFormattedCitation":"&lt;sup&gt;40,41&lt;/sup&gt;"},"properties":{"noteIndex":0},"schema":"https://github.com/citation-style-language/schema/raw/master/csl-citation.json"}</w:instrText>
      </w:r>
      <w:r w:rsidR="001C2B67">
        <w:rPr>
          <w:rStyle w:val="CommentReference"/>
          <w:sz w:val="21"/>
          <w:szCs w:val="21"/>
        </w:rPr>
        <w:fldChar w:fldCharType="separate"/>
      </w:r>
      <w:r w:rsidR="00745D26" w:rsidRPr="00745D26">
        <w:rPr>
          <w:rStyle w:val="CommentReference"/>
          <w:noProof/>
          <w:sz w:val="21"/>
          <w:szCs w:val="21"/>
          <w:vertAlign w:val="superscript"/>
        </w:rPr>
        <w:t>40,41</w:t>
      </w:r>
      <w:r w:rsidR="001C2B67">
        <w:rPr>
          <w:rStyle w:val="CommentReference"/>
          <w:sz w:val="21"/>
          <w:szCs w:val="21"/>
        </w:rPr>
        <w:fldChar w:fldCharType="end"/>
      </w:r>
      <w:r w:rsidR="008A1EBA">
        <w:rPr>
          <w:rStyle w:val="CommentReference"/>
          <w:sz w:val="21"/>
          <w:szCs w:val="21"/>
        </w:rPr>
        <w:t>.</w:t>
      </w:r>
    </w:p>
    <w:p w14:paraId="4110AE8F" w14:textId="77777777" w:rsidR="00D50470" w:rsidRDefault="00D50470" w:rsidP="00E40349">
      <w:pPr>
        <w:rPr>
          <w:rStyle w:val="CommentReference"/>
        </w:rPr>
      </w:pPr>
    </w:p>
    <w:p w14:paraId="38057A91" w14:textId="77777777" w:rsidR="00D50470" w:rsidRPr="00D82A9C" w:rsidRDefault="00D50470" w:rsidP="00D50470">
      <w:pPr>
        <w:pStyle w:val="Heading1"/>
      </w:pPr>
      <w:r w:rsidRPr="00D82A9C">
        <w:t>Strengths and Weaknesses</w:t>
      </w:r>
    </w:p>
    <w:p w14:paraId="453BE59E" w14:textId="007770E0" w:rsidR="00D50470" w:rsidRDefault="00D50470" w:rsidP="00D50470">
      <w:r w:rsidRPr="001C283E">
        <w:t xml:space="preserve">By bringing together existing longitudinal studies and sponsoring new research </w:t>
      </w:r>
      <w:r w:rsidR="001517FA">
        <w:t>projects</w:t>
      </w:r>
      <w:r w:rsidR="001517FA" w:rsidRPr="001C283E">
        <w:t xml:space="preserve"> </w:t>
      </w:r>
      <w:r w:rsidRPr="001C283E">
        <w:t xml:space="preserve">that use these data, CLOSER </w:t>
      </w:r>
      <w:r>
        <w:t xml:space="preserve">is </w:t>
      </w:r>
      <w:r w:rsidRPr="001C283E">
        <w:t xml:space="preserve">equipped to identify best practice in longitudinal research and to document </w:t>
      </w:r>
      <w:r>
        <w:t xml:space="preserve">solutions to </w:t>
      </w:r>
      <w:r w:rsidRPr="001C283E">
        <w:t xml:space="preserve">the hurdles faced </w:t>
      </w:r>
      <w:r>
        <w:t>in the use of such studies’ data</w:t>
      </w:r>
      <w:r w:rsidRPr="001C283E">
        <w:t xml:space="preserve">. </w:t>
      </w:r>
      <w:r>
        <w:t xml:space="preserve">The principal benefits of </w:t>
      </w:r>
      <w:r w:rsidRPr="001C283E">
        <w:t>CLOSER</w:t>
      </w:r>
      <w:r>
        <w:t>’s work include</w:t>
      </w:r>
      <w:r w:rsidR="00813C21">
        <w:t>:</w:t>
      </w:r>
      <w:r>
        <w:t xml:space="preserve"> </w:t>
      </w:r>
      <w:r w:rsidR="00736568">
        <w:t>(i) the broad, cross-study focus that facilitates collaborative, inter-disciplinary endeavours, including support for networking, knowledge/skill exchange, stakeholder engagement</w:t>
      </w:r>
      <w:r w:rsidR="00813C21">
        <w:t xml:space="preserve"> (particularly with regard to the policy-making community)</w:t>
      </w:r>
      <w:r w:rsidR="00736568">
        <w:t>, and advocacy work</w:t>
      </w:r>
      <w:r w:rsidR="00813C21">
        <w:t>;</w:t>
      </w:r>
      <w:r w:rsidR="00736568">
        <w:t xml:space="preserve"> </w:t>
      </w:r>
      <w:r>
        <w:t>(</w:t>
      </w:r>
      <w:r w:rsidR="00736568">
        <w:t>i</w:t>
      </w:r>
      <w:r>
        <w:t>i) the centralised access to detailed information on the many variables collected across multiple sweeps by different longitudinal studies</w:t>
      </w:r>
      <w:r w:rsidR="00813C21">
        <w:t>;</w:t>
      </w:r>
      <w:r>
        <w:t xml:space="preserve"> (i</w:t>
      </w:r>
      <w:r w:rsidR="00736568">
        <w:t>i</w:t>
      </w:r>
      <w:r>
        <w:t>i) the widened perspective on patterns of generational change offered by the harmonised datasets created by CLOSER and its collaborators</w:t>
      </w:r>
      <w:r w:rsidR="00813C21">
        <w:t xml:space="preserve">; </w:t>
      </w:r>
      <w:r>
        <w:t>(i</w:t>
      </w:r>
      <w:r w:rsidR="00736568">
        <w:t>v</w:t>
      </w:r>
      <w:r>
        <w:t xml:space="preserve">) the increased breadth of insight and </w:t>
      </w:r>
      <w:r w:rsidR="00B87B83">
        <w:t xml:space="preserve">potential for </w:t>
      </w:r>
      <w:r>
        <w:t>improved data validity offered by link</w:t>
      </w:r>
      <w:r w:rsidR="003A4F05">
        <w:t xml:space="preserve">ing </w:t>
      </w:r>
      <w:r>
        <w:t>administrative datasets</w:t>
      </w:r>
      <w:r w:rsidR="003A4F05">
        <w:t xml:space="preserve"> to the CLOSER partner studies</w:t>
      </w:r>
      <w:r w:rsidR="00813C21">
        <w:t>;</w:t>
      </w:r>
      <w:r>
        <w:t xml:space="preserve"> and (v) the sourcing of diverse expertise to generate free-to-access outputs</w:t>
      </w:r>
      <w:r w:rsidR="00AB192E">
        <w:t xml:space="preserve">, as well as </w:t>
      </w:r>
      <w:r>
        <w:t>training tools</w:t>
      </w:r>
      <w:r w:rsidR="00AB192E">
        <w:t xml:space="preserve"> and workshops</w:t>
      </w:r>
      <w:r w:rsidR="00736568">
        <w:t>.</w:t>
      </w:r>
      <w:r w:rsidR="00736568" w:rsidDel="00736568">
        <w:t xml:space="preserve"> </w:t>
      </w:r>
      <w:r w:rsidR="007C4C4B">
        <w:t xml:space="preserve">The benefits </w:t>
      </w:r>
      <w:r w:rsidR="00813C21">
        <w:t xml:space="preserve">of </w:t>
      </w:r>
      <w:r w:rsidR="007C4C4B">
        <w:t>CLOSER</w:t>
      </w:r>
      <w:r w:rsidR="00813C21">
        <w:t xml:space="preserve">’s work in these areas were clearly </w:t>
      </w:r>
      <w:r w:rsidR="007C4C4B">
        <w:t>acknowledged in the ESRC’s recent review of the longitudinal study landscape</w:t>
      </w:r>
      <w:r w:rsidR="007C4C4B">
        <w:fldChar w:fldCharType="begin" w:fldLock="1"/>
      </w:r>
      <w:r w:rsidR="00591EBD">
        <w:instrText>ADDIN CSL_CITATION {"citationItems":[{"id":"ITEM-1","itemData":{"author":[{"dropping-particle":"","family":"Davis-Kean","given":"Pamela","non-dropping-particle":"","parse-names":false,"suffix":""},{"dropping-particle":"","family":"Chambers","given":"Raymond L","non-dropping-particle":"","parse-names":false,"suffix":""},{"dropping-particle":"","family":"Davidson","given":"Leslie L","non-dropping-particle":"","parse-names":false,"suffix":""},{"dropping-particle":"","family":"Kleinert","given":"Corinna","non-dropping-particle":"","parse-names":false,"suffix":""},{"dropping-particle":"","family":"Ren","given":"Qiang","non-dropping-particle":"","parse-names":false,"suffix":""},{"dropping-particle":"","family":"Tang","given":"Sandra","non-dropping-particle":"","parse-names":false,"suffix":""}],"id":"ITEM-1","issued":{"date-parts":[["2018"]]},"publisher-place":"London","title":"Longitudinal Studies Strategic Review: 2017 Report to the Economic and Social Research Council","type":"report"},"uris":["http://www.mendeley.com/documents/?uuid=f2a93b26-5c78-4290-9f17-5528ac2884ae"]}],"mendeley":{"formattedCitation":"&lt;sup&gt;14&lt;/sup&gt;","plainTextFormattedCitation":"14","previouslyFormattedCitation":"&lt;sup&gt;14&lt;/sup&gt;"},"properties":{"noteIndex":0},"schema":"https://github.com/citation-style-language/schema/raw/master/csl-citation.json"}</w:instrText>
      </w:r>
      <w:r w:rsidR="007C4C4B">
        <w:fldChar w:fldCharType="separate"/>
      </w:r>
      <w:r w:rsidR="00A61FF0" w:rsidRPr="00A61FF0">
        <w:rPr>
          <w:noProof/>
          <w:vertAlign w:val="superscript"/>
        </w:rPr>
        <w:t>14</w:t>
      </w:r>
      <w:r w:rsidR="007C4C4B">
        <w:fldChar w:fldCharType="end"/>
      </w:r>
      <w:r w:rsidR="007C4C4B">
        <w:t>. CLOSER Discovery in particular is identified in the report as an important aid to researchers seeking information on available study data.</w:t>
      </w:r>
    </w:p>
    <w:p w14:paraId="25E4A92E" w14:textId="77777777" w:rsidR="00D50470" w:rsidRDefault="00D50470" w:rsidP="00D50470"/>
    <w:p w14:paraId="7BFA632C" w14:textId="7F2C5431" w:rsidR="007C4C4B" w:rsidRPr="001C283E" w:rsidRDefault="00D50470" w:rsidP="00D50470">
      <w:r>
        <w:t xml:space="preserve">The </w:t>
      </w:r>
      <w:r w:rsidR="00294E0B">
        <w:t xml:space="preserve">production of </w:t>
      </w:r>
      <w:r w:rsidR="007C4C4B">
        <w:t xml:space="preserve">CLOSER’s resources </w:t>
      </w:r>
      <w:r w:rsidR="00294E0B">
        <w:t xml:space="preserve">has included challenges </w:t>
      </w:r>
      <w:r>
        <w:t xml:space="preserve">however. CLOSER has worked to integrate data, establish learning tools and improve research impact from across diverse studies, but these studies also have different aims and objectives, which have influenced their designs and can make their comparisons challenging. The scale of the work undertaken by CLOSER means that its focus has to date primarily been on data collected by its study partners, but efforts are now being made to expand this coverage to new studies. </w:t>
      </w:r>
      <w:r w:rsidR="00C708F3">
        <w:t>Even as harmonisation practices improve, there will continue to be l</w:t>
      </w:r>
      <w:r w:rsidR="00C708F3" w:rsidRPr="001C283E">
        <w:t>imitations to the extent to which harmonisation can be performed</w:t>
      </w:r>
      <w:r w:rsidR="00C708F3">
        <w:t xml:space="preserve"> for all variables. Where there are sizable d</w:t>
      </w:r>
      <w:r w:rsidR="00C708F3" w:rsidRPr="001C283E">
        <w:t>ifferences</w:t>
      </w:r>
      <w:r w:rsidR="00C708F3">
        <w:t xml:space="preserve"> in the operationalisation of variables or calibration of measurement instruments, it may not be feasible to attempt harmonisation. CLOSER is undertaking work in this area however to assess the scope and impact of such calibration issues</w:t>
      </w:r>
      <w:r w:rsidR="00C708F3">
        <w:fldChar w:fldCharType="begin" w:fldLock="1"/>
      </w:r>
      <w:r w:rsidR="00B63660">
        <w:instrText>ADDIN CSL_CITATION {"citationItems":[{"id":"ITEM-1","itemData":{"author":[{"dropping-particle":"","family":"Lessof","given":"Carli","non-dropping-particle":"","parse-names":false,"suffix":""},{"dropping-particle":"","family":"Wong","given":"Andrew","non-dropping-particle":"","parse-names":false,"suffix":""},{"dropping-particle":"","family":"Hardy","given":"Rebecca","non-dropping-particle":"","parse-names":false,"suffix":""},{"dropping-particle":"","family":"CLOSER Equipment Comparison Team","given":"","non-dropping-particle":"","parse-names":false,"suffix":""}],"container-title":"5th Panel Survey Methods Workshop","id":"ITEM-1","issued":{"date-parts":[["2016"]]},"publisher":"German Institute for Economic Research","publisher-place":"Berlin. Germany","title":"Early findings from a randomised repeated-measurements cross-over trial to understand differences in measures of physiological function and physical performance","type":"paper-conference"},"uris":["http://www.mendeley.com/documents/?uuid=46b76810-c294-49b7-baab-350338d61307"]}],"mendeley":{"formattedCitation":"&lt;sup&gt;42&lt;/sup&gt;","plainTextFormattedCitation":"42","previouslyFormattedCitation":"&lt;sup&gt;42&lt;/sup&gt;"},"properties":{"noteIndex":0},"schema":"https://github.com/citation-style-language/schema/raw/master/csl-citation.json"}</w:instrText>
      </w:r>
      <w:r w:rsidR="00C708F3">
        <w:fldChar w:fldCharType="separate"/>
      </w:r>
      <w:r w:rsidR="00745D26" w:rsidRPr="00745D26">
        <w:rPr>
          <w:noProof/>
          <w:vertAlign w:val="superscript"/>
        </w:rPr>
        <w:t>42</w:t>
      </w:r>
      <w:r w:rsidR="00C708F3">
        <w:fldChar w:fldCharType="end"/>
      </w:r>
      <w:r w:rsidR="008A6C46">
        <w:t xml:space="preserve">. </w:t>
      </w:r>
      <w:r>
        <w:t>All longitudinal study data are vulnerable to participant attrition and d</w:t>
      </w:r>
      <w:r w:rsidRPr="001C283E">
        <w:t>ata missingness</w:t>
      </w:r>
      <w:r>
        <w:t>. Link</w:t>
      </w:r>
      <w:r w:rsidR="003A4F05">
        <w:t xml:space="preserve">ing </w:t>
      </w:r>
      <w:r>
        <w:t xml:space="preserve">administrative data </w:t>
      </w:r>
      <w:r w:rsidR="003A4F05">
        <w:t xml:space="preserve">to longitudinal studies </w:t>
      </w:r>
      <w:r>
        <w:t>can address some gaps in coverage, but the data resources that CLOSER generates will still always require consideration of the presence and impact of missing data. Finally, there will always be c</w:t>
      </w:r>
      <w:r w:rsidRPr="001C283E">
        <w:t>hallenges in securing administrative data</w:t>
      </w:r>
      <w:r w:rsidR="003A4F05">
        <w:t xml:space="preserve"> linkage</w:t>
      </w:r>
      <w:r>
        <w:t>, as licencing agreements can vary, information governance policies are subject to change and access negotiation can be time- and resource-intensive process. Recognising this, CLOSER is documenting the challenge</w:t>
      </w:r>
      <w:r w:rsidR="006C3C6E">
        <w:t>s faced in data linkage efforts</w:t>
      </w:r>
      <w:r>
        <w:t xml:space="preserve"> and is publishing guidance for other researchers on how to navigate such difficulties.</w:t>
      </w:r>
    </w:p>
    <w:p w14:paraId="40FFF2C6" w14:textId="77777777" w:rsidR="00FA49AA" w:rsidRPr="001C283E" w:rsidRDefault="00FA49AA" w:rsidP="00FA49AA">
      <w:pPr>
        <w:rPr>
          <w:sz w:val="22"/>
        </w:rPr>
      </w:pPr>
    </w:p>
    <w:p w14:paraId="130AC9EF" w14:textId="77777777" w:rsidR="001D649E" w:rsidRPr="001C283E" w:rsidRDefault="001D649E" w:rsidP="001D649E">
      <w:pPr>
        <w:rPr>
          <w:sz w:val="22"/>
        </w:rPr>
      </w:pPr>
    </w:p>
    <w:p w14:paraId="02B1E62F" w14:textId="28256102" w:rsidR="00673D50" w:rsidRPr="001B7096" w:rsidRDefault="00673D50" w:rsidP="00AE1B7B">
      <w:pPr>
        <w:pStyle w:val="Heading1"/>
      </w:pPr>
      <w:r w:rsidRPr="00D82A9C">
        <w:t>Data Resource Access</w:t>
      </w:r>
    </w:p>
    <w:p w14:paraId="7DD84DBF" w14:textId="75F449E2" w:rsidR="00D82A9C" w:rsidRPr="001C283E" w:rsidRDefault="00673D50" w:rsidP="001B7096">
      <w:r w:rsidRPr="001C283E">
        <w:t xml:space="preserve">The </w:t>
      </w:r>
      <w:r w:rsidR="00D82A9C">
        <w:t xml:space="preserve">CLOSER Discovery </w:t>
      </w:r>
      <w:r w:rsidRPr="001C283E">
        <w:t xml:space="preserve">metadata and data </w:t>
      </w:r>
      <w:r w:rsidRPr="007F4724">
        <w:t>enhancement</w:t>
      </w:r>
      <w:r w:rsidRPr="001C283E">
        <w:t xml:space="preserve"> programme is hosted on the CLOSER website (</w:t>
      </w:r>
      <w:r w:rsidRPr="007F4724">
        <w:rPr>
          <w:rStyle w:val="Hyperlink"/>
        </w:rPr>
        <w:t>http</w:t>
      </w:r>
      <w:r w:rsidR="008A61AA">
        <w:rPr>
          <w:rStyle w:val="Hyperlink"/>
        </w:rPr>
        <w:t>s</w:t>
      </w:r>
      <w:r w:rsidRPr="007F4724">
        <w:rPr>
          <w:rStyle w:val="Hyperlink"/>
        </w:rPr>
        <w:t>://discovery.closer.ac.uk/</w:t>
      </w:r>
      <w:r w:rsidRPr="001C283E">
        <w:t xml:space="preserve">). The website includes </w:t>
      </w:r>
      <w:r w:rsidR="00D82A9C">
        <w:t xml:space="preserve">the </w:t>
      </w:r>
      <w:r w:rsidRPr="001C283E">
        <w:t xml:space="preserve">detailed </w:t>
      </w:r>
      <w:r w:rsidR="00D82A9C">
        <w:t xml:space="preserve">filter and search </w:t>
      </w:r>
      <w:r w:rsidRPr="001C283E">
        <w:t>functionality</w:t>
      </w:r>
      <w:r w:rsidR="00D82A9C">
        <w:t xml:space="preserve"> outlined above. </w:t>
      </w:r>
      <w:r w:rsidR="008A1EBA">
        <w:rPr>
          <w:rStyle w:val="CommentReference"/>
          <w:sz w:val="21"/>
          <w:szCs w:val="21"/>
        </w:rPr>
        <w:t xml:space="preserve">Training materials for researchers interested in Discovery are available on the CLOSER site. </w:t>
      </w:r>
      <w:r w:rsidR="00D82A9C">
        <w:t>The d</w:t>
      </w:r>
      <w:r w:rsidR="00D82A9C" w:rsidRPr="001C283E">
        <w:t xml:space="preserve">ata management software </w:t>
      </w:r>
      <w:r w:rsidR="00D82A9C">
        <w:t xml:space="preserve">that </w:t>
      </w:r>
      <w:r w:rsidR="00D82A9C" w:rsidRPr="001C283E">
        <w:t xml:space="preserve">has been developed by CLOSER during the creation of CLOSER Discovery are hosted on the consortium’s GitHub site </w:t>
      </w:r>
      <w:r w:rsidR="00D17790">
        <w:t>(</w:t>
      </w:r>
      <w:hyperlink r:id="rId8" w:history="1">
        <w:r w:rsidR="00D82A9C" w:rsidRPr="001C283E">
          <w:rPr>
            <w:rStyle w:val="Hyperlink"/>
          </w:rPr>
          <w:t>https://github.com/CLOSER-Cohorts</w:t>
        </w:r>
      </w:hyperlink>
      <w:r w:rsidR="00D17790">
        <w:rPr>
          <w:rStyle w:val="Hyperlink"/>
        </w:rPr>
        <w:t>)</w:t>
      </w:r>
      <w:r w:rsidR="00652DCB">
        <w:t>.</w:t>
      </w:r>
    </w:p>
    <w:p w14:paraId="6E2B8CD3" w14:textId="77777777" w:rsidR="00673D50" w:rsidRDefault="00673D50" w:rsidP="001B7096"/>
    <w:p w14:paraId="17C675EA" w14:textId="64EDED36" w:rsidR="00B22567" w:rsidRDefault="00EE6B4D" w:rsidP="00154BBB">
      <w:r>
        <w:t>To assist researchers undertaking data integration work such as harmonisation or linkage, CLOSER has published resource reports and gu</w:t>
      </w:r>
      <w:r w:rsidR="00D17790">
        <w:t>idance documents on its website</w:t>
      </w:r>
      <w:r>
        <w:t xml:space="preserve"> </w:t>
      </w:r>
      <w:r w:rsidR="00D17790">
        <w:t>(</w:t>
      </w:r>
      <w:r w:rsidR="008A61AA" w:rsidRPr="004A2FA3">
        <w:rPr>
          <w:u w:val="single"/>
        </w:rPr>
        <w:t>https://www.closer.ac.uk/resources/</w:t>
      </w:r>
      <w:r w:rsidR="00D17790" w:rsidRPr="004A2FA3">
        <w:rPr>
          <w:rStyle w:val="Hyperlink"/>
          <w:rFonts w:asciiTheme="minorHAnsi" w:hAnsiTheme="minorHAnsi"/>
          <w:u w:val="none"/>
        </w:rPr>
        <w:t>)</w:t>
      </w:r>
      <w:r w:rsidRPr="004A2FA3">
        <w:t xml:space="preserve">. </w:t>
      </w:r>
      <w:r>
        <w:t xml:space="preserve">The site also includes </w:t>
      </w:r>
      <w:r w:rsidR="00D17790">
        <w:t xml:space="preserve">slides and </w:t>
      </w:r>
      <w:r>
        <w:t xml:space="preserve">recordings </w:t>
      </w:r>
      <w:r w:rsidR="00D17790">
        <w:t xml:space="preserve">from </w:t>
      </w:r>
      <w:r>
        <w:t>workshop</w:t>
      </w:r>
      <w:r w:rsidR="00652DCB">
        <w:t xml:space="preserve"> presentations on these topics. </w:t>
      </w:r>
      <w:r w:rsidR="00D82A9C">
        <w:t xml:space="preserve">The </w:t>
      </w:r>
      <w:r w:rsidR="00673D50" w:rsidRPr="001C283E">
        <w:t xml:space="preserve">harmonised datasets </w:t>
      </w:r>
      <w:r w:rsidR="00F55A84" w:rsidRPr="001C283E">
        <w:t xml:space="preserve">produced by CLOSER </w:t>
      </w:r>
      <w:r w:rsidR="00D82A9C">
        <w:t xml:space="preserve">are </w:t>
      </w:r>
      <w:r w:rsidR="00F55A84" w:rsidRPr="001C283E">
        <w:t xml:space="preserve">made available via </w:t>
      </w:r>
      <w:r w:rsidR="00F34989">
        <w:t xml:space="preserve">the consortium’s </w:t>
      </w:r>
      <w:r w:rsidR="00F55A84" w:rsidRPr="001C283E">
        <w:t xml:space="preserve">series record on the </w:t>
      </w:r>
      <w:r w:rsidR="00673D50" w:rsidRPr="001C283E">
        <w:t>UK Data Service</w:t>
      </w:r>
      <w:r w:rsidR="00F55A84" w:rsidRPr="001C283E">
        <w:t xml:space="preserve"> </w:t>
      </w:r>
      <w:r w:rsidR="008716DC">
        <w:t>(</w:t>
      </w:r>
      <w:hyperlink r:id="rId9" w:history="1">
        <w:r w:rsidR="00F55A84" w:rsidRPr="001B7096">
          <w:rPr>
            <w:rStyle w:val="Hyperlink"/>
          </w:rPr>
          <w:t>https://discover.ukdataservice.ac.uk/series/?sn=2000111</w:t>
        </w:r>
      </w:hyperlink>
      <w:r w:rsidR="008716DC">
        <w:rPr>
          <w:rStyle w:val="Hyperlink"/>
        </w:rPr>
        <w:t>)</w:t>
      </w:r>
      <w:r w:rsidR="00F55A84" w:rsidRPr="001C283E">
        <w:t xml:space="preserve">. Currently this includes </w:t>
      </w:r>
      <w:r w:rsidR="00B34488">
        <w:t>three datasets comprising h</w:t>
      </w:r>
      <w:r w:rsidR="00673D50" w:rsidRPr="001C283E">
        <w:t xml:space="preserve">eight, </w:t>
      </w:r>
      <w:r w:rsidR="00B34488">
        <w:t xml:space="preserve">weight, and </w:t>
      </w:r>
      <w:r w:rsidR="00673D50" w:rsidRPr="001C283E">
        <w:t xml:space="preserve">BMI </w:t>
      </w:r>
      <w:r w:rsidR="00B34488">
        <w:t>m</w:t>
      </w:r>
      <w:r w:rsidR="00673D50" w:rsidRPr="001C283E">
        <w:t xml:space="preserve">easures </w:t>
      </w:r>
      <w:r w:rsidR="00B34488">
        <w:t>from five UK l</w:t>
      </w:r>
      <w:r w:rsidR="00673D50" w:rsidRPr="001C283E">
        <w:t xml:space="preserve">ongitudinal </w:t>
      </w:r>
      <w:r w:rsidR="00B34488">
        <w:t>c</w:t>
      </w:r>
      <w:r w:rsidR="00673D50" w:rsidRPr="001C283E">
        <w:t xml:space="preserve">ohort </w:t>
      </w:r>
      <w:r w:rsidR="00B34488">
        <w:t>s</w:t>
      </w:r>
      <w:r w:rsidR="00673D50" w:rsidRPr="001C283E">
        <w:t>tudies</w:t>
      </w:r>
      <w:r w:rsidR="00B34488">
        <w:t xml:space="preserve"> (NCDS, BCS70, MCS, NSHD, and ALSPAC) and four additional datasets providing harmonised socio-economic data for four of these studies (</w:t>
      </w:r>
      <w:r w:rsidR="00B22567">
        <w:t>BCS70</w:t>
      </w:r>
      <w:r w:rsidR="00B34488">
        <w:t xml:space="preserve">, </w:t>
      </w:r>
      <w:r w:rsidR="00B22567">
        <w:t>MCS</w:t>
      </w:r>
      <w:r w:rsidR="00B34488">
        <w:t xml:space="preserve">, </w:t>
      </w:r>
      <w:r w:rsidR="00B22567">
        <w:t>NCDS</w:t>
      </w:r>
      <w:r w:rsidR="00B34488">
        <w:t xml:space="preserve">, and </w:t>
      </w:r>
      <w:r w:rsidR="00B22567">
        <w:t>NSHD</w:t>
      </w:r>
      <w:r w:rsidR="00B34488">
        <w:t xml:space="preserve">). </w:t>
      </w:r>
      <w:r w:rsidR="00A742D9">
        <w:t xml:space="preserve">Data sourced from NCDS, BCS70 and MCS are available under UK Data Service’s End User Licence </w:t>
      </w:r>
      <w:r w:rsidR="008A5C0D">
        <w:t xml:space="preserve">requiring </w:t>
      </w:r>
      <w:r w:rsidR="00A742D9">
        <w:t>researchers to complete user and project registration</w:t>
      </w:r>
      <w:r w:rsidR="008A5C0D">
        <w:t xml:space="preserve"> to access the data</w:t>
      </w:r>
      <w:r w:rsidR="00A742D9">
        <w:t xml:space="preserve">. </w:t>
      </w:r>
      <w:r w:rsidR="007737D7">
        <w:t xml:space="preserve">For </w:t>
      </w:r>
      <w:r w:rsidR="00A742D9">
        <w:t>data sourced from ALSPAC and NSHD</w:t>
      </w:r>
      <w:r w:rsidR="007737D7">
        <w:t xml:space="preserve">, </w:t>
      </w:r>
      <w:r w:rsidR="00A742D9">
        <w:t>S</w:t>
      </w:r>
      <w:r w:rsidR="007737D7">
        <w:t xml:space="preserve">pecial </w:t>
      </w:r>
      <w:r w:rsidR="00A742D9">
        <w:t>L</w:t>
      </w:r>
      <w:r w:rsidR="007737D7">
        <w:t xml:space="preserve">icence </w:t>
      </w:r>
      <w:r w:rsidR="00B34488">
        <w:t xml:space="preserve">usage </w:t>
      </w:r>
      <w:r w:rsidR="007737D7">
        <w:t xml:space="preserve">terms </w:t>
      </w:r>
      <w:r w:rsidR="00B34488">
        <w:t xml:space="preserve">apply and, in addition to the requirements of the End User Licence, </w:t>
      </w:r>
      <w:r w:rsidR="007737D7">
        <w:t xml:space="preserve">researchers are required to submit a </w:t>
      </w:r>
      <w:r w:rsidR="00A742D9">
        <w:t xml:space="preserve">detailed </w:t>
      </w:r>
      <w:r w:rsidR="007737D7">
        <w:t xml:space="preserve">research application </w:t>
      </w:r>
      <w:r w:rsidR="00B34488">
        <w:t>for review prior to data release.</w:t>
      </w:r>
      <w:r w:rsidR="00D10919">
        <w:t xml:space="preserve"> Guidance on accessing the original data from the CLOSER partner studies is </w:t>
      </w:r>
      <w:r w:rsidR="00D140D8">
        <w:t xml:space="preserve">provided, alongside details on genetic data availability, on </w:t>
      </w:r>
      <w:r w:rsidR="00B77024">
        <w:t>CLOSER</w:t>
      </w:r>
      <w:r w:rsidR="002257A8">
        <w:t>’s main</w:t>
      </w:r>
      <w:r w:rsidR="00B77024">
        <w:t xml:space="preserve"> </w:t>
      </w:r>
      <w:r w:rsidR="002257A8">
        <w:t>web</w:t>
      </w:r>
      <w:r w:rsidR="00B77024">
        <w:t>site</w:t>
      </w:r>
      <w:r w:rsidR="00D140D8">
        <w:t xml:space="preserve"> </w:t>
      </w:r>
      <w:r w:rsidR="002257A8">
        <w:t>(</w:t>
      </w:r>
      <w:hyperlink r:id="rId10" w:history="1">
        <w:r w:rsidR="00D140D8" w:rsidRPr="00F2398C">
          <w:rPr>
            <w:rStyle w:val="Hyperlink"/>
            <w:rFonts w:asciiTheme="minorHAnsi" w:hAnsiTheme="minorHAnsi"/>
          </w:rPr>
          <w:t>https://www.closer.ac.uk/how-to-access-the-data</w:t>
        </w:r>
      </w:hyperlink>
      <w:r w:rsidR="002257A8">
        <w:t>)</w:t>
      </w:r>
      <w:r w:rsidR="00D10919">
        <w:t>.</w:t>
      </w:r>
    </w:p>
    <w:p w14:paraId="33A63DD8" w14:textId="77777777" w:rsidR="00B22567" w:rsidRDefault="00B22567" w:rsidP="008716DC"/>
    <w:p w14:paraId="0B9F44EA" w14:textId="496E6030" w:rsidR="00B22567" w:rsidRDefault="00BE4916" w:rsidP="00B22567">
      <w:r>
        <w:t>CLOSER’s</w:t>
      </w:r>
      <w:r w:rsidR="00B22567">
        <w:t xml:space="preserve"> training materials can also be accessed via </w:t>
      </w:r>
      <w:r>
        <w:t xml:space="preserve">CLOSER’s </w:t>
      </w:r>
      <w:r w:rsidR="002257A8">
        <w:t>web</w:t>
      </w:r>
      <w:r>
        <w:t xml:space="preserve">site, with a specific section dedicated to the CLOSER Learning Hub </w:t>
      </w:r>
      <w:r w:rsidR="008716DC">
        <w:t>(</w:t>
      </w:r>
      <w:hyperlink r:id="rId11" w:history="1">
        <w:r w:rsidR="00B22567" w:rsidRPr="00350490">
          <w:rPr>
            <w:rStyle w:val="Hyperlink"/>
            <w:rFonts w:asciiTheme="minorHAnsi" w:hAnsiTheme="minorHAnsi"/>
          </w:rPr>
          <w:t>https://learning.closer.ac.uk</w:t>
        </w:r>
      </w:hyperlink>
      <w:r w:rsidR="008716DC">
        <w:rPr>
          <w:rStyle w:val="Hyperlink"/>
          <w:rFonts w:asciiTheme="minorHAnsi" w:hAnsiTheme="minorHAnsi"/>
        </w:rPr>
        <w:t>)</w:t>
      </w:r>
      <w:r w:rsidR="00B22567">
        <w:t>.</w:t>
      </w:r>
      <w:r w:rsidR="002257A8">
        <w:t xml:space="preserve"> This includes links to the CLOSER training dataset which is hosted by the UK Data Service.</w:t>
      </w:r>
      <w:r w:rsidR="00DA4432">
        <w:t xml:space="preserve"> </w:t>
      </w:r>
      <w:bookmarkStart w:id="13" w:name="_Hlk530733033"/>
      <w:r w:rsidR="00DA4432">
        <w:t xml:space="preserve">Materials from CLOSER’s </w:t>
      </w:r>
      <w:r w:rsidR="00287872">
        <w:t xml:space="preserve">previous </w:t>
      </w:r>
      <w:r w:rsidR="00DA4432">
        <w:t xml:space="preserve">training events are also made available on the CLOSER </w:t>
      </w:r>
      <w:r w:rsidR="00287872">
        <w:t>web</w:t>
      </w:r>
      <w:r w:rsidR="00DA4432">
        <w:t>site, including content from CLOSER’s recent workshop on cross-study data harmonisation (</w:t>
      </w:r>
      <w:hyperlink r:id="rId12" w:history="1">
        <w:r w:rsidR="00DA4432" w:rsidRPr="00CC3BB3">
          <w:rPr>
            <w:rStyle w:val="Hyperlink"/>
            <w:rFonts w:asciiTheme="minorHAnsi" w:hAnsiTheme="minorHAnsi"/>
          </w:rPr>
          <w:t>https://www.closer.ac.uk/news-opinion/blog/crossstudy-research-overcoming-obstacles-uncovering-opportunity/</w:t>
        </w:r>
      </w:hyperlink>
      <w:r w:rsidR="00DA4432">
        <w:t>).</w:t>
      </w:r>
      <w:bookmarkEnd w:id="13"/>
    </w:p>
    <w:p w14:paraId="78237662" w14:textId="77777777" w:rsidR="00B22567" w:rsidRDefault="00B22567" w:rsidP="00B22567"/>
    <w:p w14:paraId="03818258" w14:textId="6E46F628" w:rsidR="00B22567" w:rsidRPr="008D5350" w:rsidRDefault="00154BBB" w:rsidP="00B22567">
      <w:r>
        <w:t xml:space="preserve">Further </w:t>
      </w:r>
      <w:r w:rsidRPr="001C283E">
        <w:t xml:space="preserve">datasets </w:t>
      </w:r>
      <w:r>
        <w:t xml:space="preserve">from CLOSER’s harmonisation work </w:t>
      </w:r>
      <w:r w:rsidRPr="001C283E">
        <w:t>will also be made available via CLOSER</w:t>
      </w:r>
      <w:r>
        <w:t>’</w:t>
      </w:r>
      <w:r w:rsidRPr="001C283E">
        <w:t xml:space="preserve"> series page on the UK Data Service.</w:t>
      </w:r>
      <w:r>
        <w:t xml:space="preserve"> </w:t>
      </w:r>
      <w:r w:rsidR="00B22567" w:rsidRPr="00241E85">
        <w:t xml:space="preserve">The </w:t>
      </w:r>
      <w:r w:rsidR="004313D3">
        <w:t xml:space="preserve">geographical identifier data </w:t>
      </w:r>
      <w:r w:rsidR="002C18FB">
        <w:t xml:space="preserve">developed as part of CLOSER’s data linkage work </w:t>
      </w:r>
      <w:r w:rsidR="004313D3">
        <w:t xml:space="preserve">are also </w:t>
      </w:r>
      <w:r w:rsidR="002C18FB">
        <w:t xml:space="preserve">available from the UK Data Service. </w:t>
      </w:r>
      <w:r w:rsidR="00B22567" w:rsidRPr="008D5350">
        <w:t xml:space="preserve">Researchers who use </w:t>
      </w:r>
      <w:r w:rsidR="00D17790">
        <w:t>CLOSER data resources, including the harmonised datasets,</w:t>
      </w:r>
      <w:r w:rsidR="00B22567" w:rsidRPr="008D5350">
        <w:t xml:space="preserve"> are </w:t>
      </w:r>
      <w:r w:rsidR="00D17790">
        <w:t xml:space="preserve">requested </w:t>
      </w:r>
      <w:r w:rsidR="00B22567" w:rsidRPr="008D5350">
        <w:t xml:space="preserve">to </w:t>
      </w:r>
      <w:r w:rsidR="00D17790">
        <w:t>appropriately cite them in research outputs.</w:t>
      </w:r>
      <w:r w:rsidR="002257A8">
        <w:t xml:space="preserve"> Citation guidance is provided with all data downloads.</w:t>
      </w:r>
    </w:p>
    <w:p w14:paraId="6AFE7F00" w14:textId="77777777" w:rsidR="001D649E" w:rsidRPr="001C283E" w:rsidRDefault="001D649E" w:rsidP="001D649E">
      <w:pPr>
        <w:rPr>
          <w:sz w:val="22"/>
        </w:rPr>
      </w:pPr>
    </w:p>
    <w:p w14:paraId="0B38D563" w14:textId="77777777" w:rsidR="00673D50" w:rsidRPr="001C283E" w:rsidRDefault="00673D50" w:rsidP="00AE1B7B">
      <w:pPr>
        <w:pStyle w:val="Heading1"/>
        <w:rPr>
          <w:rFonts w:ascii="Times New Roman" w:hAnsi="Times New Roman"/>
          <w:b/>
          <w:bCs/>
          <w:sz w:val="36"/>
          <w:szCs w:val="36"/>
        </w:rPr>
      </w:pPr>
      <w:r w:rsidRPr="001C283E">
        <w:t>Profile in a Nutshell</w:t>
      </w:r>
    </w:p>
    <w:p w14:paraId="1FBB59C9" w14:textId="77777777" w:rsidR="00083B27" w:rsidRDefault="00471338" w:rsidP="00EA0FFB">
      <w:pPr>
        <w:pStyle w:val="ListParagraph"/>
        <w:numPr>
          <w:ilvl w:val="0"/>
          <w:numId w:val="20"/>
        </w:numPr>
      </w:pPr>
      <w:r>
        <w:t xml:space="preserve">CLOSER is a collaboration of multiple British longitudinal studies, as well as the UK Data Service and British Library. </w:t>
      </w:r>
      <w:r w:rsidR="00536679">
        <w:t xml:space="preserve">This </w:t>
      </w:r>
      <w:r w:rsidR="00E5040F">
        <w:t xml:space="preserve">consortium </w:t>
      </w:r>
      <w:r w:rsidR="00536679">
        <w:t xml:space="preserve">has </w:t>
      </w:r>
      <w:r w:rsidR="00E5040F">
        <w:t xml:space="preserve">been </w:t>
      </w:r>
      <w:r w:rsidR="00D17790">
        <w:t>established</w:t>
      </w:r>
      <w:r w:rsidR="00E5040F">
        <w:t xml:space="preserve"> t</w:t>
      </w:r>
      <w:r w:rsidR="00AC40C8">
        <w:t xml:space="preserve">o </w:t>
      </w:r>
      <w:r w:rsidR="00E5040F">
        <w:t>encourage improvements in the quality of longitudinal research, the data collect</w:t>
      </w:r>
      <w:r w:rsidR="000A287A">
        <w:t>ed in such research</w:t>
      </w:r>
      <w:r w:rsidR="00E5040F">
        <w:t>, and the impact of its findings.</w:t>
      </w:r>
    </w:p>
    <w:p w14:paraId="7B484F86" w14:textId="28D4B05B" w:rsidR="00083B27" w:rsidRDefault="00E92B95" w:rsidP="00EA0FFB">
      <w:pPr>
        <w:pStyle w:val="ListParagraph"/>
        <w:numPr>
          <w:ilvl w:val="0"/>
          <w:numId w:val="20"/>
        </w:numPr>
      </w:pPr>
      <w:r>
        <w:t>Drawing upon questionnaire and clinical sample data from seven UK</w:t>
      </w:r>
      <w:r w:rsidR="00B77024">
        <w:t xml:space="preserve"> or Britain</w:t>
      </w:r>
      <w:r w:rsidR="0081708F">
        <w:t>-based</w:t>
      </w:r>
      <w:r>
        <w:t xml:space="preserve"> birth cohorts and one UK household panel study, </w:t>
      </w:r>
      <w:r w:rsidR="00536679">
        <w:t xml:space="preserve">CLOSER </w:t>
      </w:r>
      <w:r>
        <w:t xml:space="preserve">has developed a range of resources and tools to help facilitate the work of epidemiological </w:t>
      </w:r>
      <w:r w:rsidR="0081708F">
        <w:t xml:space="preserve">and other </w:t>
      </w:r>
      <w:r>
        <w:t>researchers</w:t>
      </w:r>
      <w:r w:rsidR="00536679">
        <w:t>.</w:t>
      </w:r>
    </w:p>
    <w:p w14:paraId="3F631F28" w14:textId="4433671C" w:rsidR="00083B27" w:rsidRDefault="00536679" w:rsidP="00EA0FFB">
      <w:pPr>
        <w:pStyle w:val="ListParagraph"/>
        <w:numPr>
          <w:ilvl w:val="0"/>
          <w:numId w:val="20"/>
        </w:numPr>
      </w:pPr>
      <w:r>
        <w:t xml:space="preserve">CLOSER has </w:t>
      </w:r>
      <w:r w:rsidR="00E92B95">
        <w:t xml:space="preserve">developed a searchable </w:t>
      </w:r>
      <w:r w:rsidR="00471338">
        <w:t xml:space="preserve">metadata </w:t>
      </w:r>
      <w:r w:rsidR="00E92B95">
        <w:t xml:space="preserve">repository </w:t>
      </w:r>
      <w:r>
        <w:t xml:space="preserve">that offers </w:t>
      </w:r>
      <w:r w:rsidR="00D17790">
        <w:t xml:space="preserve">detailed documentation on the data collected </w:t>
      </w:r>
      <w:r w:rsidR="00E92B95">
        <w:t xml:space="preserve">across </w:t>
      </w:r>
      <w:r w:rsidR="00D17790">
        <w:t xml:space="preserve">these </w:t>
      </w:r>
      <w:r w:rsidR="00E92B95">
        <w:t>longitudinal studies, aiding</w:t>
      </w:r>
      <w:r w:rsidR="00D17790">
        <w:t xml:space="preserve"> data discoverability</w:t>
      </w:r>
      <w:r w:rsidR="00083B27">
        <w:t xml:space="preserve"> (</w:t>
      </w:r>
      <w:hyperlink r:id="rId13" w:history="1">
        <w:r w:rsidR="00083B27" w:rsidRPr="006D436B">
          <w:rPr>
            <w:rStyle w:val="Hyperlink"/>
            <w:rFonts w:asciiTheme="minorHAnsi" w:hAnsiTheme="minorHAnsi"/>
          </w:rPr>
          <w:t>https://discovery.closer.ac.uk/</w:t>
        </w:r>
      </w:hyperlink>
      <w:r w:rsidR="00083B27">
        <w:t>)</w:t>
      </w:r>
      <w:r w:rsidR="00D17790">
        <w:t>.</w:t>
      </w:r>
    </w:p>
    <w:p w14:paraId="1E5EDED4" w14:textId="027E5945" w:rsidR="00673D50" w:rsidRDefault="00471338" w:rsidP="00EA0FFB">
      <w:pPr>
        <w:pStyle w:val="ListParagraph"/>
        <w:numPr>
          <w:ilvl w:val="0"/>
          <w:numId w:val="20"/>
        </w:numPr>
      </w:pPr>
      <w:r>
        <w:t xml:space="preserve">CLOSER </w:t>
      </w:r>
      <w:r w:rsidR="00E92B95">
        <w:t xml:space="preserve">has </w:t>
      </w:r>
      <w:r w:rsidR="00D17790">
        <w:t xml:space="preserve">also </w:t>
      </w:r>
      <w:r w:rsidR="00536679">
        <w:t>c</w:t>
      </w:r>
      <w:r w:rsidR="00E92B95">
        <w:t>oordinated</w:t>
      </w:r>
      <w:r w:rsidR="00536679">
        <w:t xml:space="preserve"> a series of work packages on </w:t>
      </w:r>
      <w:r>
        <w:t>the harmonisation and linkage</w:t>
      </w:r>
      <w:r w:rsidR="001C283E">
        <w:t xml:space="preserve"> </w:t>
      </w:r>
      <w:r>
        <w:t xml:space="preserve">of </w:t>
      </w:r>
      <w:r w:rsidR="00536679">
        <w:t xml:space="preserve">longitudinal study </w:t>
      </w:r>
      <w:r w:rsidR="001C283E">
        <w:t>data</w:t>
      </w:r>
      <w:r w:rsidR="00536679">
        <w:t>,</w:t>
      </w:r>
      <w:r w:rsidR="001C283E">
        <w:t xml:space="preserve"> </w:t>
      </w:r>
      <w:r w:rsidR="00E92B95">
        <w:t>covering a range of demographic, socioeconomic, educational, and health domains. Datasets</w:t>
      </w:r>
      <w:r w:rsidR="00652DCB">
        <w:t xml:space="preserve"> </w:t>
      </w:r>
      <w:r w:rsidR="00E92B95">
        <w:t xml:space="preserve">and </w:t>
      </w:r>
      <w:r w:rsidR="00652DCB">
        <w:t xml:space="preserve">learning </w:t>
      </w:r>
      <w:r w:rsidR="00E92B95">
        <w:t xml:space="preserve">tools have been developed as part of this work, </w:t>
      </w:r>
      <w:r w:rsidR="00652DCB">
        <w:t xml:space="preserve">and these </w:t>
      </w:r>
      <w:r w:rsidR="00D17790">
        <w:t xml:space="preserve">resources </w:t>
      </w:r>
      <w:r w:rsidR="00B66D30">
        <w:t xml:space="preserve">are made available </w:t>
      </w:r>
      <w:r w:rsidR="00652DCB">
        <w:t xml:space="preserve">to researchers and practitioners </w:t>
      </w:r>
      <w:r w:rsidR="00B66D30">
        <w:t xml:space="preserve">via the </w:t>
      </w:r>
      <w:r w:rsidR="00D17790">
        <w:t xml:space="preserve">CLOSER website </w:t>
      </w:r>
      <w:r w:rsidR="00083B27">
        <w:t>(</w:t>
      </w:r>
      <w:hyperlink r:id="rId14" w:history="1">
        <w:r w:rsidR="00083B27" w:rsidRPr="006D436B">
          <w:rPr>
            <w:rStyle w:val="Hyperlink"/>
            <w:rFonts w:asciiTheme="minorHAnsi" w:hAnsiTheme="minorHAnsi"/>
          </w:rPr>
          <w:t>https://www.closer.ac.uk/</w:t>
        </w:r>
      </w:hyperlink>
      <w:r w:rsidR="00083B27">
        <w:t xml:space="preserve">) </w:t>
      </w:r>
      <w:r w:rsidR="00D17790">
        <w:t xml:space="preserve">and the </w:t>
      </w:r>
      <w:r w:rsidR="00B66D30">
        <w:t>UK Data Service</w:t>
      </w:r>
      <w:r w:rsidR="00083B27">
        <w:t xml:space="preserve"> (</w:t>
      </w:r>
      <w:r w:rsidR="00083B27" w:rsidRPr="00083B27">
        <w:t>https://discover.ukdataservice.ac.uk/series/?sn=2000111</w:t>
      </w:r>
      <w:r w:rsidR="00083B27">
        <w:t>)</w:t>
      </w:r>
      <w:r w:rsidR="00B66D30">
        <w:t>.</w:t>
      </w:r>
    </w:p>
    <w:p w14:paraId="389736C5" w14:textId="77777777" w:rsidR="00E40349" w:rsidRPr="001C283E" w:rsidRDefault="00E40349" w:rsidP="00471338"/>
    <w:p w14:paraId="1C1CEF8C" w14:textId="77777777" w:rsidR="00673D50" w:rsidRPr="001C283E" w:rsidRDefault="000C144E" w:rsidP="00AE1B7B">
      <w:pPr>
        <w:pStyle w:val="Heading1"/>
        <w:rPr>
          <w:rFonts w:ascii="Times New Roman" w:hAnsi="Times New Roman"/>
          <w:b/>
          <w:bCs/>
          <w:sz w:val="36"/>
          <w:szCs w:val="36"/>
        </w:rPr>
      </w:pPr>
      <w:r w:rsidRPr="001C283E">
        <w:t>R</w:t>
      </w:r>
      <w:r w:rsidR="00673D50" w:rsidRPr="001C283E">
        <w:t>eferences</w:t>
      </w:r>
    </w:p>
    <w:p w14:paraId="646DCF56" w14:textId="05B52CB8" w:rsidR="00B63660" w:rsidRPr="00B63660" w:rsidRDefault="004B5C37" w:rsidP="00B63660">
      <w:pPr>
        <w:widowControl w:val="0"/>
        <w:autoSpaceDE w:val="0"/>
        <w:autoSpaceDN w:val="0"/>
        <w:adjustRightInd w:val="0"/>
        <w:spacing w:after="240" w:line="240" w:lineRule="auto"/>
        <w:ind w:left="640" w:hanging="640"/>
        <w:rPr>
          <w:rFonts w:ascii="Calibri" w:hAnsi="Calibri" w:cs="Calibri"/>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B63660" w:rsidRPr="00B63660">
        <w:rPr>
          <w:rFonts w:ascii="Calibri" w:hAnsi="Calibri" w:cs="Calibri"/>
          <w:noProof/>
          <w:sz w:val="22"/>
          <w:szCs w:val="24"/>
        </w:rPr>
        <w:t xml:space="preserve">1. </w:t>
      </w:r>
      <w:r w:rsidR="00B63660" w:rsidRPr="00B63660">
        <w:rPr>
          <w:rFonts w:ascii="Calibri" w:hAnsi="Calibri" w:cs="Calibri"/>
          <w:noProof/>
          <w:sz w:val="22"/>
          <w:szCs w:val="24"/>
        </w:rPr>
        <w:tab/>
        <w:t xml:space="preserve">Wadsworth M, Kuh D, Richards M, Hardy R. Cohort profile: The 1946 National Birth Cohort (MRC National Survey of Health and Development). </w:t>
      </w:r>
      <w:r w:rsidR="00B63660" w:rsidRPr="00B63660">
        <w:rPr>
          <w:rFonts w:ascii="Calibri" w:hAnsi="Calibri" w:cs="Calibri"/>
          <w:i/>
          <w:iCs/>
          <w:noProof/>
          <w:sz w:val="22"/>
          <w:szCs w:val="24"/>
        </w:rPr>
        <w:t>Int J Epidemiol</w:t>
      </w:r>
      <w:r w:rsidR="00B63660" w:rsidRPr="00B63660">
        <w:rPr>
          <w:rFonts w:ascii="Calibri" w:hAnsi="Calibri" w:cs="Calibri"/>
          <w:noProof/>
          <w:sz w:val="22"/>
          <w:szCs w:val="24"/>
        </w:rPr>
        <w:t>. 2006;</w:t>
      </w:r>
      <w:r w:rsidR="00B63660" w:rsidRPr="00B63660">
        <w:rPr>
          <w:rFonts w:ascii="Calibri" w:hAnsi="Calibri" w:cs="Calibri"/>
          <w:b/>
          <w:bCs/>
          <w:noProof/>
          <w:sz w:val="22"/>
          <w:szCs w:val="24"/>
        </w:rPr>
        <w:t>35</w:t>
      </w:r>
      <w:r w:rsidR="00B63660" w:rsidRPr="00B63660">
        <w:rPr>
          <w:rFonts w:ascii="Calibri" w:hAnsi="Calibri" w:cs="Calibri"/>
          <w:noProof/>
          <w:sz w:val="22"/>
          <w:szCs w:val="24"/>
        </w:rPr>
        <w:t xml:space="preserve">(1):49–54. </w:t>
      </w:r>
    </w:p>
    <w:p w14:paraId="63B7FB2B"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 </w:t>
      </w:r>
      <w:r w:rsidRPr="00B63660">
        <w:rPr>
          <w:rFonts w:ascii="Calibri" w:hAnsi="Calibri" w:cs="Calibri"/>
          <w:noProof/>
          <w:sz w:val="22"/>
          <w:szCs w:val="24"/>
        </w:rPr>
        <w:tab/>
        <w:t xml:space="preserve">Pell JP, Valentine J, Inskip H. One in 30 people in the UK take part in cohort studies. </w:t>
      </w:r>
      <w:r w:rsidRPr="00B63660">
        <w:rPr>
          <w:rFonts w:ascii="Calibri" w:hAnsi="Calibri" w:cs="Calibri"/>
          <w:i/>
          <w:iCs/>
          <w:noProof/>
          <w:sz w:val="22"/>
          <w:szCs w:val="24"/>
        </w:rPr>
        <w:t>Lancet</w:t>
      </w:r>
      <w:r w:rsidRPr="00B63660">
        <w:rPr>
          <w:rFonts w:ascii="Calibri" w:hAnsi="Calibri" w:cs="Calibri"/>
          <w:noProof/>
          <w:sz w:val="22"/>
          <w:szCs w:val="24"/>
        </w:rPr>
        <w:t>. 2014;</w:t>
      </w:r>
      <w:r w:rsidRPr="00B63660">
        <w:rPr>
          <w:rFonts w:ascii="Calibri" w:hAnsi="Calibri" w:cs="Calibri"/>
          <w:b/>
          <w:bCs/>
          <w:noProof/>
          <w:sz w:val="22"/>
          <w:szCs w:val="24"/>
        </w:rPr>
        <w:t>383</w:t>
      </w:r>
      <w:r w:rsidRPr="00B63660">
        <w:rPr>
          <w:rFonts w:ascii="Calibri" w:hAnsi="Calibri" w:cs="Calibri"/>
          <w:noProof/>
          <w:sz w:val="22"/>
          <w:szCs w:val="24"/>
        </w:rPr>
        <w:t xml:space="preserve">(9922):1015–1016. </w:t>
      </w:r>
    </w:p>
    <w:p w14:paraId="242B942A"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 </w:t>
      </w:r>
      <w:r w:rsidRPr="00B63660">
        <w:rPr>
          <w:rFonts w:ascii="Calibri" w:hAnsi="Calibri" w:cs="Calibri"/>
          <w:noProof/>
          <w:sz w:val="22"/>
          <w:szCs w:val="24"/>
        </w:rPr>
        <w:tab/>
        <w:t xml:space="preserve">Syddall H, Aihie Sayer A, Dennison E, et al. Cohort profile: The Hertfordshire Cohort Study. </w:t>
      </w:r>
      <w:r w:rsidRPr="00B63660">
        <w:rPr>
          <w:rFonts w:ascii="Calibri" w:hAnsi="Calibri" w:cs="Calibri"/>
          <w:i/>
          <w:iCs/>
          <w:noProof/>
          <w:sz w:val="22"/>
          <w:szCs w:val="24"/>
        </w:rPr>
        <w:t>Int J Epidemiol</w:t>
      </w:r>
      <w:r w:rsidRPr="00B63660">
        <w:rPr>
          <w:rFonts w:ascii="Calibri" w:hAnsi="Calibri" w:cs="Calibri"/>
          <w:noProof/>
          <w:sz w:val="22"/>
          <w:szCs w:val="24"/>
        </w:rPr>
        <w:t>. 2005;</w:t>
      </w:r>
      <w:r w:rsidRPr="00B63660">
        <w:rPr>
          <w:rFonts w:ascii="Calibri" w:hAnsi="Calibri" w:cs="Calibri"/>
          <w:b/>
          <w:bCs/>
          <w:noProof/>
          <w:sz w:val="22"/>
          <w:szCs w:val="24"/>
        </w:rPr>
        <w:t>34</w:t>
      </w:r>
      <w:r w:rsidRPr="00B63660">
        <w:rPr>
          <w:rFonts w:ascii="Calibri" w:hAnsi="Calibri" w:cs="Calibri"/>
          <w:noProof/>
          <w:sz w:val="22"/>
          <w:szCs w:val="24"/>
        </w:rPr>
        <w:t xml:space="preserve">(6):1234–1242. </w:t>
      </w:r>
    </w:p>
    <w:p w14:paraId="36DFC62E"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4. </w:t>
      </w:r>
      <w:r w:rsidRPr="00B63660">
        <w:rPr>
          <w:rFonts w:ascii="Calibri" w:hAnsi="Calibri" w:cs="Calibri"/>
          <w:noProof/>
          <w:sz w:val="22"/>
          <w:szCs w:val="24"/>
        </w:rPr>
        <w:tab/>
        <w:t xml:space="preserve">Kuh D, Wong A, Shah I, et al. The MRC National Survey of Health and Development reaches age 70: Maintaining participation at older ages in a birth cohort study. </w:t>
      </w:r>
      <w:r w:rsidRPr="00B63660">
        <w:rPr>
          <w:rFonts w:ascii="Calibri" w:hAnsi="Calibri" w:cs="Calibri"/>
          <w:i/>
          <w:iCs/>
          <w:noProof/>
          <w:sz w:val="22"/>
          <w:szCs w:val="24"/>
        </w:rPr>
        <w:t>Eur J Epidemiol</w:t>
      </w:r>
      <w:r w:rsidRPr="00B63660">
        <w:rPr>
          <w:rFonts w:ascii="Calibri" w:hAnsi="Calibri" w:cs="Calibri"/>
          <w:noProof/>
          <w:sz w:val="22"/>
          <w:szCs w:val="24"/>
        </w:rPr>
        <w:t>. 2016;</w:t>
      </w:r>
      <w:r w:rsidRPr="00B63660">
        <w:rPr>
          <w:rFonts w:ascii="Calibri" w:hAnsi="Calibri" w:cs="Calibri"/>
          <w:b/>
          <w:bCs/>
          <w:noProof/>
          <w:sz w:val="22"/>
          <w:szCs w:val="24"/>
        </w:rPr>
        <w:t>31</w:t>
      </w:r>
      <w:r w:rsidRPr="00B63660">
        <w:rPr>
          <w:rFonts w:ascii="Calibri" w:hAnsi="Calibri" w:cs="Calibri"/>
          <w:noProof/>
          <w:sz w:val="22"/>
          <w:szCs w:val="24"/>
        </w:rPr>
        <w:t xml:space="preserve">(11):1135–1147. </w:t>
      </w:r>
    </w:p>
    <w:p w14:paraId="41C2B205"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5. </w:t>
      </w:r>
      <w:r w:rsidRPr="00B63660">
        <w:rPr>
          <w:rFonts w:ascii="Calibri" w:hAnsi="Calibri" w:cs="Calibri"/>
          <w:noProof/>
          <w:sz w:val="22"/>
          <w:szCs w:val="24"/>
        </w:rPr>
        <w:tab/>
        <w:t xml:space="preserve">Kuh D, Pierce M, Adams J, et al. Cohort profile: Updating the cohort profile for the MRC National Survey of Health and Development: A new clinic-based data collection for ageing research. </w:t>
      </w:r>
      <w:r w:rsidRPr="00B63660">
        <w:rPr>
          <w:rFonts w:ascii="Calibri" w:hAnsi="Calibri" w:cs="Calibri"/>
          <w:i/>
          <w:iCs/>
          <w:noProof/>
          <w:sz w:val="22"/>
          <w:szCs w:val="24"/>
        </w:rPr>
        <w:t>Int J Epidemiol</w:t>
      </w:r>
      <w:r w:rsidRPr="00B63660">
        <w:rPr>
          <w:rFonts w:ascii="Calibri" w:hAnsi="Calibri" w:cs="Calibri"/>
          <w:noProof/>
          <w:sz w:val="22"/>
          <w:szCs w:val="24"/>
        </w:rPr>
        <w:t>. 2011;</w:t>
      </w:r>
      <w:r w:rsidRPr="00B63660">
        <w:rPr>
          <w:rFonts w:ascii="Calibri" w:hAnsi="Calibri" w:cs="Calibri"/>
          <w:b/>
          <w:bCs/>
          <w:noProof/>
          <w:sz w:val="22"/>
          <w:szCs w:val="24"/>
        </w:rPr>
        <w:t>40</w:t>
      </w:r>
      <w:r w:rsidRPr="00B63660">
        <w:rPr>
          <w:rFonts w:ascii="Calibri" w:hAnsi="Calibri" w:cs="Calibri"/>
          <w:noProof/>
          <w:sz w:val="22"/>
          <w:szCs w:val="24"/>
        </w:rPr>
        <w:t xml:space="preserve">(1):e1–e9. </w:t>
      </w:r>
    </w:p>
    <w:p w14:paraId="65344574"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6. </w:t>
      </w:r>
      <w:r w:rsidRPr="00B63660">
        <w:rPr>
          <w:rFonts w:ascii="Calibri" w:hAnsi="Calibri" w:cs="Calibri"/>
          <w:noProof/>
          <w:sz w:val="22"/>
          <w:szCs w:val="24"/>
        </w:rPr>
        <w:tab/>
        <w:t xml:space="preserve">Power C, Elliott J. Cohort profile: 1958 British Birth Cohort (National Child Development Study). </w:t>
      </w:r>
      <w:r w:rsidRPr="00B63660">
        <w:rPr>
          <w:rFonts w:ascii="Calibri" w:hAnsi="Calibri" w:cs="Calibri"/>
          <w:i/>
          <w:iCs/>
          <w:noProof/>
          <w:sz w:val="22"/>
          <w:szCs w:val="24"/>
        </w:rPr>
        <w:t>Int J Epidemiol</w:t>
      </w:r>
      <w:r w:rsidRPr="00B63660">
        <w:rPr>
          <w:rFonts w:ascii="Calibri" w:hAnsi="Calibri" w:cs="Calibri"/>
          <w:noProof/>
          <w:sz w:val="22"/>
          <w:szCs w:val="24"/>
        </w:rPr>
        <w:t>. 2006;</w:t>
      </w:r>
      <w:r w:rsidRPr="00B63660">
        <w:rPr>
          <w:rFonts w:ascii="Calibri" w:hAnsi="Calibri" w:cs="Calibri"/>
          <w:b/>
          <w:bCs/>
          <w:noProof/>
          <w:sz w:val="22"/>
          <w:szCs w:val="24"/>
        </w:rPr>
        <w:t>35</w:t>
      </w:r>
      <w:r w:rsidRPr="00B63660">
        <w:rPr>
          <w:rFonts w:ascii="Calibri" w:hAnsi="Calibri" w:cs="Calibri"/>
          <w:noProof/>
          <w:sz w:val="22"/>
          <w:szCs w:val="24"/>
        </w:rPr>
        <w:t xml:space="preserve">(1):34–41. </w:t>
      </w:r>
    </w:p>
    <w:p w14:paraId="2159529A"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7. </w:t>
      </w:r>
      <w:r w:rsidRPr="00B63660">
        <w:rPr>
          <w:rFonts w:ascii="Calibri" w:hAnsi="Calibri" w:cs="Calibri"/>
          <w:noProof/>
          <w:sz w:val="22"/>
          <w:szCs w:val="24"/>
        </w:rPr>
        <w:tab/>
        <w:t xml:space="preserve">Elliott J, Shepherd P. Cohort profile: 1970 British Birth Cohort (BCS70). </w:t>
      </w:r>
      <w:r w:rsidRPr="00B63660">
        <w:rPr>
          <w:rFonts w:ascii="Calibri" w:hAnsi="Calibri" w:cs="Calibri"/>
          <w:i/>
          <w:iCs/>
          <w:noProof/>
          <w:sz w:val="22"/>
          <w:szCs w:val="24"/>
        </w:rPr>
        <w:t>Int J Epidemiol</w:t>
      </w:r>
      <w:r w:rsidRPr="00B63660">
        <w:rPr>
          <w:rFonts w:ascii="Calibri" w:hAnsi="Calibri" w:cs="Calibri"/>
          <w:noProof/>
          <w:sz w:val="22"/>
          <w:szCs w:val="24"/>
        </w:rPr>
        <w:t>. 2006;</w:t>
      </w:r>
      <w:r w:rsidRPr="00B63660">
        <w:rPr>
          <w:rFonts w:ascii="Calibri" w:hAnsi="Calibri" w:cs="Calibri"/>
          <w:b/>
          <w:bCs/>
          <w:noProof/>
          <w:sz w:val="22"/>
          <w:szCs w:val="24"/>
        </w:rPr>
        <w:t>35</w:t>
      </w:r>
      <w:r w:rsidRPr="00B63660">
        <w:rPr>
          <w:rFonts w:ascii="Calibri" w:hAnsi="Calibri" w:cs="Calibri"/>
          <w:noProof/>
          <w:sz w:val="22"/>
          <w:szCs w:val="24"/>
        </w:rPr>
        <w:t xml:space="preserve">(4):836–843. </w:t>
      </w:r>
    </w:p>
    <w:p w14:paraId="7AC2A127"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8. </w:t>
      </w:r>
      <w:r w:rsidRPr="00B63660">
        <w:rPr>
          <w:rFonts w:ascii="Calibri" w:hAnsi="Calibri" w:cs="Calibri"/>
          <w:noProof/>
          <w:sz w:val="22"/>
          <w:szCs w:val="24"/>
        </w:rPr>
        <w:tab/>
        <w:t xml:space="preserve">Fraser A, Macdonald-Wallis C, Tilling K, et al. Cohort profile: The Avon Longitudinal Study of Parents and Children: ALSPAC mothers cohort. </w:t>
      </w:r>
      <w:r w:rsidRPr="00B63660">
        <w:rPr>
          <w:rFonts w:ascii="Calibri" w:hAnsi="Calibri" w:cs="Calibri"/>
          <w:i/>
          <w:iCs/>
          <w:noProof/>
          <w:sz w:val="22"/>
          <w:szCs w:val="24"/>
        </w:rPr>
        <w:t>Int J Epidemiol</w:t>
      </w:r>
      <w:r w:rsidRPr="00B63660">
        <w:rPr>
          <w:rFonts w:ascii="Calibri" w:hAnsi="Calibri" w:cs="Calibri"/>
          <w:noProof/>
          <w:sz w:val="22"/>
          <w:szCs w:val="24"/>
        </w:rPr>
        <w:t>. 2013;</w:t>
      </w:r>
      <w:r w:rsidRPr="00B63660">
        <w:rPr>
          <w:rFonts w:ascii="Calibri" w:hAnsi="Calibri" w:cs="Calibri"/>
          <w:b/>
          <w:bCs/>
          <w:noProof/>
          <w:sz w:val="22"/>
          <w:szCs w:val="24"/>
        </w:rPr>
        <w:t>42</w:t>
      </w:r>
      <w:r w:rsidRPr="00B63660">
        <w:rPr>
          <w:rFonts w:ascii="Calibri" w:hAnsi="Calibri" w:cs="Calibri"/>
          <w:noProof/>
          <w:sz w:val="22"/>
          <w:szCs w:val="24"/>
        </w:rPr>
        <w:t xml:space="preserve">(1):97–110. </w:t>
      </w:r>
    </w:p>
    <w:p w14:paraId="17AD52C0"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9. </w:t>
      </w:r>
      <w:r w:rsidRPr="00B63660">
        <w:rPr>
          <w:rFonts w:ascii="Calibri" w:hAnsi="Calibri" w:cs="Calibri"/>
          <w:noProof/>
          <w:sz w:val="22"/>
          <w:szCs w:val="24"/>
        </w:rPr>
        <w:tab/>
        <w:t xml:space="preserve">Boyd A, Golding J, Macleod J, et al. Cohort profile: The ‘Children of the 90s’—the index offspring of the Avon Longitudinal Study of Parents and Children. </w:t>
      </w:r>
      <w:r w:rsidRPr="00B63660">
        <w:rPr>
          <w:rFonts w:ascii="Calibri" w:hAnsi="Calibri" w:cs="Calibri"/>
          <w:i/>
          <w:iCs/>
          <w:noProof/>
          <w:sz w:val="22"/>
          <w:szCs w:val="24"/>
        </w:rPr>
        <w:t>Int J Epidemiol</w:t>
      </w:r>
      <w:r w:rsidRPr="00B63660">
        <w:rPr>
          <w:rFonts w:ascii="Calibri" w:hAnsi="Calibri" w:cs="Calibri"/>
          <w:noProof/>
          <w:sz w:val="22"/>
          <w:szCs w:val="24"/>
        </w:rPr>
        <w:t>. 2013;</w:t>
      </w:r>
      <w:r w:rsidRPr="00B63660">
        <w:rPr>
          <w:rFonts w:ascii="Calibri" w:hAnsi="Calibri" w:cs="Calibri"/>
          <w:b/>
          <w:bCs/>
          <w:noProof/>
          <w:sz w:val="22"/>
          <w:szCs w:val="24"/>
        </w:rPr>
        <w:t>42</w:t>
      </w:r>
      <w:r w:rsidRPr="00B63660">
        <w:rPr>
          <w:rFonts w:ascii="Calibri" w:hAnsi="Calibri" w:cs="Calibri"/>
          <w:noProof/>
          <w:sz w:val="22"/>
          <w:szCs w:val="24"/>
        </w:rPr>
        <w:t xml:space="preserve">(1):111–127. </w:t>
      </w:r>
    </w:p>
    <w:p w14:paraId="6F4C53B5"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10. </w:t>
      </w:r>
      <w:r w:rsidRPr="00B63660">
        <w:rPr>
          <w:rFonts w:ascii="Calibri" w:hAnsi="Calibri" w:cs="Calibri"/>
          <w:noProof/>
          <w:sz w:val="22"/>
          <w:szCs w:val="24"/>
        </w:rPr>
        <w:tab/>
        <w:t xml:space="preserve">Inskip HM, Godfrey KM, Robinson SM, Law CM, Barker DJP, Cooper C. Cohort profile: The Southampton Women’s Survey. </w:t>
      </w:r>
      <w:r w:rsidRPr="00B63660">
        <w:rPr>
          <w:rFonts w:ascii="Calibri" w:hAnsi="Calibri" w:cs="Calibri"/>
          <w:i/>
          <w:iCs/>
          <w:noProof/>
          <w:sz w:val="22"/>
          <w:szCs w:val="24"/>
        </w:rPr>
        <w:t>Int J Epidemiol</w:t>
      </w:r>
      <w:r w:rsidRPr="00B63660">
        <w:rPr>
          <w:rFonts w:ascii="Calibri" w:hAnsi="Calibri" w:cs="Calibri"/>
          <w:noProof/>
          <w:sz w:val="22"/>
          <w:szCs w:val="24"/>
        </w:rPr>
        <w:t>. 2006;</w:t>
      </w:r>
      <w:r w:rsidRPr="00B63660">
        <w:rPr>
          <w:rFonts w:ascii="Calibri" w:hAnsi="Calibri" w:cs="Calibri"/>
          <w:b/>
          <w:bCs/>
          <w:noProof/>
          <w:sz w:val="22"/>
          <w:szCs w:val="24"/>
        </w:rPr>
        <w:t>35</w:t>
      </w:r>
      <w:r w:rsidRPr="00B63660">
        <w:rPr>
          <w:rFonts w:ascii="Calibri" w:hAnsi="Calibri" w:cs="Calibri"/>
          <w:noProof/>
          <w:sz w:val="22"/>
          <w:szCs w:val="24"/>
        </w:rPr>
        <w:t xml:space="preserve">(1):42–48. </w:t>
      </w:r>
    </w:p>
    <w:p w14:paraId="5E343D4A"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11. </w:t>
      </w:r>
      <w:r w:rsidRPr="00B63660">
        <w:rPr>
          <w:rFonts w:ascii="Calibri" w:hAnsi="Calibri" w:cs="Calibri"/>
          <w:noProof/>
          <w:sz w:val="22"/>
          <w:szCs w:val="24"/>
        </w:rPr>
        <w:tab/>
        <w:t xml:space="preserve">Connelly R, Platt L. Cohort profile: UK Millennium Cohort Study (MCS). </w:t>
      </w:r>
      <w:r w:rsidRPr="00B63660">
        <w:rPr>
          <w:rFonts w:ascii="Calibri" w:hAnsi="Calibri" w:cs="Calibri"/>
          <w:i/>
          <w:iCs/>
          <w:noProof/>
          <w:sz w:val="22"/>
          <w:szCs w:val="24"/>
        </w:rPr>
        <w:t>Int J Epidemiol</w:t>
      </w:r>
      <w:r w:rsidRPr="00B63660">
        <w:rPr>
          <w:rFonts w:ascii="Calibri" w:hAnsi="Calibri" w:cs="Calibri"/>
          <w:noProof/>
          <w:sz w:val="22"/>
          <w:szCs w:val="24"/>
        </w:rPr>
        <w:t>. 2014;</w:t>
      </w:r>
      <w:r w:rsidRPr="00B63660">
        <w:rPr>
          <w:rFonts w:ascii="Calibri" w:hAnsi="Calibri" w:cs="Calibri"/>
          <w:b/>
          <w:bCs/>
          <w:noProof/>
          <w:sz w:val="22"/>
          <w:szCs w:val="24"/>
        </w:rPr>
        <w:t>43</w:t>
      </w:r>
      <w:r w:rsidRPr="00B63660">
        <w:rPr>
          <w:rFonts w:ascii="Calibri" w:hAnsi="Calibri" w:cs="Calibri"/>
          <w:noProof/>
          <w:sz w:val="22"/>
          <w:szCs w:val="24"/>
        </w:rPr>
        <w:t xml:space="preserve">(6):1719–1725. </w:t>
      </w:r>
    </w:p>
    <w:p w14:paraId="15202783"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12. </w:t>
      </w:r>
      <w:r w:rsidRPr="00B63660">
        <w:rPr>
          <w:rFonts w:ascii="Calibri" w:hAnsi="Calibri" w:cs="Calibri"/>
          <w:noProof/>
          <w:sz w:val="22"/>
          <w:szCs w:val="24"/>
        </w:rPr>
        <w:tab/>
        <w:t xml:space="preserve">Joshi H, Fitzsimons E. The Millennium Cohort Study: The making of a multi-purpose resource for social science and policy. </w:t>
      </w:r>
      <w:r w:rsidRPr="00B63660">
        <w:rPr>
          <w:rFonts w:ascii="Calibri" w:hAnsi="Calibri" w:cs="Calibri"/>
          <w:i/>
          <w:iCs/>
          <w:noProof/>
          <w:sz w:val="22"/>
          <w:szCs w:val="24"/>
        </w:rPr>
        <w:t>Longit Life Course Stud</w:t>
      </w:r>
      <w:r w:rsidRPr="00B63660">
        <w:rPr>
          <w:rFonts w:ascii="Calibri" w:hAnsi="Calibri" w:cs="Calibri"/>
          <w:noProof/>
          <w:sz w:val="22"/>
          <w:szCs w:val="24"/>
        </w:rPr>
        <w:t>. 2016;</w:t>
      </w:r>
      <w:r w:rsidRPr="00B63660">
        <w:rPr>
          <w:rFonts w:ascii="Calibri" w:hAnsi="Calibri" w:cs="Calibri"/>
          <w:b/>
          <w:bCs/>
          <w:noProof/>
          <w:sz w:val="22"/>
          <w:szCs w:val="24"/>
        </w:rPr>
        <w:t>7</w:t>
      </w:r>
      <w:r w:rsidRPr="00B63660">
        <w:rPr>
          <w:rFonts w:ascii="Calibri" w:hAnsi="Calibri" w:cs="Calibri"/>
          <w:noProof/>
          <w:sz w:val="22"/>
          <w:szCs w:val="24"/>
        </w:rPr>
        <w:t xml:space="preserve">(4). </w:t>
      </w:r>
    </w:p>
    <w:p w14:paraId="0D988816"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13. </w:t>
      </w:r>
      <w:r w:rsidRPr="00B63660">
        <w:rPr>
          <w:rFonts w:ascii="Calibri" w:hAnsi="Calibri" w:cs="Calibri"/>
          <w:noProof/>
          <w:sz w:val="22"/>
          <w:szCs w:val="24"/>
        </w:rPr>
        <w:tab/>
        <w:t xml:space="preserve">Buck N, McFall S. Understanding Society: Design overview. </w:t>
      </w:r>
      <w:r w:rsidRPr="00B63660">
        <w:rPr>
          <w:rFonts w:ascii="Calibri" w:hAnsi="Calibri" w:cs="Calibri"/>
          <w:i/>
          <w:iCs/>
          <w:noProof/>
          <w:sz w:val="22"/>
          <w:szCs w:val="24"/>
        </w:rPr>
        <w:t>Longit Life Course Stud</w:t>
      </w:r>
      <w:r w:rsidRPr="00B63660">
        <w:rPr>
          <w:rFonts w:ascii="Calibri" w:hAnsi="Calibri" w:cs="Calibri"/>
          <w:noProof/>
          <w:sz w:val="22"/>
          <w:szCs w:val="24"/>
        </w:rPr>
        <w:t>. 2012;</w:t>
      </w:r>
      <w:r w:rsidRPr="00B63660">
        <w:rPr>
          <w:rFonts w:ascii="Calibri" w:hAnsi="Calibri" w:cs="Calibri"/>
          <w:b/>
          <w:bCs/>
          <w:noProof/>
          <w:sz w:val="22"/>
          <w:szCs w:val="24"/>
        </w:rPr>
        <w:t>3</w:t>
      </w:r>
      <w:r w:rsidRPr="00B63660">
        <w:rPr>
          <w:rFonts w:ascii="Calibri" w:hAnsi="Calibri" w:cs="Calibri"/>
          <w:noProof/>
          <w:sz w:val="22"/>
          <w:szCs w:val="24"/>
        </w:rPr>
        <w:t xml:space="preserve">(1):5–17. </w:t>
      </w:r>
    </w:p>
    <w:p w14:paraId="2FA97003" w14:textId="51AD7051"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14. </w:t>
      </w:r>
      <w:r w:rsidRPr="00B63660">
        <w:rPr>
          <w:rFonts w:ascii="Calibri" w:hAnsi="Calibri" w:cs="Calibri"/>
          <w:noProof/>
          <w:sz w:val="22"/>
          <w:szCs w:val="24"/>
        </w:rPr>
        <w:tab/>
        <w:t>Davis-Kean P, Chambers RL, Davidson LL, Kleinert C, Ren Q, Tang S. Longitudinal Studies Strategic Review: 2017 Report to the Economic and Social Research Council. London</w:t>
      </w:r>
      <w:r w:rsidR="00893A68">
        <w:rPr>
          <w:rFonts w:ascii="Calibri" w:hAnsi="Calibri" w:cs="Calibri"/>
          <w:noProof/>
          <w:sz w:val="22"/>
          <w:szCs w:val="24"/>
        </w:rPr>
        <w:t>: ESRC</w:t>
      </w:r>
      <w:r w:rsidRPr="00B63660">
        <w:rPr>
          <w:rFonts w:ascii="Calibri" w:hAnsi="Calibri" w:cs="Calibri"/>
          <w:noProof/>
          <w:sz w:val="22"/>
          <w:szCs w:val="24"/>
        </w:rPr>
        <w:t xml:space="preserve">; 2018. </w:t>
      </w:r>
    </w:p>
    <w:p w14:paraId="123AE987"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15. </w:t>
      </w:r>
      <w:r w:rsidRPr="00B63660">
        <w:rPr>
          <w:rFonts w:ascii="Calibri" w:hAnsi="Calibri" w:cs="Calibri"/>
          <w:noProof/>
          <w:sz w:val="22"/>
          <w:szCs w:val="24"/>
        </w:rPr>
        <w:tab/>
        <w:t xml:space="preserve">Kitchin R. The Data Revolution: Big Data, Open Data, Data Infrastructures and Their Consequences. London, UK: SAGE Publications; 2014. </w:t>
      </w:r>
    </w:p>
    <w:p w14:paraId="791D89A0"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16. </w:t>
      </w:r>
      <w:r w:rsidRPr="00B63660">
        <w:rPr>
          <w:rFonts w:ascii="Calibri" w:hAnsi="Calibri" w:cs="Calibri"/>
          <w:noProof/>
          <w:sz w:val="22"/>
          <w:szCs w:val="24"/>
        </w:rPr>
        <w:tab/>
        <w:t xml:space="preserve">Bechhofer S, Buchan I, Roure D De, et al. Why linked data is not enough for scientists. </w:t>
      </w:r>
      <w:r w:rsidRPr="00B63660">
        <w:rPr>
          <w:rFonts w:ascii="Calibri" w:hAnsi="Calibri" w:cs="Calibri"/>
          <w:i/>
          <w:iCs/>
          <w:noProof/>
          <w:sz w:val="22"/>
          <w:szCs w:val="24"/>
        </w:rPr>
        <w:t>Futur Gener Comput Syst</w:t>
      </w:r>
      <w:r w:rsidRPr="00B63660">
        <w:rPr>
          <w:rFonts w:ascii="Calibri" w:hAnsi="Calibri" w:cs="Calibri"/>
          <w:noProof/>
          <w:sz w:val="22"/>
          <w:szCs w:val="24"/>
        </w:rPr>
        <w:t>. 2013;</w:t>
      </w:r>
      <w:r w:rsidRPr="00B63660">
        <w:rPr>
          <w:rFonts w:ascii="Calibri" w:hAnsi="Calibri" w:cs="Calibri"/>
          <w:b/>
          <w:bCs/>
          <w:noProof/>
          <w:sz w:val="22"/>
          <w:szCs w:val="24"/>
        </w:rPr>
        <w:t>29</w:t>
      </w:r>
      <w:r w:rsidRPr="00B63660">
        <w:rPr>
          <w:rFonts w:ascii="Calibri" w:hAnsi="Calibri" w:cs="Calibri"/>
          <w:noProof/>
          <w:sz w:val="22"/>
          <w:szCs w:val="24"/>
        </w:rPr>
        <w:t xml:space="preserve">(2):599–611. </w:t>
      </w:r>
    </w:p>
    <w:p w14:paraId="7D35B80E" w14:textId="2C4CAEAE"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17. </w:t>
      </w:r>
      <w:r w:rsidRPr="00B63660">
        <w:rPr>
          <w:rFonts w:ascii="Calibri" w:hAnsi="Calibri" w:cs="Calibri"/>
          <w:noProof/>
          <w:sz w:val="22"/>
          <w:szCs w:val="24"/>
        </w:rPr>
        <w:tab/>
        <w:t xml:space="preserve">Data Documentation Initiative. DDI-Lifecycle 3.2. </w:t>
      </w:r>
      <w:r w:rsidRPr="00B63660">
        <w:rPr>
          <w:rFonts w:ascii="Calibri" w:hAnsi="Calibri" w:cs="Calibri"/>
          <w:i/>
          <w:iCs/>
          <w:noProof/>
          <w:sz w:val="22"/>
          <w:szCs w:val="24"/>
        </w:rPr>
        <w:t>2014</w:t>
      </w:r>
      <w:r w:rsidRPr="00B63660">
        <w:rPr>
          <w:rFonts w:ascii="Calibri" w:hAnsi="Calibri" w:cs="Calibri"/>
          <w:noProof/>
          <w:sz w:val="22"/>
          <w:szCs w:val="24"/>
        </w:rPr>
        <w:t xml:space="preserve">. </w:t>
      </w:r>
      <w:r w:rsidR="00893A68">
        <w:rPr>
          <w:rFonts w:ascii="Calibri" w:hAnsi="Calibri" w:cs="Calibri"/>
          <w:noProof/>
          <w:sz w:val="22"/>
          <w:szCs w:val="24"/>
        </w:rPr>
        <w:t xml:space="preserve">Available from: </w:t>
      </w:r>
      <w:r w:rsidR="00893A68" w:rsidRPr="00893A68">
        <w:rPr>
          <w:rFonts w:ascii="Calibri" w:hAnsi="Calibri" w:cs="Calibri"/>
          <w:noProof/>
          <w:sz w:val="22"/>
          <w:szCs w:val="24"/>
        </w:rPr>
        <w:t>http://www.ddialliance.org/Specification/DDI-Lifecycle/3.2/</w:t>
      </w:r>
      <w:r w:rsidR="00893A68">
        <w:rPr>
          <w:rFonts w:ascii="Calibri" w:hAnsi="Calibri" w:cs="Calibri"/>
          <w:noProof/>
          <w:sz w:val="22"/>
          <w:szCs w:val="24"/>
        </w:rPr>
        <w:t xml:space="preserve"> [Accessed 21</w:t>
      </w:r>
      <w:r w:rsidR="00893A68" w:rsidRPr="00F26957">
        <w:rPr>
          <w:rFonts w:ascii="Calibri" w:hAnsi="Calibri" w:cs="Calibri"/>
          <w:noProof/>
          <w:sz w:val="22"/>
          <w:szCs w:val="24"/>
          <w:vertAlign w:val="superscript"/>
        </w:rPr>
        <w:t>st</w:t>
      </w:r>
      <w:r w:rsidR="00893A68">
        <w:rPr>
          <w:rFonts w:ascii="Calibri" w:hAnsi="Calibri" w:cs="Calibri"/>
          <w:noProof/>
          <w:sz w:val="22"/>
          <w:szCs w:val="24"/>
        </w:rPr>
        <w:t xml:space="preserve"> November 2018]</w:t>
      </w:r>
    </w:p>
    <w:p w14:paraId="10E2F7E3"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18. </w:t>
      </w:r>
      <w:r w:rsidRPr="00B63660">
        <w:rPr>
          <w:rFonts w:ascii="Calibri" w:hAnsi="Calibri" w:cs="Calibri"/>
          <w:noProof/>
          <w:sz w:val="22"/>
          <w:szCs w:val="24"/>
        </w:rPr>
        <w:tab/>
        <w:t xml:space="preserve">Marmot M, Brunner E. Cohort profile: The Whitehall II study. </w:t>
      </w:r>
      <w:r w:rsidRPr="00B63660">
        <w:rPr>
          <w:rFonts w:ascii="Calibri" w:hAnsi="Calibri" w:cs="Calibri"/>
          <w:i/>
          <w:iCs/>
          <w:noProof/>
          <w:sz w:val="22"/>
          <w:szCs w:val="24"/>
        </w:rPr>
        <w:t>Int J Epidemiol</w:t>
      </w:r>
      <w:r w:rsidRPr="00B63660">
        <w:rPr>
          <w:rFonts w:ascii="Calibri" w:hAnsi="Calibri" w:cs="Calibri"/>
          <w:noProof/>
          <w:sz w:val="22"/>
          <w:szCs w:val="24"/>
        </w:rPr>
        <w:t>. 2005;</w:t>
      </w:r>
      <w:r w:rsidRPr="00B63660">
        <w:rPr>
          <w:rFonts w:ascii="Calibri" w:hAnsi="Calibri" w:cs="Calibri"/>
          <w:b/>
          <w:bCs/>
          <w:noProof/>
          <w:sz w:val="22"/>
          <w:szCs w:val="24"/>
        </w:rPr>
        <w:t>34</w:t>
      </w:r>
      <w:r w:rsidRPr="00B63660">
        <w:rPr>
          <w:rFonts w:ascii="Calibri" w:hAnsi="Calibri" w:cs="Calibri"/>
          <w:noProof/>
          <w:sz w:val="22"/>
          <w:szCs w:val="24"/>
        </w:rPr>
        <w:t xml:space="preserve">(2):251–256. </w:t>
      </w:r>
    </w:p>
    <w:p w14:paraId="6E4C6A3F" w14:textId="14D625C0"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19. </w:t>
      </w:r>
      <w:r w:rsidRPr="00B63660">
        <w:rPr>
          <w:rFonts w:ascii="Calibri" w:hAnsi="Calibri" w:cs="Calibri"/>
          <w:noProof/>
          <w:sz w:val="22"/>
          <w:szCs w:val="24"/>
        </w:rPr>
        <w:tab/>
        <w:t>Ruiz M, Benzeval M, Kumari M. A guide to biomarker data in the CLOSER studies: A catalogue across the cohort and longitudinal studies. London, UK</w:t>
      </w:r>
      <w:r w:rsidR="00893A68">
        <w:rPr>
          <w:rFonts w:ascii="Calibri" w:hAnsi="Calibri" w:cs="Calibri"/>
          <w:noProof/>
          <w:sz w:val="22"/>
          <w:szCs w:val="24"/>
        </w:rPr>
        <w:t>: CLOSER</w:t>
      </w:r>
      <w:r w:rsidRPr="00B63660">
        <w:rPr>
          <w:rFonts w:ascii="Calibri" w:hAnsi="Calibri" w:cs="Calibri"/>
          <w:noProof/>
          <w:sz w:val="22"/>
          <w:szCs w:val="24"/>
        </w:rPr>
        <w:t xml:space="preserve">; 2017. </w:t>
      </w:r>
    </w:p>
    <w:p w14:paraId="0494E83A" w14:textId="7672F6BC"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20. </w:t>
      </w:r>
      <w:r w:rsidRPr="00B63660">
        <w:rPr>
          <w:rFonts w:ascii="Calibri" w:hAnsi="Calibri" w:cs="Calibri"/>
          <w:noProof/>
          <w:sz w:val="22"/>
          <w:szCs w:val="24"/>
        </w:rPr>
        <w:tab/>
        <w:t xml:space="preserve">Fortier I, Raina P, Heuvel ER Van den, et al. Maelstrom Research guidelines for rigorous retrospective data harmonization. </w:t>
      </w:r>
      <w:r w:rsidRPr="00B63660">
        <w:rPr>
          <w:rFonts w:ascii="Calibri" w:hAnsi="Calibri" w:cs="Calibri"/>
          <w:i/>
          <w:iCs/>
          <w:noProof/>
          <w:sz w:val="22"/>
          <w:szCs w:val="24"/>
        </w:rPr>
        <w:t>Int J Epidemiol</w:t>
      </w:r>
      <w:r w:rsidRPr="00B63660">
        <w:rPr>
          <w:rFonts w:ascii="Calibri" w:hAnsi="Calibri" w:cs="Calibri"/>
          <w:noProof/>
          <w:sz w:val="22"/>
          <w:szCs w:val="24"/>
        </w:rPr>
        <w:t>. 2017;</w:t>
      </w:r>
      <w:r w:rsidRPr="00B63660">
        <w:rPr>
          <w:rFonts w:ascii="Calibri" w:hAnsi="Calibri" w:cs="Calibri"/>
          <w:b/>
          <w:bCs/>
          <w:noProof/>
          <w:sz w:val="22"/>
          <w:szCs w:val="24"/>
        </w:rPr>
        <w:t>46</w:t>
      </w:r>
      <w:r w:rsidRPr="00B63660">
        <w:rPr>
          <w:rFonts w:ascii="Calibri" w:hAnsi="Calibri" w:cs="Calibri"/>
          <w:noProof/>
          <w:sz w:val="22"/>
          <w:szCs w:val="24"/>
        </w:rPr>
        <w:t xml:space="preserve">(1):103–115. </w:t>
      </w:r>
    </w:p>
    <w:p w14:paraId="5F9DBDEE" w14:textId="33708F25"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21. </w:t>
      </w:r>
      <w:r w:rsidRPr="00B63660">
        <w:rPr>
          <w:rFonts w:ascii="Calibri" w:hAnsi="Calibri" w:cs="Calibri"/>
          <w:noProof/>
          <w:sz w:val="22"/>
          <w:szCs w:val="24"/>
        </w:rPr>
        <w:tab/>
        <w:t xml:space="preserve">Dubrow JK, Tomescu-Dubrow I. The rise of cross-national survey data harmonization in the social sciences: Emergence of an interdisciplinary methodological field. </w:t>
      </w:r>
      <w:r w:rsidRPr="00B63660">
        <w:rPr>
          <w:rFonts w:ascii="Calibri" w:hAnsi="Calibri" w:cs="Calibri"/>
          <w:i/>
          <w:iCs/>
          <w:noProof/>
          <w:sz w:val="22"/>
          <w:szCs w:val="24"/>
        </w:rPr>
        <w:t>Qual Quant</w:t>
      </w:r>
      <w:r w:rsidRPr="00B63660">
        <w:rPr>
          <w:rFonts w:ascii="Calibri" w:hAnsi="Calibri" w:cs="Calibri"/>
          <w:noProof/>
          <w:sz w:val="22"/>
          <w:szCs w:val="24"/>
        </w:rPr>
        <w:t>. 2016;</w:t>
      </w:r>
      <w:r w:rsidRPr="00B63660">
        <w:rPr>
          <w:rFonts w:ascii="Calibri" w:hAnsi="Calibri" w:cs="Calibri"/>
          <w:b/>
          <w:bCs/>
          <w:noProof/>
          <w:sz w:val="22"/>
          <w:szCs w:val="24"/>
        </w:rPr>
        <w:t>50</w:t>
      </w:r>
      <w:r w:rsidRPr="00B63660">
        <w:rPr>
          <w:rFonts w:ascii="Calibri" w:hAnsi="Calibri" w:cs="Calibri"/>
          <w:noProof/>
          <w:sz w:val="22"/>
          <w:szCs w:val="24"/>
        </w:rPr>
        <w:t xml:space="preserve">(4):1449–1467. </w:t>
      </w:r>
    </w:p>
    <w:p w14:paraId="418C2A87"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22. </w:t>
      </w:r>
      <w:r w:rsidRPr="00B63660">
        <w:rPr>
          <w:rFonts w:ascii="Calibri" w:hAnsi="Calibri" w:cs="Calibri"/>
          <w:noProof/>
          <w:sz w:val="22"/>
          <w:szCs w:val="24"/>
        </w:rPr>
        <w:tab/>
        <w:t xml:space="preserve">Connelly R, Playford CJ, Gayle V, Dibben C. The role of administrative data in the big data revolution in social science research. </w:t>
      </w:r>
      <w:r w:rsidRPr="00B63660">
        <w:rPr>
          <w:rFonts w:ascii="Calibri" w:hAnsi="Calibri" w:cs="Calibri"/>
          <w:i/>
          <w:iCs/>
          <w:noProof/>
          <w:sz w:val="22"/>
          <w:szCs w:val="24"/>
        </w:rPr>
        <w:t>Soc Sci Res</w:t>
      </w:r>
      <w:r w:rsidRPr="00B63660">
        <w:rPr>
          <w:rFonts w:ascii="Calibri" w:hAnsi="Calibri" w:cs="Calibri"/>
          <w:noProof/>
          <w:sz w:val="22"/>
          <w:szCs w:val="24"/>
        </w:rPr>
        <w:t>. 2016;</w:t>
      </w:r>
      <w:r w:rsidRPr="00B63660">
        <w:rPr>
          <w:rFonts w:ascii="Calibri" w:hAnsi="Calibri" w:cs="Calibri"/>
          <w:b/>
          <w:bCs/>
          <w:noProof/>
          <w:sz w:val="22"/>
          <w:szCs w:val="24"/>
        </w:rPr>
        <w:t>59</w:t>
      </w:r>
      <w:r w:rsidRPr="00B63660">
        <w:rPr>
          <w:rFonts w:ascii="Calibri" w:hAnsi="Calibri" w:cs="Calibri"/>
          <w:noProof/>
          <w:sz w:val="22"/>
          <w:szCs w:val="24"/>
        </w:rPr>
        <w:t xml:space="preserve">:1–12. </w:t>
      </w:r>
    </w:p>
    <w:p w14:paraId="3948596E"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23. </w:t>
      </w:r>
      <w:r w:rsidRPr="00B63660">
        <w:rPr>
          <w:rFonts w:ascii="Calibri" w:hAnsi="Calibri" w:cs="Calibri"/>
          <w:noProof/>
          <w:sz w:val="22"/>
          <w:szCs w:val="24"/>
        </w:rPr>
        <w:tab/>
        <w:t xml:space="preserve">Sakshaug JW, Couper MP, Ofstedal MB, Weir DR. Linking survey and administrative records: Mechanisms of consent. </w:t>
      </w:r>
      <w:r w:rsidRPr="00B63660">
        <w:rPr>
          <w:rFonts w:ascii="Calibri" w:hAnsi="Calibri" w:cs="Calibri"/>
          <w:i/>
          <w:iCs/>
          <w:noProof/>
          <w:sz w:val="22"/>
          <w:szCs w:val="24"/>
        </w:rPr>
        <w:t>Sociol Methods Res</w:t>
      </w:r>
      <w:r w:rsidRPr="00B63660">
        <w:rPr>
          <w:rFonts w:ascii="Calibri" w:hAnsi="Calibri" w:cs="Calibri"/>
          <w:noProof/>
          <w:sz w:val="22"/>
          <w:szCs w:val="24"/>
        </w:rPr>
        <w:t>. 2012;</w:t>
      </w:r>
      <w:r w:rsidRPr="00B63660">
        <w:rPr>
          <w:rFonts w:ascii="Calibri" w:hAnsi="Calibri" w:cs="Calibri"/>
          <w:b/>
          <w:bCs/>
          <w:noProof/>
          <w:sz w:val="22"/>
          <w:szCs w:val="24"/>
        </w:rPr>
        <w:t>41</w:t>
      </w:r>
      <w:r w:rsidRPr="00B63660">
        <w:rPr>
          <w:rFonts w:ascii="Calibri" w:hAnsi="Calibri" w:cs="Calibri"/>
          <w:noProof/>
          <w:sz w:val="22"/>
          <w:szCs w:val="24"/>
        </w:rPr>
        <w:t xml:space="preserve">(4):535–569. </w:t>
      </w:r>
    </w:p>
    <w:p w14:paraId="279BA961" w14:textId="00305A3C"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24. </w:t>
      </w:r>
      <w:r w:rsidRPr="00B63660">
        <w:rPr>
          <w:rFonts w:ascii="Calibri" w:hAnsi="Calibri" w:cs="Calibri"/>
          <w:noProof/>
          <w:sz w:val="22"/>
          <w:szCs w:val="24"/>
        </w:rPr>
        <w:tab/>
        <w:t xml:space="preserve">Gilbert R, Lafferty R, Hagger-Johnson G, et al. GUILD: GUidance for Information about Linking Data sets. </w:t>
      </w:r>
      <w:r w:rsidRPr="00B63660">
        <w:rPr>
          <w:rFonts w:ascii="Calibri" w:hAnsi="Calibri" w:cs="Calibri"/>
          <w:i/>
          <w:iCs/>
          <w:noProof/>
          <w:sz w:val="22"/>
          <w:szCs w:val="24"/>
        </w:rPr>
        <w:t>J Public Health</w:t>
      </w:r>
      <w:r w:rsidRPr="00B63660">
        <w:rPr>
          <w:rFonts w:ascii="Calibri" w:hAnsi="Calibri" w:cs="Calibri"/>
          <w:noProof/>
          <w:sz w:val="22"/>
          <w:szCs w:val="24"/>
        </w:rPr>
        <w:t>. 2017;</w:t>
      </w:r>
      <w:r w:rsidRPr="00B63660">
        <w:rPr>
          <w:rFonts w:ascii="Calibri" w:hAnsi="Calibri" w:cs="Calibri"/>
          <w:b/>
          <w:bCs/>
          <w:noProof/>
          <w:sz w:val="22"/>
          <w:szCs w:val="24"/>
        </w:rPr>
        <w:t>40</w:t>
      </w:r>
      <w:r w:rsidRPr="00B63660">
        <w:rPr>
          <w:rFonts w:ascii="Calibri" w:hAnsi="Calibri" w:cs="Calibri"/>
          <w:noProof/>
          <w:sz w:val="22"/>
          <w:szCs w:val="24"/>
        </w:rPr>
        <w:t xml:space="preserve">(1):191–198. </w:t>
      </w:r>
    </w:p>
    <w:p w14:paraId="19BDAE9B" w14:textId="5A0250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25. </w:t>
      </w:r>
      <w:r w:rsidRPr="00B63660">
        <w:rPr>
          <w:rFonts w:ascii="Calibri" w:hAnsi="Calibri" w:cs="Calibri"/>
          <w:noProof/>
          <w:sz w:val="22"/>
          <w:szCs w:val="24"/>
        </w:rPr>
        <w:tab/>
        <w:t xml:space="preserve">Mars B, Cornish R, Heron J, et al. Using data linkage to investigate inconsistent reporting of self-harm and questionnaire non-response. </w:t>
      </w:r>
      <w:r w:rsidRPr="00B63660">
        <w:rPr>
          <w:rFonts w:ascii="Calibri" w:hAnsi="Calibri" w:cs="Calibri"/>
          <w:i/>
          <w:iCs/>
          <w:noProof/>
          <w:sz w:val="22"/>
          <w:szCs w:val="24"/>
        </w:rPr>
        <w:t>Arch Suicide Res</w:t>
      </w:r>
      <w:r w:rsidRPr="00B63660">
        <w:rPr>
          <w:rFonts w:ascii="Calibri" w:hAnsi="Calibri" w:cs="Calibri"/>
          <w:noProof/>
          <w:sz w:val="22"/>
          <w:szCs w:val="24"/>
        </w:rPr>
        <w:t>. 2016;</w:t>
      </w:r>
      <w:r w:rsidRPr="00B63660">
        <w:rPr>
          <w:rFonts w:ascii="Calibri" w:hAnsi="Calibri" w:cs="Calibri"/>
          <w:b/>
          <w:bCs/>
          <w:noProof/>
          <w:sz w:val="22"/>
          <w:szCs w:val="24"/>
        </w:rPr>
        <w:t>20</w:t>
      </w:r>
      <w:r w:rsidRPr="00B63660">
        <w:rPr>
          <w:rFonts w:ascii="Calibri" w:hAnsi="Calibri" w:cs="Calibri"/>
          <w:noProof/>
          <w:sz w:val="22"/>
          <w:szCs w:val="24"/>
        </w:rPr>
        <w:t xml:space="preserve">(2):113–141. </w:t>
      </w:r>
    </w:p>
    <w:p w14:paraId="1CE024E9" w14:textId="152F68AB"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26. </w:t>
      </w:r>
      <w:r w:rsidRPr="00B63660">
        <w:rPr>
          <w:rFonts w:ascii="Calibri" w:hAnsi="Calibri" w:cs="Calibri"/>
          <w:noProof/>
          <w:sz w:val="22"/>
          <w:szCs w:val="24"/>
        </w:rPr>
        <w:tab/>
        <w:t xml:space="preserve">Fortin M, Haggerty J, Sanche S, Almirall J. Self-reported versus health administrative data: implications for assessing chronic illness burden in populations. A cross-sectional study. </w:t>
      </w:r>
      <w:r w:rsidRPr="00B63660">
        <w:rPr>
          <w:rFonts w:ascii="Calibri" w:hAnsi="Calibri" w:cs="Calibri"/>
          <w:i/>
          <w:iCs/>
          <w:noProof/>
          <w:sz w:val="22"/>
          <w:szCs w:val="24"/>
        </w:rPr>
        <w:t>C</w:t>
      </w:r>
      <w:r w:rsidR="00893A68">
        <w:rPr>
          <w:rFonts w:ascii="Calibri" w:hAnsi="Calibri" w:cs="Calibri"/>
          <w:i/>
          <w:iCs/>
          <w:noProof/>
          <w:sz w:val="22"/>
          <w:szCs w:val="24"/>
        </w:rPr>
        <w:t>MAJ</w:t>
      </w:r>
      <w:r w:rsidRPr="00B63660">
        <w:rPr>
          <w:rFonts w:ascii="Calibri" w:hAnsi="Calibri" w:cs="Calibri"/>
          <w:i/>
          <w:iCs/>
          <w:noProof/>
          <w:sz w:val="22"/>
          <w:szCs w:val="24"/>
        </w:rPr>
        <w:t xml:space="preserve"> </w:t>
      </w:r>
      <w:r w:rsidR="00893A68">
        <w:rPr>
          <w:rFonts w:ascii="Calibri" w:hAnsi="Calibri" w:cs="Calibri"/>
          <w:i/>
          <w:iCs/>
          <w:noProof/>
          <w:sz w:val="22"/>
          <w:szCs w:val="24"/>
        </w:rPr>
        <w:t>O</w:t>
      </w:r>
      <w:r w:rsidRPr="00B63660">
        <w:rPr>
          <w:rFonts w:ascii="Calibri" w:hAnsi="Calibri" w:cs="Calibri"/>
          <w:i/>
          <w:iCs/>
          <w:noProof/>
          <w:sz w:val="22"/>
          <w:szCs w:val="24"/>
        </w:rPr>
        <w:t>pen</w:t>
      </w:r>
      <w:r w:rsidRPr="00B63660">
        <w:rPr>
          <w:rFonts w:ascii="Calibri" w:hAnsi="Calibri" w:cs="Calibri"/>
          <w:noProof/>
          <w:sz w:val="22"/>
          <w:szCs w:val="24"/>
        </w:rPr>
        <w:t>. 2017;</w:t>
      </w:r>
      <w:r w:rsidRPr="00B63660">
        <w:rPr>
          <w:rFonts w:ascii="Calibri" w:hAnsi="Calibri" w:cs="Calibri"/>
          <w:b/>
          <w:bCs/>
          <w:noProof/>
          <w:sz w:val="22"/>
          <w:szCs w:val="24"/>
        </w:rPr>
        <w:t>5</w:t>
      </w:r>
      <w:r w:rsidRPr="00B63660">
        <w:rPr>
          <w:rFonts w:ascii="Calibri" w:hAnsi="Calibri" w:cs="Calibri"/>
          <w:noProof/>
          <w:sz w:val="22"/>
          <w:szCs w:val="24"/>
        </w:rPr>
        <w:t xml:space="preserve">(3):E729–E733. </w:t>
      </w:r>
    </w:p>
    <w:p w14:paraId="5DF4C5C0"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27. </w:t>
      </w:r>
      <w:r w:rsidRPr="00B63660">
        <w:rPr>
          <w:rFonts w:ascii="Calibri" w:hAnsi="Calibri" w:cs="Calibri"/>
          <w:noProof/>
          <w:sz w:val="22"/>
          <w:szCs w:val="24"/>
        </w:rPr>
        <w:tab/>
        <w:t xml:space="preserve">Calderwood L, Lessof C. Enhancing longitudinal surveys by linking to administrative data. In: Lynn P, editor. </w:t>
      </w:r>
      <w:r w:rsidRPr="00B63660">
        <w:rPr>
          <w:rFonts w:ascii="Calibri" w:hAnsi="Calibri" w:cs="Calibri"/>
          <w:i/>
          <w:iCs/>
          <w:noProof/>
          <w:sz w:val="22"/>
          <w:szCs w:val="24"/>
        </w:rPr>
        <w:t>Methodol Longitud Surv</w:t>
      </w:r>
      <w:r w:rsidRPr="00B63660">
        <w:rPr>
          <w:rFonts w:ascii="Calibri" w:hAnsi="Calibri" w:cs="Calibri"/>
          <w:noProof/>
          <w:sz w:val="22"/>
          <w:szCs w:val="24"/>
        </w:rPr>
        <w:t xml:space="preserve">. Chichester, UK: John Wiley &amp; Sons, Ltd.; 2009. p. 55–72. </w:t>
      </w:r>
    </w:p>
    <w:p w14:paraId="12533F0E"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28. </w:t>
      </w:r>
      <w:r w:rsidRPr="00B63660">
        <w:rPr>
          <w:rFonts w:ascii="Calibri" w:hAnsi="Calibri" w:cs="Calibri"/>
          <w:noProof/>
          <w:sz w:val="22"/>
          <w:szCs w:val="24"/>
        </w:rPr>
        <w:tab/>
        <w:t xml:space="preserve">Cornish RP, Boyd A, Staa T Van, Salisbury C, Macleod J. Socio-economic position and childhood multimorbidity: A study using linkage between the Avon Longitudinal study of parents and children and the general practice research database. </w:t>
      </w:r>
      <w:r w:rsidRPr="00B63660">
        <w:rPr>
          <w:rFonts w:ascii="Calibri" w:hAnsi="Calibri" w:cs="Calibri"/>
          <w:i/>
          <w:iCs/>
          <w:noProof/>
          <w:sz w:val="22"/>
          <w:szCs w:val="24"/>
        </w:rPr>
        <w:t>Int J Equity Health</w:t>
      </w:r>
      <w:r w:rsidRPr="00B63660">
        <w:rPr>
          <w:rFonts w:ascii="Calibri" w:hAnsi="Calibri" w:cs="Calibri"/>
          <w:noProof/>
          <w:sz w:val="22"/>
          <w:szCs w:val="24"/>
        </w:rPr>
        <w:t>. BioMed Central; 2013;</w:t>
      </w:r>
      <w:r w:rsidRPr="00B63660">
        <w:rPr>
          <w:rFonts w:ascii="Calibri" w:hAnsi="Calibri" w:cs="Calibri"/>
          <w:b/>
          <w:bCs/>
          <w:noProof/>
          <w:sz w:val="22"/>
          <w:szCs w:val="24"/>
        </w:rPr>
        <w:t>12</w:t>
      </w:r>
      <w:r w:rsidRPr="00B63660">
        <w:rPr>
          <w:rFonts w:ascii="Calibri" w:hAnsi="Calibri" w:cs="Calibri"/>
          <w:noProof/>
          <w:sz w:val="22"/>
          <w:szCs w:val="24"/>
        </w:rPr>
        <w:t xml:space="preserve">:66. </w:t>
      </w:r>
    </w:p>
    <w:p w14:paraId="1EA6A992"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29. </w:t>
      </w:r>
      <w:r w:rsidRPr="00B63660">
        <w:rPr>
          <w:rFonts w:ascii="Calibri" w:hAnsi="Calibri" w:cs="Calibri"/>
          <w:noProof/>
          <w:sz w:val="22"/>
          <w:szCs w:val="24"/>
        </w:rPr>
        <w:tab/>
        <w:t xml:space="preserve">Carter P, Laurie GT, Dixon-Woods M. The social licence for research: Why care.data ran into trouble. </w:t>
      </w:r>
      <w:r w:rsidRPr="00B63660">
        <w:rPr>
          <w:rFonts w:ascii="Calibri" w:hAnsi="Calibri" w:cs="Calibri"/>
          <w:i/>
          <w:iCs/>
          <w:noProof/>
          <w:sz w:val="22"/>
          <w:szCs w:val="24"/>
        </w:rPr>
        <w:t>J Med Ethics</w:t>
      </w:r>
      <w:r w:rsidRPr="00B63660">
        <w:rPr>
          <w:rFonts w:ascii="Calibri" w:hAnsi="Calibri" w:cs="Calibri"/>
          <w:noProof/>
          <w:sz w:val="22"/>
          <w:szCs w:val="24"/>
        </w:rPr>
        <w:t>. 2015;</w:t>
      </w:r>
      <w:r w:rsidRPr="00B63660">
        <w:rPr>
          <w:rFonts w:ascii="Calibri" w:hAnsi="Calibri" w:cs="Calibri"/>
          <w:b/>
          <w:bCs/>
          <w:noProof/>
          <w:sz w:val="22"/>
          <w:szCs w:val="24"/>
        </w:rPr>
        <w:t>41</w:t>
      </w:r>
      <w:r w:rsidRPr="00B63660">
        <w:rPr>
          <w:rFonts w:ascii="Calibri" w:hAnsi="Calibri" w:cs="Calibri"/>
          <w:noProof/>
          <w:sz w:val="22"/>
          <w:szCs w:val="24"/>
        </w:rPr>
        <w:t xml:space="preserve">(5):404 LP-409. </w:t>
      </w:r>
    </w:p>
    <w:p w14:paraId="7AC40354"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30. </w:t>
      </w:r>
      <w:r w:rsidRPr="00B63660">
        <w:rPr>
          <w:rFonts w:ascii="Calibri" w:hAnsi="Calibri" w:cs="Calibri"/>
          <w:noProof/>
          <w:sz w:val="22"/>
          <w:szCs w:val="24"/>
        </w:rPr>
        <w:tab/>
        <w:t xml:space="preserve">Audrey S, Brown L, Campbell R, Boyd A, Macleod J. Young people’s views about consenting to data linkage: Findings from the PEARL qualitative study. </w:t>
      </w:r>
      <w:r w:rsidRPr="00B63660">
        <w:rPr>
          <w:rFonts w:ascii="Calibri" w:hAnsi="Calibri" w:cs="Calibri"/>
          <w:i/>
          <w:iCs/>
          <w:noProof/>
          <w:sz w:val="22"/>
          <w:szCs w:val="24"/>
        </w:rPr>
        <w:t>BMC Med Res Methodol</w:t>
      </w:r>
      <w:r w:rsidRPr="00B63660">
        <w:rPr>
          <w:rFonts w:ascii="Calibri" w:hAnsi="Calibri" w:cs="Calibri"/>
          <w:noProof/>
          <w:sz w:val="22"/>
          <w:szCs w:val="24"/>
        </w:rPr>
        <w:t>. 2016;</w:t>
      </w:r>
      <w:r w:rsidRPr="00B63660">
        <w:rPr>
          <w:rFonts w:ascii="Calibri" w:hAnsi="Calibri" w:cs="Calibri"/>
          <w:b/>
          <w:bCs/>
          <w:noProof/>
          <w:sz w:val="22"/>
          <w:szCs w:val="24"/>
        </w:rPr>
        <w:t>16</w:t>
      </w:r>
      <w:r w:rsidRPr="00B63660">
        <w:rPr>
          <w:rFonts w:ascii="Calibri" w:hAnsi="Calibri" w:cs="Calibri"/>
          <w:noProof/>
          <w:sz w:val="22"/>
          <w:szCs w:val="24"/>
        </w:rPr>
        <w:t xml:space="preserve">(1):34. </w:t>
      </w:r>
    </w:p>
    <w:p w14:paraId="4CC09DAF"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31. </w:t>
      </w:r>
      <w:r w:rsidRPr="00B63660">
        <w:rPr>
          <w:rFonts w:ascii="Calibri" w:hAnsi="Calibri" w:cs="Calibri"/>
          <w:noProof/>
          <w:sz w:val="22"/>
          <w:szCs w:val="24"/>
        </w:rPr>
        <w:tab/>
        <w:t xml:space="preserve">Knies G, Burton J. Analysis of four studies in a comparative framework reveals: Health linkage consent rates on British cohort studies higher than on UK household panel surveys. </w:t>
      </w:r>
      <w:r w:rsidRPr="00B63660">
        <w:rPr>
          <w:rFonts w:ascii="Calibri" w:hAnsi="Calibri" w:cs="Calibri"/>
          <w:i/>
          <w:iCs/>
          <w:noProof/>
          <w:sz w:val="22"/>
          <w:szCs w:val="24"/>
        </w:rPr>
        <w:t>BMC Med Res Methodol</w:t>
      </w:r>
      <w:r w:rsidRPr="00B63660">
        <w:rPr>
          <w:rFonts w:ascii="Calibri" w:hAnsi="Calibri" w:cs="Calibri"/>
          <w:noProof/>
          <w:sz w:val="22"/>
          <w:szCs w:val="24"/>
        </w:rPr>
        <w:t>. 2014;</w:t>
      </w:r>
      <w:r w:rsidRPr="00B63660">
        <w:rPr>
          <w:rFonts w:ascii="Calibri" w:hAnsi="Calibri" w:cs="Calibri"/>
          <w:b/>
          <w:bCs/>
          <w:noProof/>
          <w:sz w:val="22"/>
          <w:szCs w:val="24"/>
        </w:rPr>
        <w:t>14</w:t>
      </w:r>
      <w:r w:rsidRPr="00B63660">
        <w:rPr>
          <w:rFonts w:ascii="Calibri" w:hAnsi="Calibri" w:cs="Calibri"/>
          <w:noProof/>
          <w:sz w:val="22"/>
          <w:szCs w:val="24"/>
        </w:rPr>
        <w:t xml:space="preserve">(1):125. </w:t>
      </w:r>
    </w:p>
    <w:p w14:paraId="146E1945" w14:textId="56CF203E"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32. </w:t>
      </w:r>
      <w:r w:rsidRPr="00B63660">
        <w:rPr>
          <w:rFonts w:ascii="Calibri" w:hAnsi="Calibri" w:cs="Calibri"/>
          <w:noProof/>
          <w:sz w:val="22"/>
          <w:szCs w:val="24"/>
        </w:rPr>
        <w:tab/>
        <w:t>Boyd A. NHS Digital: Precedents set. London, UK</w:t>
      </w:r>
      <w:r w:rsidR="00893A68">
        <w:rPr>
          <w:rFonts w:ascii="Calibri" w:hAnsi="Calibri" w:cs="Calibri"/>
          <w:noProof/>
          <w:sz w:val="22"/>
          <w:szCs w:val="24"/>
        </w:rPr>
        <w:t>: CLOSER</w:t>
      </w:r>
      <w:r w:rsidRPr="00B63660">
        <w:rPr>
          <w:rFonts w:ascii="Calibri" w:hAnsi="Calibri" w:cs="Calibri"/>
          <w:noProof/>
          <w:sz w:val="22"/>
          <w:szCs w:val="24"/>
        </w:rPr>
        <w:t xml:space="preserve">; 2018. </w:t>
      </w:r>
    </w:p>
    <w:p w14:paraId="5ECC259C" w14:textId="6314C63C"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33. </w:t>
      </w:r>
      <w:r w:rsidRPr="00B63660">
        <w:rPr>
          <w:rFonts w:ascii="Calibri" w:hAnsi="Calibri" w:cs="Calibri"/>
          <w:noProof/>
          <w:sz w:val="22"/>
          <w:szCs w:val="24"/>
        </w:rPr>
        <w:tab/>
        <w:t>Feng Z, Dibben C. A review of resources for geographical variables. London, UK</w:t>
      </w:r>
      <w:r w:rsidR="00893A68">
        <w:rPr>
          <w:rFonts w:ascii="Calibri" w:hAnsi="Calibri" w:cs="Calibri"/>
          <w:noProof/>
          <w:sz w:val="22"/>
          <w:szCs w:val="24"/>
        </w:rPr>
        <w:t>: CLOSER</w:t>
      </w:r>
      <w:r w:rsidRPr="00B63660">
        <w:rPr>
          <w:rFonts w:ascii="Calibri" w:hAnsi="Calibri" w:cs="Calibri"/>
          <w:noProof/>
          <w:sz w:val="22"/>
          <w:szCs w:val="24"/>
        </w:rPr>
        <w:t xml:space="preserve">; 2013. </w:t>
      </w:r>
    </w:p>
    <w:p w14:paraId="58CBBEB1" w14:textId="2F05D23A"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34. </w:t>
      </w:r>
      <w:r w:rsidRPr="00B63660">
        <w:rPr>
          <w:rFonts w:ascii="Calibri" w:hAnsi="Calibri" w:cs="Calibri"/>
          <w:noProof/>
          <w:sz w:val="22"/>
          <w:szCs w:val="24"/>
        </w:rPr>
        <w:tab/>
        <w:t>Stone CJ, Skinner AL. New technology and novel methods for capturing health-related data in longitudinal and cohort studies: Report from a CLOSER workshop. London, UK</w:t>
      </w:r>
      <w:r w:rsidR="00893A68">
        <w:rPr>
          <w:rFonts w:ascii="Calibri" w:hAnsi="Calibri" w:cs="Calibri"/>
          <w:noProof/>
          <w:sz w:val="22"/>
          <w:szCs w:val="24"/>
        </w:rPr>
        <w:t>: CLOSER</w:t>
      </w:r>
      <w:r w:rsidRPr="00B63660">
        <w:rPr>
          <w:rFonts w:ascii="Calibri" w:hAnsi="Calibri" w:cs="Calibri"/>
          <w:noProof/>
          <w:sz w:val="22"/>
          <w:szCs w:val="24"/>
        </w:rPr>
        <w:t xml:space="preserve">; 2017. </w:t>
      </w:r>
    </w:p>
    <w:p w14:paraId="1B5F7128" w14:textId="0D5EBA2A"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35. </w:t>
      </w:r>
      <w:r w:rsidRPr="00B63660">
        <w:rPr>
          <w:rFonts w:ascii="Calibri" w:hAnsi="Calibri" w:cs="Calibri"/>
          <w:noProof/>
          <w:sz w:val="22"/>
          <w:szCs w:val="24"/>
        </w:rPr>
        <w:tab/>
        <w:t>Boyd A, Thomas R, Macleod J. NHS Number and the systems used to manage them: An overview for research users. London, UK</w:t>
      </w:r>
      <w:r w:rsidR="00893A68">
        <w:rPr>
          <w:rFonts w:ascii="Calibri" w:hAnsi="Calibri" w:cs="Calibri"/>
          <w:noProof/>
          <w:sz w:val="22"/>
          <w:szCs w:val="24"/>
        </w:rPr>
        <w:t>: CLOSER</w:t>
      </w:r>
      <w:r w:rsidRPr="00B63660">
        <w:rPr>
          <w:rFonts w:ascii="Calibri" w:hAnsi="Calibri" w:cs="Calibri"/>
          <w:noProof/>
          <w:sz w:val="22"/>
          <w:szCs w:val="24"/>
        </w:rPr>
        <w:t xml:space="preserve">; 2018. </w:t>
      </w:r>
    </w:p>
    <w:p w14:paraId="3784D1BD" w14:textId="06188E7D"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36. </w:t>
      </w:r>
      <w:r w:rsidRPr="00B63660">
        <w:rPr>
          <w:rFonts w:ascii="Calibri" w:hAnsi="Calibri" w:cs="Calibri"/>
          <w:noProof/>
          <w:sz w:val="22"/>
          <w:szCs w:val="24"/>
        </w:rPr>
        <w:tab/>
        <w:t>O’Neill D. Cross-study research: Overcoming obstacles, uncovering opportunity. London, UK</w:t>
      </w:r>
      <w:r w:rsidR="00893A68">
        <w:rPr>
          <w:rFonts w:ascii="Calibri" w:hAnsi="Calibri" w:cs="Calibri"/>
          <w:noProof/>
          <w:sz w:val="22"/>
          <w:szCs w:val="24"/>
        </w:rPr>
        <w:t>: CLOSER</w:t>
      </w:r>
      <w:r w:rsidRPr="00B63660">
        <w:rPr>
          <w:rFonts w:ascii="Calibri" w:hAnsi="Calibri" w:cs="Calibri"/>
          <w:noProof/>
          <w:sz w:val="22"/>
          <w:szCs w:val="24"/>
        </w:rPr>
        <w:t xml:space="preserve">; 2018. </w:t>
      </w:r>
      <w:r w:rsidR="00893A68">
        <w:rPr>
          <w:rFonts w:ascii="Calibri" w:hAnsi="Calibri" w:cs="Calibri"/>
          <w:noProof/>
          <w:sz w:val="22"/>
          <w:szCs w:val="24"/>
        </w:rPr>
        <w:t xml:space="preserve">Available from: </w:t>
      </w:r>
      <w:r w:rsidR="00893A68" w:rsidRPr="00893A68">
        <w:rPr>
          <w:rFonts w:ascii="Calibri" w:hAnsi="Calibri" w:cs="Calibri"/>
          <w:noProof/>
          <w:sz w:val="22"/>
          <w:szCs w:val="24"/>
        </w:rPr>
        <w:t>https://www.closer.ac.uk/news-opinion/blog/crossstudy-research-overcoming-obstacles-uncovering-opportunity/</w:t>
      </w:r>
      <w:r w:rsidR="00893A68">
        <w:rPr>
          <w:rFonts w:ascii="Calibri" w:hAnsi="Calibri" w:cs="Calibri"/>
          <w:noProof/>
          <w:sz w:val="22"/>
          <w:szCs w:val="24"/>
        </w:rPr>
        <w:t xml:space="preserve"> [Accessed 21</w:t>
      </w:r>
      <w:r w:rsidR="00893A68" w:rsidRPr="00F26957">
        <w:rPr>
          <w:rFonts w:ascii="Calibri" w:hAnsi="Calibri" w:cs="Calibri"/>
          <w:noProof/>
          <w:sz w:val="22"/>
          <w:szCs w:val="24"/>
          <w:vertAlign w:val="superscript"/>
        </w:rPr>
        <w:t>st</w:t>
      </w:r>
      <w:r w:rsidR="00893A68">
        <w:rPr>
          <w:rFonts w:ascii="Calibri" w:hAnsi="Calibri" w:cs="Calibri"/>
          <w:noProof/>
          <w:sz w:val="22"/>
          <w:szCs w:val="24"/>
        </w:rPr>
        <w:t xml:space="preserve"> November 2018]</w:t>
      </w:r>
    </w:p>
    <w:p w14:paraId="7D6F2110"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37. </w:t>
      </w:r>
      <w:r w:rsidRPr="00B63660">
        <w:rPr>
          <w:rFonts w:ascii="Calibri" w:hAnsi="Calibri" w:cs="Calibri"/>
          <w:noProof/>
          <w:sz w:val="22"/>
          <w:szCs w:val="24"/>
        </w:rPr>
        <w:tab/>
        <w:t xml:space="preserve">Johnson W, Li L, Kuh D, Hardy R. How has the age-related process of overweight or obesity development changed over time? Co-ordinated analyses of individual participant data from five United Kingdom birth cohorts. </w:t>
      </w:r>
      <w:r w:rsidRPr="00B63660">
        <w:rPr>
          <w:rFonts w:ascii="Calibri" w:hAnsi="Calibri" w:cs="Calibri"/>
          <w:i/>
          <w:iCs/>
          <w:noProof/>
          <w:sz w:val="22"/>
          <w:szCs w:val="24"/>
        </w:rPr>
        <w:t>PLOS Med</w:t>
      </w:r>
      <w:r w:rsidRPr="00B63660">
        <w:rPr>
          <w:rFonts w:ascii="Calibri" w:hAnsi="Calibri" w:cs="Calibri"/>
          <w:noProof/>
          <w:sz w:val="22"/>
          <w:szCs w:val="24"/>
        </w:rPr>
        <w:t>. 2015;</w:t>
      </w:r>
      <w:r w:rsidRPr="00B63660">
        <w:rPr>
          <w:rFonts w:ascii="Calibri" w:hAnsi="Calibri" w:cs="Calibri"/>
          <w:b/>
          <w:bCs/>
          <w:noProof/>
          <w:sz w:val="22"/>
          <w:szCs w:val="24"/>
        </w:rPr>
        <w:t>12</w:t>
      </w:r>
      <w:r w:rsidRPr="00B63660">
        <w:rPr>
          <w:rFonts w:ascii="Calibri" w:hAnsi="Calibri" w:cs="Calibri"/>
          <w:noProof/>
          <w:sz w:val="22"/>
          <w:szCs w:val="24"/>
        </w:rPr>
        <w:t xml:space="preserve">(5):e1001828. </w:t>
      </w:r>
    </w:p>
    <w:p w14:paraId="2B54681D" w14:textId="77777777"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38. </w:t>
      </w:r>
      <w:r w:rsidRPr="00B63660">
        <w:rPr>
          <w:rFonts w:ascii="Calibri" w:hAnsi="Calibri" w:cs="Calibri"/>
          <w:noProof/>
          <w:sz w:val="22"/>
          <w:szCs w:val="24"/>
        </w:rPr>
        <w:tab/>
        <w:t xml:space="preserve">Bann D, Johnson W, Li L, Kuh D, Hardy R. Socioeconomic inequalities in body mass index across adulthood: Coordinated analyses of individual participant data from three British birth cohort studies initiated in 1946, 1958 and 1970. </w:t>
      </w:r>
      <w:r w:rsidRPr="00B63660">
        <w:rPr>
          <w:rFonts w:ascii="Calibri" w:hAnsi="Calibri" w:cs="Calibri"/>
          <w:i/>
          <w:iCs/>
          <w:noProof/>
          <w:sz w:val="22"/>
          <w:szCs w:val="24"/>
        </w:rPr>
        <w:t>PLOS Med</w:t>
      </w:r>
      <w:r w:rsidRPr="00B63660">
        <w:rPr>
          <w:rFonts w:ascii="Calibri" w:hAnsi="Calibri" w:cs="Calibri"/>
          <w:noProof/>
          <w:sz w:val="22"/>
          <w:szCs w:val="24"/>
        </w:rPr>
        <w:t>. 2017;</w:t>
      </w:r>
      <w:r w:rsidRPr="00B63660">
        <w:rPr>
          <w:rFonts w:ascii="Calibri" w:hAnsi="Calibri" w:cs="Calibri"/>
          <w:b/>
          <w:bCs/>
          <w:noProof/>
          <w:sz w:val="22"/>
          <w:szCs w:val="24"/>
        </w:rPr>
        <w:t>14</w:t>
      </w:r>
      <w:r w:rsidRPr="00B63660">
        <w:rPr>
          <w:rFonts w:ascii="Calibri" w:hAnsi="Calibri" w:cs="Calibri"/>
          <w:noProof/>
          <w:sz w:val="22"/>
          <w:szCs w:val="24"/>
        </w:rPr>
        <w:t xml:space="preserve">(1):e1002214. </w:t>
      </w:r>
    </w:p>
    <w:p w14:paraId="602AD967" w14:textId="1A79759F"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39. </w:t>
      </w:r>
      <w:r w:rsidRPr="00B63660">
        <w:rPr>
          <w:rFonts w:ascii="Calibri" w:hAnsi="Calibri" w:cs="Calibri"/>
          <w:noProof/>
          <w:sz w:val="22"/>
          <w:szCs w:val="24"/>
        </w:rPr>
        <w:tab/>
      </w:r>
      <w:r w:rsidR="00893A68" w:rsidRPr="00B63660">
        <w:rPr>
          <w:rFonts w:ascii="Calibri" w:hAnsi="Calibri" w:cs="Calibri"/>
          <w:noProof/>
          <w:sz w:val="22"/>
          <w:szCs w:val="24"/>
        </w:rPr>
        <w:t>Bann D</w:t>
      </w:r>
      <w:r w:rsidR="00893A68">
        <w:rPr>
          <w:rFonts w:ascii="Calibri" w:hAnsi="Calibri" w:cs="Calibri"/>
          <w:noProof/>
          <w:sz w:val="22"/>
          <w:szCs w:val="24"/>
        </w:rPr>
        <w:t>,</w:t>
      </w:r>
      <w:r w:rsidR="00893A68" w:rsidRPr="00B63660">
        <w:rPr>
          <w:rFonts w:ascii="Calibri" w:hAnsi="Calibri" w:cs="Calibri"/>
          <w:noProof/>
          <w:sz w:val="22"/>
          <w:szCs w:val="24"/>
        </w:rPr>
        <w:t xml:space="preserve"> </w:t>
      </w:r>
      <w:r w:rsidR="00893A68">
        <w:rPr>
          <w:rFonts w:ascii="Calibri" w:hAnsi="Calibri" w:cs="Calibri"/>
          <w:noProof/>
          <w:sz w:val="22"/>
          <w:szCs w:val="24"/>
        </w:rPr>
        <w:t>Johnson W</w:t>
      </w:r>
      <w:r w:rsidRPr="00B63660">
        <w:rPr>
          <w:rFonts w:ascii="Calibri" w:hAnsi="Calibri" w:cs="Calibri"/>
          <w:noProof/>
          <w:sz w:val="22"/>
          <w:szCs w:val="24"/>
        </w:rPr>
        <w:t xml:space="preserve">, </w:t>
      </w:r>
      <w:r w:rsidR="00893A68">
        <w:rPr>
          <w:rFonts w:ascii="Calibri" w:hAnsi="Calibri" w:cs="Calibri"/>
          <w:noProof/>
          <w:sz w:val="22"/>
          <w:szCs w:val="24"/>
        </w:rPr>
        <w:t>Li L</w:t>
      </w:r>
      <w:r w:rsidRPr="00B63660">
        <w:rPr>
          <w:rFonts w:ascii="Calibri" w:hAnsi="Calibri" w:cs="Calibri"/>
          <w:noProof/>
          <w:sz w:val="22"/>
          <w:szCs w:val="24"/>
        </w:rPr>
        <w:t xml:space="preserve">, , et al. Socioeconomic inequalities in childhood and adolescent body-mass index, weight, and height from 1953 to 2015: An analysis of four longitudinal, observational, British birth cohort studies. </w:t>
      </w:r>
      <w:r w:rsidRPr="00B63660">
        <w:rPr>
          <w:rFonts w:ascii="Calibri" w:hAnsi="Calibri" w:cs="Calibri"/>
          <w:i/>
          <w:iCs/>
          <w:noProof/>
          <w:sz w:val="22"/>
          <w:szCs w:val="24"/>
        </w:rPr>
        <w:t>Lancet Public Heal</w:t>
      </w:r>
      <w:r w:rsidRPr="00B63660">
        <w:rPr>
          <w:rFonts w:ascii="Calibri" w:hAnsi="Calibri" w:cs="Calibri"/>
          <w:noProof/>
          <w:sz w:val="22"/>
          <w:szCs w:val="24"/>
        </w:rPr>
        <w:t>. 2018;</w:t>
      </w:r>
      <w:r w:rsidRPr="00B63660">
        <w:rPr>
          <w:rFonts w:ascii="Calibri" w:hAnsi="Calibri" w:cs="Calibri"/>
          <w:b/>
          <w:bCs/>
          <w:noProof/>
          <w:sz w:val="22"/>
          <w:szCs w:val="24"/>
        </w:rPr>
        <w:t>3</w:t>
      </w:r>
      <w:r w:rsidRPr="00B63660">
        <w:rPr>
          <w:rFonts w:ascii="Calibri" w:hAnsi="Calibri" w:cs="Calibri"/>
          <w:noProof/>
          <w:sz w:val="22"/>
          <w:szCs w:val="24"/>
        </w:rPr>
        <w:t>(4):</w:t>
      </w:r>
      <w:r w:rsidR="00893A68">
        <w:rPr>
          <w:rFonts w:ascii="Calibri" w:hAnsi="Calibri" w:cs="Calibri"/>
          <w:noProof/>
          <w:sz w:val="22"/>
          <w:szCs w:val="24"/>
        </w:rPr>
        <w:t>e</w:t>
      </w:r>
      <w:r w:rsidRPr="00B63660">
        <w:rPr>
          <w:rFonts w:ascii="Calibri" w:hAnsi="Calibri" w:cs="Calibri"/>
          <w:noProof/>
          <w:sz w:val="22"/>
          <w:szCs w:val="24"/>
        </w:rPr>
        <w:t xml:space="preserve">194–203. </w:t>
      </w:r>
    </w:p>
    <w:p w14:paraId="66E33F73" w14:textId="1939404A"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40. </w:t>
      </w:r>
      <w:r w:rsidRPr="00B63660">
        <w:rPr>
          <w:rFonts w:ascii="Calibri" w:hAnsi="Calibri" w:cs="Calibri"/>
          <w:noProof/>
          <w:sz w:val="22"/>
          <w:szCs w:val="24"/>
        </w:rPr>
        <w:tab/>
        <w:t xml:space="preserve">Mills H. CLOSER Discovery: Past, present and future. </w:t>
      </w:r>
      <w:r w:rsidRPr="00B63660">
        <w:rPr>
          <w:rFonts w:ascii="Calibri" w:hAnsi="Calibri" w:cs="Calibri"/>
          <w:i/>
          <w:iCs/>
          <w:noProof/>
          <w:sz w:val="22"/>
          <w:szCs w:val="24"/>
        </w:rPr>
        <w:t>Eur</w:t>
      </w:r>
      <w:r w:rsidR="00893A68">
        <w:rPr>
          <w:rFonts w:ascii="Calibri" w:hAnsi="Calibri" w:cs="Calibri"/>
          <w:i/>
          <w:iCs/>
          <w:noProof/>
          <w:sz w:val="22"/>
          <w:szCs w:val="24"/>
        </w:rPr>
        <w:t>opean</w:t>
      </w:r>
      <w:r w:rsidRPr="00B63660">
        <w:rPr>
          <w:rFonts w:ascii="Calibri" w:hAnsi="Calibri" w:cs="Calibri"/>
          <w:i/>
          <w:iCs/>
          <w:noProof/>
          <w:sz w:val="22"/>
          <w:szCs w:val="24"/>
        </w:rPr>
        <w:t xml:space="preserve"> DDI User Conf</w:t>
      </w:r>
      <w:r w:rsidR="00893A68">
        <w:rPr>
          <w:rFonts w:ascii="Calibri" w:hAnsi="Calibri" w:cs="Calibri"/>
          <w:i/>
          <w:iCs/>
          <w:noProof/>
          <w:sz w:val="22"/>
          <w:szCs w:val="24"/>
        </w:rPr>
        <w:t>erence</w:t>
      </w:r>
      <w:r w:rsidRPr="00B63660">
        <w:rPr>
          <w:rFonts w:ascii="Calibri" w:hAnsi="Calibri" w:cs="Calibri"/>
          <w:i/>
          <w:iCs/>
          <w:noProof/>
          <w:sz w:val="22"/>
          <w:szCs w:val="24"/>
        </w:rPr>
        <w:t xml:space="preserve"> 2017 December 5-6</w:t>
      </w:r>
      <w:r w:rsidRPr="00B63660">
        <w:rPr>
          <w:rFonts w:ascii="Calibri" w:hAnsi="Calibri" w:cs="Calibri"/>
          <w:noProof/>
          <w:sz w:val="22"/>
          <w:szCs w:val="24"/>
        </w:rPr>
        <w:t xml:space="preserve">. Lausanne, Switzerland; 2017. </w:t>
      </w:r>
    </w:p>
    <w:p w14:paraId="3706025C" w14:textId="40A22011"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szCs w:val="24"/>
        </w:rPr>
      </w:pPr>
      <w:r w:rsidRPr="00B63660">
        <w:rPr>
          <w:rFonts w:ascii="Calibri" w:hAnsi="Calibri" w:cs="Calibri"/>
          <w:noProof/>
          <w:sz w:val="22"/>
          <w:szCs w:val="24"/>
        </w:rPr>
        <w:t xml:space="preserve">41. </w:t>
      </w:r>
      <w:r w:rsidRPr="00B63660">
        <w:rPr>
          <w:rFonts w:ascii="Calibri" w:hAnsi="Calibri" w:cs="Calibri"/>
          <w:noProof/>
          <w:sz w:val="22"/>
          <w:szCs w:val="24"/>
        </w:rPr>
        <w:tab/>
        <w:t xml:space="preserve">Poynter W. CLOSER repository: Modernising longitudinal study management. </w:t>
      </w:r>
      <w:r w:rsidRPr="00B63660">
        <w:rPr>
          <w:rFonts w:ascii="Calibri" w:hAnsi="Calibri" w:cs="Calibri"/>
          <w:i/>
          <w:iCs/>
          <w:noProof/>
          <w:sz w:val="22"/>
          <w:szCs w:val="24"/>
        </w:rPr>
        <w:t>Eur</w:t>
      </w:r>
      <w:r w:rsidR="00893A68">
        <w:rPr>
          <w:rFonts w:ascii="Calibri" w:hAnsi="Calibri" w:cs="Calibri"/>
          <w:i/>
          <w:iCs/>
          <w:noProof/>
          <w:sz w:val="22"/>
          <w:szCs w:val="24"/>
        </w:rPr>
        <w:t>opean</w:t>
      </w:r>
      <w:r w:rsidRPr="00B63660">
        <w:rPr>
          <w:rFonts w:ascii="Calibri" w:hAnsi="Calibri" w:cs="Calibri"/>
          <w:i/>
          <w:iCs/>
          <w:noProof/>
          <w:sz w:val="22"/>
          <w:szCs w:val="24"/>
        </w:rPr>
        <w:t xml:space="preserve"> Surv</w:t>
      </w:r>
      <w:r w:rsidR="00893A68">
        <w:rPr>
          <w:rFonts w:ascii="Calibri" w:hAnsi="Calibri" w:cs="Calibri"/>
          <w:i/>
          <w:iCs/>
          <w:noProof/>
          <w:sz w:val="22"/>
          <w:szCs w:val="24"/>
        </w:rPr>
        <w:t>ey</w:t>
      </w:r>
      <w:r w:rsidRPr="00B63660">
        <w:rPr>
          <w:rFonts w:ascii="Calibri" w:hAnsi="Calibri" w:cs="Calibri"/>
          <w:i/>
          <w:iCs/>
          <w:noProof/>
          <w:sz w:val="22"/>
          <w:szCs w:val="24"/>
        </w:rPr>
        <w:t xml:space="preserve"> Res</w:t>
      </w:r>
      <w:r w:rsidR="00893A68">
        <w:rPr>
          <w:rFonts w:ascii="Calibri" w:hAnsi="Calibri" w:cs="Calibri"/>
          <w:i/>
          <w:iCs/>
          <w:noProof/>
          <w:sz w:val="22"/>
          <w:szCs w:val="24"/>
        </w:rPr>
        <w:t>earch</w:t>
      </w:r>
      <w:r w:rsidRPr="00B63660">
        <w:rPr>
          <w:rFonts w:ascii="Calibri" w:hAnsi="Calibri" w:cs="Calibri"/>
          <w:i/>
          <w:iCs/>
          <w:noProof/>
          <w:sz w:val="22"/>
          <w:szCs w:val="24"/>
        </w:rPr>
        <w:t xml:space="preserve"> Conf</w:t>
      </w:r>
      <w:r w:rsidR="00893A68">
        <w:rPr>
          <w:rFonts w:ascii="Calibri" w:hAnsi="Calibri" w:cs="Calibri"/>
          <w:i/>
          <w:iCs/>
          <w:noProof/>
          <w:sz w:val="22"/>
          <w:szCs w:val="24"/>
        </w:rPr>
        <w:t>erence</w:t>
      </w:r>
      <w:r w:rsidRPr="00B63660">
        <w:rPr>
          <w:rFonts w:ascii="Calibri" w:hAnsi="Calibri" w:cs="Calibri"/>
          <w:i/>
          <w:iCs/>
          <w:noProof/>
          <w:sz w:val="22"/>
          <w:szCs w:val="24"/>
        </w:rPr>
        <w:t xml:space="preserve"> 2017</w:t>
      </w:r>
      <w:r w:rsidRPr="00B63660">
        <w:rPr>
          <w:rFonts w:ascii="Calibri" w:hAnsi="Calibri" w:cs="Calibri"/>
          <w:noProof/>
          <w:sz w:val="22"/>
          <w:szCs w:val="24"/>
        </w:rPr>
        <w:t xml:space="preserve">. Lisbon, Portugal; 2017. </w:t>
      </w:r>
    </w:p>
    <w:p w14:paraId="7C954641" w14:textId="3C636B08" w:rsidR="00B63660" w:rsidRPr="00B63660" w:rsidRDefault="00B63660" w:rsidP="00B63660">
      <w:pPr>
        <w:widowControl w:val="0"/>
        <w:autoSpaceDE w:val="0"/>
        <w:autoSpaceDN w:val="0"/>
        <w:adjustRightInd w:val="0"/>
        <w:spacing w:after="240" w:line="240" w:lineRule="auto"/>
        <w:ind w:left="640" w:hanging="640"/>
        <w:rPr>
          <w:rFonts w:ascii="Calibri" w:hAnsi="Calibri" w:cs="Calibri"/>
          <w:noProof/>
          <w:sz w:val="22"/>
        </w:rPr>
      </w:pPr>
      <w:r w:rsidRPr="00B63660">
        <w:rPr>
          <w:rFonts w:ascii="Calibri" w:hAnsi="Calibri" w:cs="Calibri"/>
          <w:noProof/>
          <w:sz w:val="22"/>
          <w:szCs w:val="24"/>
        </w:rPr>
        <w:t xml:space="preserve">42. </w:t>
      </w:r>
      <w:r w:rsidRPr="00B63660">
        <w:rPr>
          <w:rFonts w:ascii="Calibri" w:hAnsi="Calibri" w:cs="Calibri"/>
          <w:noProof/>
          <w:sz w:val="22"/>
          <w:szCs w:val="24"/>
        </w:rPr>
        <w:tab/>
        <w:t xml:space="preserve">Lessof C, Wong A, Hardy R, CLOSER Equipment Comparison Team. Early findings from a randomised repeated-measurements cross-over trial to understand differences in measures of physiological function and physical performance. </w:t>
      </w:r>
      <w:r w:rsidRPr="00B63660">
        <w:rPr>
          <w:rFonts w:ascii="Calibri" w:hAnsi="Calibri" w:cs="Calibri"/>
          <w:i/>
          <w:iCs/>
          <w:noProof/>
          <w:sz w:val="22"/>
          <w:szCs w:val="24"/>
        </w:rPr>
        <w:t>5th Panel Surv</w:t>
      </w:r>
      <w:r w:rsidR="00893A68">
        <w:rPr>
          <w:rFonts w:ascii="Calibri" w:hAnsi="Calibri" w:cs="Calibri"/>
          <w:i/>
          <w:iCs/>
          <w:noProof/>
          <w:sz w:val="22"/>
          <w:szCs w:val="24"/>
        </w:rPr>
        <w:t>ey</w:t>
      </w:r>
      <w:r w:rsidRPr="00B63660">
        <w:rPr>
          <w:rFonts w:ascii="Calibri" w:hAnsi="Calibri" w:cs="Calibri"/>
          <w:i/>
          <w:iCs/>
          <w:noProof/>
          <w:sz w:val="22"/>
          <w:szCs w:val="24"/>
        </w:rPr>
        <w:t xml:space="preserve"> Methods Work</w:t>
      </w:r>
      <w:r w:rsidR="00893A68">
        <w:rPr>
          <w:rFonts w:ascii="Calibri" w:hAnsi="Calibri" w:cs="Calibri"/>
          <w:i/>
          <w:iCs/>
          <w:noProof/>
          <w:sz w:val="22"/>
          <w:szCs w:val="24"/>
        </w:rPr>
        <w:t>shop</w:t>
      </w:r>
      <w:r w:rsidRPr="00B63660">
        <w:rPr>
          <w:rFonts w:ascii="Calibri" w:hAnsi="Calibri" w:cs="Calibri"/>
          <w:noProof/>
          <w:sz w:val="22"/>
          <w:szCs w:val="24"/>
        </w:rPr>
        <w:t xml:space="preserve">. Berlin. Germany: German Institute for Economic Research; 2016. </w:t>
      </w:r>
    </w:p>
    <w:p w14:paraId="516DB44B" w14:textId="22AEA0CB" w:rsidR="00FA49AA" w:rsidRDefault="004B5C37" w:rsidP="001B7096">
      <w:pPr>
        <w:spacing w:after="240"/>
        <w:rPr>
          <w:sz w:val="22"/>
          <w:szCs w:val="22"/>
        </w:rPr>
      </w:pPr>
      <w:r>
        <w:rPr>
          <w:sz w:val="22"/>
          <w:szCs w:val="22"/>
        </w:rPr>
        <w:fldChar w:fldCharType="end"/>
      </w:r>
    </w:p>
    <w:p w14:paraId="205B4452" w14:textId="77777777" w:rsidR="00FA49AA" w:rsidRDefault="00FA49AA">
      <w:pPr>
        <w:spacing w:after="200"/>
        <w:rPr>
          <w:sz w:val="22"/>
          <w:szCs w:val="22"/>
        </w:rPr>
      </w:pPr>
      <w:r>
        <w:rPr>
          <w:sz w:val="22"/>
          <w:szCs w:val="22"/>
        </w:rPr>
        <w:br w:type="page"/>
      </w:r>
    </w:p>
    <w:p w14:paraId="6B25C2CA" w14:textId="26B4F4B5" w:rsidR="001C283E" w:rsidRDefault="00FA49AA" w:rsidP="00FA49AA">
      <w:pPr>
        <w:pStyle w:val="Heading1"/>
      </w:pPr>
      <w:r>
        <w:t>Table</w:t>
      </w:r>
      <w:r w:rsidR="00F207FE">
        <w:t xml:space="preserve"> Titles</w:t>
      </w:r>
    </w:p>
    <w:p w14:paraId="1B3591E4" w14:textId="78168842" w:rsidR="00FA49AA" w:rsidRDefault="00FA49AA" w:rsidP="00FA49AA"/>
    <w:p w14:paraId="13764B5C" w14:textId="77777777" w:rsidR="003B1EE5" w:rsidRPr="00FA49AA" w:rsidRDefault="003B1EE5" w:rsidP="00FA49AA"/>
    <w:p w14:paraId="65FE7E8D" w14:textId="64DCD448" w:rsidR="003B1EE5" w:rsidRDefault="00FA49AA" w:rsidP="003B1EE5">
      <w:pPr>
        <w:pStyle w:val="Heading4"/>
      </w:pPr>
      <w:bookmarkStart w:id="14" w:name="_Hlk529780410"/>
      <w:r>
        <w:t>Table 1</w:t>
      </w:r>
    </w:p>
    <w:p w14:paraId="2E33C015" w14:textId="16C6C944" w:rsidR="00FA49AA" w:rsidRPr="001C283E" w:rsidRDefault="00FA49AA" w:rsidP="00FA49AA">
      <w:pPr>
        <w:pStyle w:val="FigureTableHeader"/>
      </w:pPr>
      <w:r>
        <w:t>CLOSER Harmonised Height, Weight &amp; BMI Variables: Data Summary</w:t>
      </w:r>
    </w:p>
    <w:bookmarkEnd w:id="14"/>
    <w:p w14:paraId="2CD164D8" w14:textId="77777777" w:rsidR="003B1EE5" w:rsidRDefault="003B1EE5" w:rsidP="001B7096">
      <w:pPr>
        <w:spacing w:after="240"/>
        <w:rPr>
          <w:sz w:val="22"/>
          <w:szCs w:val="22"/>
        </w:rPr>
      </w:pPr>
    </w:p>
    <w:p w14:paraId="7C501023" w14:textId="7613E018" w:rsidR="003B1EE5" w:rsidRDefault="003B1EE5" w:rsidP="003B1EE5">
      <w:pPr>
        <w:pStyle w:val="Heading4"/>
      </w:pPr>
      <w:bookmarkStart w:id="15" w:name="_Hlk529780517"/>
      <w:r>
        <w:t>Table 2</w:t>
      </w:r>
    </w:p>
    <w:p w14:paraId="1EDCCD9A" w14:textId="421D6247" w:rsidR="00FA49AA" w:rsidRDefault="00FA49AA" w:rsidP="00FA49AA">
      <w:pPr>
        <w:pStyle w:val="FigureTableHeader"/>
      </w:pPr>
      <w:r>
        <w:t>CLOSER Harmonised Socioeconomic Position (SEP) Variables: Data Summary</w:t>
      </w:r>
    </w:p>
    <w:bookmarkEnd w:id="15"/>
    <w:p w14:paraId="41C0DCA0" w14:textId="6EC184FC" w:rsidR="00FA49AA" w:rsidRDefault="00FA49AA" w:rsidP="001B7096">
      <w:pPr>
        <w:spacing w:after="240"/>
        <w:rPr>
          <w:sz w:val="22"/>
          <w:szCs w:val="22"/>
        </w:rPr>
      </w:pPr>
    </w:p>
    <w:p w14:paraId="1117A492" w14:textId="77777777" w:rsidR="00FA49AA" w:rsidRDefault="00FA49AA">
      <w:pPr>
        <w:spacing w:after="200"/>
        <w:rPr>
          <w:sz w:val="22"/>
          <w:szCs w:val="22"/>
        </w:rPr>
      </w:pPr>
      <w:r>
        <w:rPr>
          <w:sz w:val="22"/>
          <w:szCs w:val="22"/>
        </w:rPr>
        <w:br w:type="page"/>
      </w:r>
    </w:p>
    <w:p w14:paraId="7DCE4F34" w14:textId="593F5110" w:rsidR="00FA49AA" w:rsidRDefault="00FA49AA" w:rsidP="00FA49AA">
      <w:pPr>
        <w:pStyle w:val="Heading1"/>
      </w:pPr>
      <w:r>
        <w:t>Figure Titles</w:t>
      </w:r>
    </w:p>
    <w:p w14:paraId="7CCB4840" w14:textId="5C03705B" w:rsidR="00FA49AA" w:rsidRDefault="00FA49AA" w:rsidP="00FA49AA"/>
    <w:p w14:paraId="5783172A" w14:textId="5C68A1B8" w:rsidR="00FA49AA" w:rsidRDefault="003B1EE5" w:rsidP="00FA49AA">
      <w:pPr>
        <w:pStyle w:val="Heading4"/>
      </w:pPr>
      <w:r>
        <w:t>Figure 1</w:t>
      </w:r>
    </w:p>
    <w:p w14:paraId="2FF38261" w14:textId="7A202D72" w:rsidR="00FA49AA" w:rsidRDefault="00FA49AA" w:rsidP="00FA49AA">
      <w:r w:rsidRPr="009E34F9">
        <w:t>CLOSER’s Process of Data Resource Development</w:t>
      </w:r>
    </w:p>
    <w:p w14:paraId="3F7C5E95" w14:textId="77777777" w:rsidR="00837B2F" w:rsidRPr="009E34F9" w:rsidRDefault="00837B2F" w:rsidP="00FA49AA"/>
    <w:p w14:paraId="0AFA2F39" w14:textId="3AF26138" w:rsidR="00FA49AA" w:rsidRDefault="00FA49AA" w:rsidP="00FA49AA"/>
    <w:p w14:paraId="377CD8D5" w14:textId="670F5728" w:rsidR="00FA49AA" w:rsidRDefault="00FA49AA" w:rsidP="00FA49AA">
      <w:pPr>
        <w:pStyle w:val="Heading4"/>
      </w:pPr>
      <w:r w:rsidRPr="009E34F9">
        <w:t>Figure 2</w:t>
      </w:r>
    </w:p>
    <w:p w14:paraId="26F9EAB9" w14:textId="54C2CF3B" w:rsidR="00FA49AA" w:rsidRDefault="00FA49AA" w:rsidP="00FA49AA">
      <w:r w:rsidRPr="009E34F9">
        <w:t xml:space="preserve">CLOSER Discovery: </w:t>
      </w:r>
      <w:r>
        <w:t xml:space="preserve">Current </w:t>
      </w:r>
      <w:r w:rsidRPr="009E34F9">
        <w:t>Coverage &amp; Content</w:t>
      </w:r>
    </w:p>
    <w:p w14:paraId="5094DE47" w14:textId="77777777" w:rsidR="00837B2F" w:rsidRPr="009E34F9" w:rsidRDefault="00837B2F" w:rsidP="00FA49AA"/>
    <w:p w14:paraId="2EB5D4C2" w14:textId="50065367" w:rsidR="00FA49AA" w:rsidRDefault="00FA49AA" w:rsidP="00FA49AA"/>
    <w:p w14:paraId="1DBA8072" w14:textId="11C6216A" w:rsidR="00FA49AA" w:rsidRDefault="00FA49AA" w:rsidP="00FA49AA">
      <w:pPr>
        <w:pStyle w:val="Heading4"/>
      </w:pPr>
      <w:r>
        <w:t>Figure 3</w:t>
      </w:r>
    </w:p>
    <w:p w14:paraId="0B9A0AFE" w14:textId="4331B2A7" w:rsidR="00FA49AA" w:rsidRDefault="00FA49AA" w:rsidP="00FA49AA">
      <w:r>
        <w:t xml:space="preserve">Complete </w:t>
      </w:r>
      <w:r w:rsidRPr="001C283E">
        <w:t>CLOSER Data Harmonisation Work Packages</w:t>
      </w:r>
    </w:p>
    <w:p w14:paraId="649F77C6" w14:textId="77777777" w:rsidR="00837B2F" w:rsidRDefault="00837B2F" w:rsidP="00FA49AA"/>
    <w:p w14:paraId="68BEC313" w14:textId="77777777" w:rsidR="00FA49AA" w:rsidRDefault="00FA49AA" w:rsidP="00FA49AA"/>
    <w:p w14:paraId="35206E3A" w14:textId="65244B5A" w:rsidR="00FA49AA" w:rsidRDefault="00FA49AA" w:rsidP="00FA49AA">
      <w:pPr>
        <w:pStyle w:val="Heading4"/>
      </w:pPr>
      <w:r w:rsidRPr="001C283E">
        <w:t>Figure</w:t>
      </w:r>
      <w:r>
        <w:t xml:space="preserve"> 4</w:t>
      </w:r>
    </w:p>
    <w:p w14:paraId="78F2F846" w14:textId="0A1ED02F" w:rsidR="00FA49AA" w:rsidRDefault="00FA49AA" w:rsidP="00FA49AA">
      <w:r>
        <w:t xml:space="preserve">Complete </w:t>
      </w:r>
      <w:r w:rsidRPr="001C283E">
        <w:t>CLOSER Data Linkage Work Packages</w:t>
      </w:r>
    </w:p>
    <w:p w14:paraId="5B255B70" w14:textId="77777777" w:rsidR="00837B2F" w:rsidRPr="001C283E" w:rsidRDefault="00837B2F" w:rsidP="00FA49AA"/>
    <w:p w14:paraId="189F9AFB" w14:textId="3E0951A5" w:rsidR="00FA49AA" w:rsidRDefault="00FA49AA" w:rsidP="00FA49AA"/>
    <w:p w14:paraId="58BFB833" w14:textId="0B1183DF" w:rsidR="00FA49AA" w:rsidRPr="00FA49AA" w:rsidRDefault="003B1EE5" w:rsidP="00FA49AA">
      <w:pPr>
        <w:pStyle w:val="Heading4"/>
        <w:rPr>
          <w:rStyle w:val="CommentReference"/>
          <w:sz w:val="26"/>
          <w:szCs w:val="26"/>
        </w:rPr>
      </w:pPr>
      <w:r>
        <w:rPr>
          <w:rStyle w:val="CommentReference"/>
          <w:sz w:val="26"/>
          <w:szCs w:val="26"/>
        </w:rPr>
        <w:t>Figure 5</w:t>
      </w:r>
    </w:p>
    <w:p w14:paraId="206E61BF" w14:textId="12EDD5DB" w:rsidR="00702420" w:rsidRDefault="00FA49AA" w:rsidP="00FE120B">
      <w:r>
        <w:rPr>
          <w:rStyle w:val="CommentReference"/>
          <w:sz w:val="21"/>
          <w:szCs w:val="21"/>
        </w:rPr>
        <w:t>Example of CLOSER Dis</w:t>
      </w:r>
      <w:r w:rsidRPr="00FA49AA">
        <w:t>covery Variable Search: Current Asthma Status amongst UKHLS Participants with Prior Asthma Diagnosis</w:t>
      </w:r>
    </w:p>
    <w:sectPr w:rsidR="00702420" w:rsidSect="00F26957">
      <w:headerReference w:type="default" r:id="rId15"/>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5CC1" w14:textId="77777777" w:rsidR="0011248B" w:rsidRDefault="0011248B" w:rsidP="00D0598C">
      <w:pPr>
        <w:spacing w:line="240" w:lineRule="auto"/>
      </w:pPr>
      <w:r>
        <w:separator/>
      </w:r>
    </w:p>
  </w:endnote>
  <w:endnote w:type="continuationSeparator" w:id="0">
    <w:p w14:paraId="70CF698C" w14:textId="77777777" w:rsidR="0011248B" w:rsidRDefault="0011248B" w:rsidP="00D05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C3B0" w14:textId="77777777" w:rsidR="0011248B" w:rsidRDefault="0011248B" w:rsidP="00D0598C">
      <w:pPr>
        <w:spacing w:line="240" w:lineRule="auto"/>
      </w:pPr>
      <w:r>
        <w:separator/>
      </w:r>
    </w:p>
  </w:footnote>
  <w:footnote w:type="continuationSeparator" w:id="0">
    <w:p w14:paraId="1E36B958" w14:textId="77777777" w:rsidR="0011248B" w:rsidRDefault="0011248B" w:rsidP="00D05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951852"/>
      <w:docPartObj>
        <w:docPartGallery w:val="Page Numbers (Top of Page)"/>
        <w:docPartUnique/>
      </w:docPartObj>
    </w:sdtPr>
    <w:sdtEndPr>
      <w:rPr>
        <w:noProof/>
      </w:rPr>
    </w:sdtEndPr>
    <w:sdtContent>
      <w:p w14:paraId="7EF1FAED" w14:textId="6799FA13" w:rsidR="00547566" w:rsidRDefault="00547566">
        <w:pPr>
          <w:pStyle w:val="Header"/>
          <w:jc w:val="right"/>
        </w:pPr>
        <w:r>
          <w:fldChar w:fldCharType="begin"/>
        </w:r>
        <w:r>
          <w:instrText xml:space="preserve"> PAGE   \* MERGEFORMAT </w:instrText>
        </w:r>
        <w:r>
          <w:fldChar w:fldCharType="separate"/>
        </w:r>
        <w:r w:rsidR="000E107D">
          <w:rPr>
            <w:noProof/>
          </w:rPr>
          <w:t>1</w:t>
        </w:r>
        <w:r>
          <w:rPr>
            <w:noProof/>
          </w:rPr>
          <w:fldChar w:fldCharType="end"/>
        </w:r>
      </w:p>
    </w:sdtContent>
  </w:sdt>
  <w:p w14:paraId="24345614" w14:textId="5952B12C" w:rsidR="00547566" w:rsidRDefault="005475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9A0"/>
    <w:multiLevelType w:val="hybridMultilevel"/>
    <w:tmpl w:val="EDB85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11A92"/>
    <w:multiLevelType w:val="hybridMultilevel"/>
    <w:tmpl w:val="0DB8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5205F"/>
    <w:multiLevelType w:val="hybridMultilevel"/>
    <w:tmpl w:val="0CAA4D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15C9"/>
    <w:multiLevelType w:val="multilevel"/>
    <w:tmpl w:val="E536F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1FAD"/>
    <w:multiLevelType w:val="hybridMultilevel"/>
    <w:tmpl w:val="E428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2385"/>
    <w:multiLevelType w:val="hybridMultilevel"/>
    <w:tmpl w:val="783E732C"/>
    <w:lvl w:ilvl="0" w:tplc="08D8B46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B17F5"/>
    <w:multiLevelType w:val="multilevel"/>
    <w:tmpl w:val="83D29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D5FB4"/>
    <w:multiLevelType w:val="hybridMultilevel"/>
    <w:tmpl w:val="692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25FF"/>
    <w:multiLevelType w:val="hybridMultilevel"/>
    <w:tmpl w:val="DD5CA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4F79A4"/>
    <w:multiLevelType w:val="hybridMultilevel"/>
    <w:tmpl w:val="B176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56805"/>
    <w:multiLevelType w:val="multilevel"/>
    <w:tmpl w:val="B6D2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366BC"/>
    <w:multiLevelType w:val="hybridMultilevel"/>
    <w:tmpl w:val="DECE1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81A9E"/>
    <w:multiLevelType w:val="hybridMultilevel"/>
    <w:tmpl w:val="20387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A2763"/>
    <w:multiLevelType w:val="hybridMultilevel"/>
    <w:tmpl w:val="8A4C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93603"/>
    <w:multiLevelType w:val="multilevel"/>
    <w:tmpl w:val="999A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B1EBA"/>
    <w:multiLevelType w:val="hybridMultilevel"/>
    <w:tmpl w:val="EB30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87C"/>
    <w:multiLevelType w:val="hybridMultilevel"/>
    <w:tmpl w:val="015A3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997058"/>
    <w:multiLevelType w:val="hybridMultilevel"/>
    <w:tmpl w:val="4976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E5C6E"/>
    <w:multiLevelType w:val="hybridMultilevel"/>
    <w:tmpl w:val="67DE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B6B4A"/>
    <w:multiLevelType w:val="multilevel"/>
    <w:tmpl w:val="A6E2A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7"/>
  </w:num>
  <w:num w:numId="4">
    <w:abstractNumId w:val="12"/>
  </w:num>
  <w:num w:numId="5">
    <w:abstractNumId w:val="9"/>
  </w:num>
  <w:num w:numId="6">
    <w:abstractNumId w:val="7"/>
  </w:num>
  <w:num w:numId="7">
    <w:abstractNumId w:val="1"/>
  </w:num>
  <w:num w:numId="8">
    <w:abstractNumId w:val="16"/>
  </w:num>
  <w:num w:numId="9">
    <w:abstractNumId w:val="2"/>
  </w:num>
  <w:num w:numId="10">
    <w:abstractNumId w:val="15"/>
  </w:num>
  <w:num w:numId="11">
    <w:abstractNumId w:val="13"/>
  </w:num>
  <w:num w:numId="12">
    <w:abstractNumId w:val="11"/>
  </w:num>
  <w:num w:numId="13">
    <w:abstractNumId w:val="0"/>
  </w:num>
  <w:num w:numId="14">
    <w:abstractNumId w:val="18"/>
  </w:num>
  <w:num w:numId="15">
    <w:abstractNumId w:val="5"/>
  </w:num>
  <w:num w:numId="16">
    <w:abstractNumId w:val="8"/>
  </w:num>
  <w:num w:numId="17">
    <w:abstractNumId w:val="14"/>
  </w:num>
  <w:num w:numId="18">
    <w:abstractNumId w:val="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50"/>
    <w:rsid w:val="00000178"/>
    <w:rsid w:val="00005FC6"/>
    <w:rsid w:val="000101C3"/>
    <w:rsid w:val="000102A6"/>
    <w:rsid w:val="000120ED"/>
    <w:rsid w:val="00013D02"/>
    <w:rsid w:val="0002136B"/>
    <w:rsid w:val="00022658"/>
    <w:rsid w:val="000258A8"/>
    <w:rsid w:val="00025C01"/>
    <w:rsid w:val="0002623A"/>
    <w:rsid w:val="0002787E"/>
    <w:rsid w:val="00030EEA"/>
    <w:rsid w:val="00034958"/>
    <w:rsid w:val="000365ED"/>
    <w:rsid w:val="00043B99"/>
    <w:rsid w:val="00045048"/>
    <w:rsid w:val="00046A06"/>
    <w:rsid w:val="00050077"/>
    <w:rsid w:val="0005091D"/>
    <w:rsid w:val="00054258"/>
    <w:rsid w:val="00064F6E"/>
    <w:rsid w:val="00071BBB"/>
    <w:rsid w:val="000744B0"/>
    <w:rsid w:val="00083B27"/>
    <w:rsid w:val="000847A0"/>
    <w:rsid w:val="0008620E"/>
    <w:rsid w:val="00091ADC"/>
    <w:rsid w:val="0009345C"/>
    <w:rsid w:val="00093D3F"/>
    <w:rsid w:val="00095714"/>
    <w:rsid w:val="000A0FD3"/>
    <w:rsid w:val="000A2512"/>
    <w:rsid w:val="000A287A"/>
    <w:rsid w:val="000A3A78"/>
    <w:rsid w:val="000A47EF"/>
    <w:rsid w:val="000A5EC1"/>
    <w:rsid w:val="000A7A0E"/>
    <w:rsid w:val="000B49DD"/>
    <w:rsid w:val="000C0228"/>
    <w:rsid w:val="000C144E"/>
    <w:rsid w:val="000C2E50"/>
    <w:rsid w:val="000C3D87"/>
    <w:rsid w:val="000C68D0"/>
    <w:rsid w:val="000D0F90"/>
    <w:rsid w:val="000D3F25"/>
    <w:rsid w:val="000D7618"/>
    <w:rsid w:val="000E0050"/>
    <w:rsid w:val="000E107D"/>
    <w:rsid w:val="000E4236"/>
    <w:rsid w:val="000E5814"/>
    <w:rsid w:val="000E5A1F"/>
    <w:rsid w:val="000F0947"/>
    <w:rsid w:val="000F13F5"/>
    <w:rsid w:val="0010367B"/>
    <w:rsid w:val="00104059"/>
    <w:rsid w:val="001063C1"/>
    <w:rsid w:val="0011248B"/>
    <w:rsid w:val="001126EE"/>
    <w:rsid w:val="001165BE"/>
    <w:rsid w:val="00120C3C"/>
    <w:rsid w:val="00121374"/>
    <w:rsid w:val="0013446D"/>
    <w:rsid w:val="0013582E"/>
    <w:rsid w:val="00137A67"/>
    <w:rsid w:val="001412D6"/>
    <w:rsid w:val="001413D4"/>
    <w:rsid w:val="001517FA"/>
    <w:rsid w:val="00152E30"/>
    <w:rsid w:val="00154BBB"/>
    <w:rsid w:val="001629DA"/>
    <w:rsid w:val="00164964"/>
    <w:rsid w:val="00167145"/>
    <w:rsid w:val="001678F3"/>
    <w:rsid w:val="001825B9"/>
    <w:rsid w:val="0018265A"/>
    <w:rsid w:val="00190763"/>
    <w:rsid w:val="00192B43"/>
    <w:rsid w:val="001933B9"/>
    <w:rsid w:val="001A008E"/>
    <w:rsid w:val="001A2ABB"/>
    <w:rsid w:val="001A583C"/>
    <w:rsid w:val="001B0F74"/>
    <w:rsid w:val="001B2B18"/>
    <w:rsid w:val="001B48AD"/>
    <w:rsid w:val="001B5D92"/>
    <w:rsid w:val="001B7096"/>
    <w:rsid w:val="001B7FAB"/>
    <w:rsid w:val="001C264B"/>
    <w:rsid w:val="001C283E"/>
    <w:rsid w:val="001C28FF"/>
    <w:rsid w:val="001C2B67"/>
    <w:rsid w:val="001C4D88"/>
    <w:rsid w:val="001D440F"/>
    <w:rsid w:val="001D5914"/>
    <w:rsid w:val="001D649E"/>
    <w:rsid w:val="001E2436"/>
    <w:rsid w:val="001E280A"/>
    <w:rsid w:val="001E2F88"/>
    <w:rsid w:val="001E564B"/>
    <w:rsid w:val="001E7175"/>
    <w:rsid w:val="001E746C"/>
    <w:rsid w:val="001F50A8"/>
    <w:rsid w:val="001F54F1"/>
    <w:rsid w:val="00200700"/>
    <w:rsid w:val="0020219D"/>
    <w:rsid w:val="00202E0A"/>
    <w:rsid w:val="00211E00"/>
    <w:rsid w:val="002134E7"/>
    <w:rsid w:val="00214612"/>
    <w:rsid w:val="00214C5E"/>
    <w:rsid w:val="00223184"/>
    <w:rsid w:val="002257A8"/>
    <w:rsid w:val="00225BF0"/>
    <w:rsid w:val="0023377D"/>
    <w:rsid w:val="00234166"/>
    <w:rsid w:val="002359D7"/>
    <w:rsid w:val="002415DA"/>
    <w:rsid w:val="00241E85"/>
    <w:rsid w:val="00243AFD"/>
    <w:rsid w:val="002505DB"/>
    <w:rsid w:val="002507CE"/>
    <w:rsid w:val="002514FC"/>
    <w:rsid w:val="00255FAE"/>
    <w:rsid w:val="00261B4F"/>
    <w:rsid w:val="00271079"/>
    <w:rsid w:val="002742BC"/>
    <w:rsid w:val="0027672F"/>
    <w:rsid w:val="00281411"/>
    <w:rsid w:val="00282921"/>
    <w:rsid w:val="00287872"/>
    <w:rsid w:val="00294749"/>
    <w:rsid w:val="00294E0B"/>
    <w:rsid w:val="0029622A"/>
    <w:rsid w:val="0029632F"/>
    <w:rsid w:val="002A1994"/>
    <w:rsid w:val="002A2743"/>
    <w:rsid w:val="002A4DC3"/>
    <w:rsid w:val="002A5D9F"/>
    <w:rsid w:val="002B01AE"/>
    <w:rsid w:val="002B2FE8"/>
    <w:rsid w:val="002C18FB"/>
    <w:rsid w:val="002D022D"/>
    <w:rsid w:val="002D031E"/>
    <w:rsid w:val="002D5C1A"/>
    <w:rsid w:val="002E1932"/>
    <w:rsid w:val="002E2CAA"/>
    <w:rsid w:val="002E6AB2"/>
    <w:rsid w:val="002E6AE4"/>
    <w:rsid w:val="002E75FD"/>
    <w:rsid w:val="002F1B08"/>
    <w:rsid w:val="00300DBC"/>
    <w:rsid w:val="00301B69"/>
    <w:rsid w:val="00310145"/>
    <w:rsid w:val="0031075C"/>
    <w:rsid w:val="00311999"/>
    <w:rsid w:val="00317799"/>
    <w:rsid w:val="00330674"/>
    <w:rsid w:val="00332424"/>
    <w:rsid w:val="00334702"/>
    <w:rsid w:val="00335FE7"/>
    <w:rsid w:val="00336D32"/>
    <w:rsid w:val="0034500F"/>
    <w:rsid w:val="003523CE"/>
    <w:rsid w:val="00353B24"/>
    <w:rsid w:val="00354DDD"/>
    <w:rsid w:val="003569D5"/>
    <w:rsid w:val="00360517"/>
    <w:rsid w:val="00361B35"/>
    <w:rsid w:val="003646D3"/>
    <w:rsid w:val="00372F12"/>
    <w:rsid w:val="00374500"/>
    <w:rsid w:val="00374793"/>
    <w:rsid w:val="00377D7D"/>
    <w:rsid w:val="003839D8"/>
    <w:rsid w:val="00384825"/>
    <w:rsid w:val="00391C79"/>
    <w:rsid w:val="00394FCD"/>
    <w:rsid w:val="00396403"/>
    <w:rsid w:val="00396667"/>
    <w:rsid w:val="00397E5C"/>
    <w:rsid w:val="003A11C7"/>
    <w:rsid w:val="003A131E"/>
    <w:rsid w:val="003A15D5"/>
    <w:rsid w:val="003A4F03"/>
    <w:rsid w:val="003A4F05"/>
    <w:rsid w:val="003A5167"/>
    <w:rsid w:val="003A54E9"/>
    <w:rsid w:val="003A63AC"/>
    <w:rsid w:val="003B045A"/>
    <w:rsid w:val="003B1738"/>
    <w:rsid w:val="003B17BD"/>
    <w:rsid w:val="003B1EE5"/>
    <w:rsid w:val="003B7712"/>
    <w:rsid w:val="003C198C"/>
    <w:rsid w:val="003C4452"/>
    <w:rsid w:val="003D1762"/>
    <w:rsid w:val="003D1F8C"/>
    <w:rsid w:val="003D33C8"/>
    <w:rsid w:val="003E24A7"/>
    <w:rsid w:val="003E38C9"/>
    <w:rsid w:val="003E4365"/>
    <w:rsid w:val="003E4BB1"/>
    <w:rsid w:val="003E5CAF"/>
    <w:rsid w:val="003F2CF8"/>
    <w:rsid w:val="003F58DC"/>
    <w:rsid w:val="003F5D91"/>
    <w:rsid w:val="003F6D89"/>
    <w:rsid w:val="003F77B7"/>
    <w:rsid w:val="0040185C"/>
    <w:rsid w:val="00402C9E"/>
    <w:rsid w:val="00407B56"/>
    <w:rsid w:val="0041491C"/>
    <w:rsid w:val="0041595C"/>
    <w:rsid w:val="00420AE0"/>
    <w:rsid w:val="0042315D"/>
    <w:rsid w:val="00424323"/>
    <w:rsid w:val="00424846"/>
    <w:rsid w:val="00427D5C"/>
    <w:rsid w:val="004313D3"/>
    <w:rsid w:val="00431893"/>
    <w:rsid w:val="004324AA"/>
    <w:rsid w:val="00433BD2"/>
    <w:rsid w:val="00444CC1"/>
    <w:rsid w:val="00451596"/>
    <w:rsid w:val="00454242"/>
    <w:rsid w:val="004573CC"/>
    <w:rsid w:val="00460F8B"/>
    <w:rsid w:val="004623E1"/>
    <w:rsid w:val="00464A35"/>
    <w:rsid w:val="004660FB"/>
    <w:rsid w:val="00467021"/>
    <w:rsid w:val="00471338"/>
    <w:rsid w:val="00473E04"/>
    <w:rsid w:val="00477AED"/>
    <w:rsid w:val="00481245"/>
    <w:rsid w:val="00484C83"/>
    <w:rsid w:val="00484D56"/>
    <w:rsid w:val="0048635E"/>
    <w:rsid w:val="004913E9"/>
    <w:rsid w:val="00492FB1"/>
    <w:rsid w:val="00493EC4"/>
    <w:rsid w:val="004A14FF"/>
    <w:rsid w:val="004A2FA3"/>
    <w:rsid w:val="004A61DA"/>
    <w:rsid w:val="004B1C4D"/>
    <w:rsid w:val="004B358E"/>
    <w:rsid w:val="004B5C37"/>
    <w:rsid w:val="004B704F"/>
    <w:rsid w:val="004B7995"/>
    <w:rsid w:val="004B7DA8"/>
    <w:rsid w:val="004C14D7"/>
    <w:rsid w:val="004C1F2F"/>
    <w:rsid w:val="004C2A1F"/>
    <w:rsid w:val="004C3FAE"/>
    <w:rsid w:val="004C49F9"/>
    <w:rsid w:val="004C4E1B"/>
    <w:rsid w:val="004C4F0D"/>
    <w:rsid w:val="004C6EC8"/>
    <w:rsid w:val="004D144D"/>
    <w:rsid w:val="004D7716"/>
    <w:rsid w:val="004F048B"/>
    <w:rsid w:val="004F4F5F"/>
    <w:rsid w:val="004F4FBB"/>
    <w:rsid w:val="004F71D1"/>
    <w:rsid w:val="00501FD8"/>
    <w:rsid w:val="00503A00"/>
    <w:rsid w:val="00505F13"/>
    <w:rsid w:val="00506204"/>
    <w:rsid w:val="005067F1"/>
    <w:rsid w:val="00510728"/>
    <w:rsid w:val="00511EFD"/>
    <w:rsid w:val="00515005"/>
    <w:rsid w:val="00515FE0"/>
    <w:rsid w:val="005161F4"/>
    <w:rsid w:val="00520E66"/>
    <w:rsid w:val="0052183F"/>
    <w:rsid w:val="0052627E"/>
    <w:rsid w:val="005308E6"/>
    <w:rsid w:val="00531133"/>
    <w:rsid w:val="00532DB8"/>
    <w:rsid w:val="00536679"/>
    <w:rsid w:val="00540209"/>
    <w:rsid w:val="00540CCA"/>
    <w:rsid w:val="005453B1"/>
    <w:rsid w:val="00547566"/>
    <w:rsid w:val="00551BB4"/>
    <w:rsid w:val="0056511E"/>
    <w:rsid w:val="00572633"/>
    <w:rsid w:val="00573995"/>
    <w:rsid w:val="00574C8B"/>
    <w:rsid w:val="00575558"/>
    <w:rsid w:val="00576B5F"/>
    <w:rsid w:val="005817D1"/>
    <w:rsid w:val="00583026"/>
    <w:rsid w:val="005841D4"/>
    <w:rsid w:val="00587002"/>
    <w:rsid w:val="00591EBD"/>
    <w:rsid w:val="005936EF"/>
    <w:rsid w:val="005949F8"/>
    <w:rsid w:val="00596528"/>
    <w:rsid w:val="005A1FBC"/>
    <w:rsid w:val="005A41CB"/>
    <w:rsid w:val="005A7650"/>
    <w:rsid w:val="005B0F1B"/>
    <w:rsid w:val="005B2162"/>
    <w:rsid w:val="005B2723"/>
    <w:rsid w:val="005B54E4"/>
    <w:rsid w:val="005B5741"/>
    <w:rsid w:val="005C3C48"/>
    <w:rsid w:val="005C6641"/>
    <w:rsid w:val="005D357E"/>
    <w:rsid w:val="005D49B6"/>
    <w:rsid w:val="005E1AED"/>
    <w:rsid w:val="005F3577"/>
    <w:rsid w:val="005F4256"/>
    <w:rsid w:val="0060066F"/>
    <w:rsid w:val="006057FF"/>
    <w:rsid w:val="00605C6A"/>
    <w:rsid w:val="00611987"/>
    <w:rsid w:val="00611B12"/>
    <w:rsid w:val="0061262D"/>
    <w:rsid w:val="00612C6F"/>
    <w:rsid w:val="00612CB6"/>
    <w:rsid w:val="00613BD2"/>
    <w:rsid w:val="00615980"/>
    <w:rsid w:val="0061679C"/>
    <w:rsid w:val="00620C30"/>
    <w:rsid w:val="00621B36"/>
    <w:rsid w:val="0062442E"/>
    <w:rsid w:val="00634200"/>
    <w:rsid w:val="00634309"/>
    <w:rsid w:val="006363D7"/>
    <w:rsid w:val="00636A62"/>
    <w:rsid w:val="0063774A"/>
    <w:rsid w:val="00637E9F"/>
    <w:rsid w:val="006434D9"/>
    <w:rsid w:val="00647AB0"/>
    <w:rsid w:val="0065074D"/>
    <w:rsid w:val="0065096A"/>
    <w:rsid w:val="00650F00"/>
    <w:rsid w:val="0065147B"/>
    <w:rsid w:val="00652DCB"/>
    <w:rsid w:val="006631B0"/>
    <w:rsid w:val="006631D3"/>
    <w:rsid w:val="0066393A"/>
    <w:rsid w:val="00664E50"/>
    <w:rsid w:val="00664F31"/>
    <w:rsid w:val="00665022"/>
    <w:rsid w:val="00673D50"/>
    <w:rsid w:val="00677387"/>
    <w:rsid w:val="00681418"/>
    <w:rsid w:val="00681A6B"/>
    <w:rsid w:val="00681B3E"/>
    <w:rsid w:val="00686A7B"/>
    <w:rsid w:val="006914CE"/>
    <w:rsid w:val="00693F73"/>
    <w:rsid w:val="0069504A"/>
    <w:rsid w:val="006960DA"/>
    <w:rsid w:val="006A186D"/>
    <w:rsid w:val="006A1A6F"/>
    <w:rsid w:val="006A4513"/>
    <w:rsid w:val="006B658E"/>
    <w:rsid w:val="006C33BF"/>
    <w:rsid w:val="006C3C6E"/>
    <w:rsid w:val="006C68BC"/>
    <w:rsid w:val="006D436B"/>
    <w:rsid w:val="006E2AE1"/>
    <w:rsid w:val="006E6E59"/>
    <w:rsid w:val="006F1C93"/>
    <w:rsid w:val="006F51E5"/>
    <w:rsid w:val="006F7DAF"/>
    <w:rsid w:val="006F7E5D"/>
    <w:rsid w:val="00702420"/>
    <w:rsid w:val="00703275"/>
    <w:rsid w:val="0070573E"/>
    <w:rsid w:val="007060F7"/>
    <w:rsid w:val="007129F1"/>
    <w:rsid w:val="00714D62"/>
    <w:rsid w:val="00716790"/>
    <w:rsid w:val="007170C5"/>
    <w:rsid w:val="00717176"/>
    <w:rsid w:val="00721E31"/>
    <w:rsid w:val="007253B0"/>
    <w:rsid w:val="007313C7"/>
    <w:rsid w:val="00734314"/>
    <w:rsid w:val="00736568"/>
    <w:rsid w:val="00745D26"/>
    <w:rsid w:val="0074668B"/>
    <w:rsid w:val="00752004"/>
    <w:rsid w:val="00757370"/>
    <w:rsid w:val="00757BE5"/>
    <w:rsid w:val="007620DE"/>
    <w:rsid w:val="00765828"/>
    <w:rsid w:val="00765FC8"/>
    <w:rsid w:val="00772543"/>
    <w:rsid w:val="007737D7"/>
    <w:rsid w:val="00774677"/>
    <w:rsid w:val="00776B3C"/>
    <w:rsid w:val="00794C05"/>
    <w:rsid w:val="00795A5B"/>
    <w:rsid w:val="00797455"/>
    <w:rsid w:val="007A58AF"/>
    <w:rsid w:val="007A738C"/>
    <w:rsid w:val="007B0E0A"/>
    <w:rsid w:val="007B0E6F"/>
    <w:rsid w:val="007B44BD"/>
    <w:rsid w:val="007B7D08"/>
    <w:rsid w:val="007C4C4B"/>
    <w:rsid w:val="007D38D9"/>
    <w:rsid w:val="007D673C"/>
    <w:rsid w:val="007D760A"/>
    <w:rsid w:val="007E5558"/>
    <w:rsid w:val="007E79AE"/>
    <w:rsid w:val="007F0CC7"/>
    <w:rsid w:val="007F22A3"/>
    <w:rsid w:val="007F29FA"/>
    <w:rsid w:val="007F4724"/>
    <w:rsid w:val="007F6374"/>
    <w:rsid w:val="00811C29"/>
    <w:rsid w:val="008126B8"/>
    <w:rsid w:val="008133AE"/>
    <w:rsid w:val="00813C21"/>
    <w:rsid w:val="008149C5"/>
    <w:rsid w:val="0081708F"/>
    <w:rsid w:val="008262C8"/>
    <w:rsid w:val="008266C7"/>
    <w:rsid w:val="008344E9"/>
    <w:rsid w:val="00836685"/>
    <w:rsid w:val="00837B2F"/>
    <w:rsid w:val="0084069A"/>
    <w:rsid w:val="00842D88"/>
    <w:rsid w:val="00845C9D"/>
    <w:rsid w:val="0085094D"/>
    <w:rsid w:val="008519BA"/>
    <w:rsid w:val="00851E52"/>
    <w:rsid w:val="00853466"/>
    <w:rsid w:val="0085508E"/>
    <w:rsid w:val="0085523C"/>
    <w:rsid w:val="00855A3D"/>
    <w:rsid w:val="008568E9"/>
    <w:rsid w:val="00857DD2"/>
    <w:rsid w:val="00857FAF"/>
    <w:rsid w:val="00861809"/>
    <w:rsid w:val="00861E56"/>
    <w:rsid w:val="00862983"/>
    <w:rsid w:val="00863C5B"/>
    <w:rsid w:val="00864198"/>
    <w:rsid w:val="008716DC"/>
    <w:rsid w:val="00872F3E"/>
    <w:rsid w:val="00877377"/>
    <w:rsid w:val="00880DEF"/>
    <w:rsid w:val="00884230"/>
    <w:rsid w:val="008858C9"/>
    <w:rsid w:val="00886905"/>
    <w:rsid w:val="00887DA1"/>
    <w:rsid w:val="00891877"/>
    <w:rsid w:val="00893A68"/>
    <w:rsid w:val="008958F3"/>
    <w:rsid w:val="008A004E"/>
    <w:rsid w:val="008A0720"/>
    <w:rsid w:val="008A1366"/>
    <w:rsid w:val="008A1EBA"/>
    <w:rsid w:val="008A5C0D"/>
    <w:rsid w:val="008A61AA"/>
    <w:rsid w:val="008A6245"/>
    <w:rsid w:val="008A6C46"/>
    <w:rsid w:val="008B166C"/>
    <w:rsid w:val="008B1F4D"/>
    <w:rsid w:val="008B41F7"/>
    <w:rsid w:val="008B638D"/>
    <w:rsid w:val="008B78AA"/>
    <w:rsid w:val="008C3178"/>
    <w:rsid w:val="008C77D6"/>
    <w:rsid w:val="008C7E81"/>
    <w:rsid w:val="008D4BD0"/>
    <w:rsid w:val="008E1984"/>
    <w:rsid w:val="008E3D2B"/>
    <w:rsid w:val="008E4BC0"/>
    <w:rsid w:val="008F326A"/>
    <w:rsid w:val="008F43D0"/>
    <w:rsid w:val="008F5299"/>
    <w:rsid w:val="008F70C1"/>
    <w:rsid w:val="0090076D"/>
    <w:rsid w:val="00901537"/>
    <w:rsid w:val="00901DCE"/>
    <w:rsid w:val="009038A2"/>
    <w:rsid w:val="0090398C"/>
    <w:rsid w:val="00906006"/>
    <w:rsid w:val="009125FC"/>
    <w:rsid w:val="009139D7"/>
    <w:rsid w:val="00913EDA"/>
    <w:rsid w:val="009146CA"/>
    <w:rsid w:val="009215EB"/>
    <w:rsid w:val="009271C8"/>
    <w:rsid w:val="00931377"/>
    <w:rsid w:val="009426F5"/>
    <w:rsid w:val="00945891"/>
    <w:rsid w:val="00946A0E"/>
    <w:rsid w:val="009517C5"/>
    <w:rsid w:val="009529D7"/>
    <w:rsid w:val="00953C72"/>
    <w:rsid w:val="0095713B"/>
    <w:rsid w:val="00960B2B"/>
    <w:rsid w:val="00963954"/>
    <w:rsid w:val="00965190"/>
    <w:rsid w:val="00965E2F"/>
    <w:rsid w:val="00967443"/>
    <w:rsid w:val="00970B5A"/>
    <w:rsid w:val="009746DC"/>
    <w:rsid w:val="00975574"/>
    <w:rsid w:val="009815E7"/>
    <w:rsid w:val="009837B5"/>
    <w:rsid w:val="00984296"/>
    <w:rsid w:val="0098605C"/>
    <w:rsid w:val="00994F4F"/>
    <w:rsid w:val="0099513D"/>
    <w:rsid w:val="009A1E05"/>
    <w:rsid w:val="009A35A4"/>
    <w:rsid w:val="009A37E3"/>
    <w:rsid w:val="009B0394"/>
    <w:rsid w:val="009B11BB"/>
    <w:rsid w:val="009B1C7F"/>
    <w:rsid w:val="009B36D2"/>
    <w:rsid w:val="009B561E"/>
    <w:rsid w:val="009D0130"/>
    <w:rsid w:val="009D0570"/>
    <w:rsid w:val="009D066F"/>
    <w:rsid w:val="009D0846"/>
    <w:rsid w:val="009D2495"/>
    <w:rsid w:val="009D27D6"/>
    <w:rsid w:val="009D4277"/>
    <w:rsid w:val="009D48C6"/>
    <w:rsid w:val="009E34F9"/>
    <w:rsid w:val="009E3A28"/>
    <w:rsid w:val="009E62E6"/>
    <w:rsid w:val="009E6E56"/>
    <w:rsid w:val="009F088D"/>
    <w:rsid w:val="009F3AF4"/>
    <w:rsid w:val="009F4251"/>
    <w:rsid w:val="009F69B1"/>
    <w:rsid w:val="009F74D6"/>
    <w:rsid w:val="00A02A49"/>
    <w:rsid w:val="00A117F3"/>
    <w:rsid w:val="00A119F8"/>
    <w:rsid w:val="00A15188"/>
    <w:rsid w:val="00A15AA6"/>
    <w:rsid w:val="00A23E41"/>
    <w:rsid w:val="00A30446"/>
    <w:rsid w:val="00A33A45"/>
    <w:rsid w:val="00A45614"/>
    <w:rsid w:val="00A475A5"/>
    <w:rsid w:val="00A50235"/>
    <w:rsid w:val="00A53621"/>
    <w:rsid w:val="00A56900"/>
    <w:rsid w:val="00A60EBE"/>
    <w:rsid w:val="00A61FD2"/>
    <w:rsid w:val="00A61FF0"/>
    <w:rsid w:val="00A640B3"/>
    <w:rsid w:val="00A64467"/>
    <w:rsid w:val="00A648C2"/>
    <w:rsid w:val="00A64B38"/>
    <w:rsid w:val="00A712F0"/>
    <w:rsid w:val="00A716A9"/>
    <w:rsid w:val="00A71974"/>
    <w:rsid w:val="00A73040"/>
    <w:rsid w:val="00A742D9"/>
    <w:rsid w:val="00A763EF"/>
    <w:rsid w:val="00A81EF8"/>
    <w:rsid w:val="00A9084B"/>
    <w:rsid w:val="00A96022"/>
    <w:rsid w:val="00AA2DC5"/>
    <w:rsid w:val="00AA373C"/>
    <w:rsid w:val="00AA3B60"/>
    <w:rsid w:val="00AA3B8F"/>
    <w:rsid w:val="00AB192E"/>
    <w:rsid w:val="00AB4B44"/>
    <w:rsid w:val="00AB7590"/>
    <w:rsid w:val="00AC19BD"/>
    <w:rsid w:val="00AC34AC"/>
    <w:rsid w:val="00AC40C8"/>
    <w:rsid w:val="00AC4834"/>
    <w:rsid w:val="00AD1216"/>
    <w:rsid w:val="00AD2625"/>
    <w:rsid w:val="00AD39FD"/>
    <w:rsid w:val="00AE1B7B"/>
    <w:rsid w:val="00AE1B8C"/>
    <w:rsid w:val="00AE761D"/>
    <w:rsid w:val="00AF4FB2"/>
    <w:rsid w:val="00B007A6"/>
    <w:rsid w:val="00B03ADC"/>
    <w:rsid w:val="00B04660"/>
    <w:rsid w:val="00B10F2E"/>
    <w:rsid w:val="00B17949"/>
    <w:rsid w:val="00B17B86"/>
    <w:rsid w:val="00B22567"/>
    <w:rsid w:val="00B25A2E"/>
    <w:rsid w:val="00B26D7A"/>
    <w:rsid w:val="00B34488"/>
    <w:rsid w:val="00B35264"/>
    <w:rsid w:val="00B40654"/>
    <w:rsid w:val="00B40E34"/>
    <w:rsid w:val="00B41BBB"/>
    <w:rsid w:val="00B45079"/>
    <w:rsid w:val="00B56943"/>
    <w:rsid w:val="00B57FB9"/>
    <w:rsid w:val="00B607B6"/>
    <w:rsid w:val="00B63660"/>
    <w:rsid w:val="00B6439B"/>
    <w:rsid w:val="00B64CB0"/>
    <w:rsid w:val="00B65A1C"/>
    <w:rsid w:val="00B66D30"/>
    <w:rsid w:val="00B76636"/>
    <w:rsid w:val="00B76C96"/>
    <w:rsid w:val="00B77024"/>
    <w:rsid w:val="00B8014F"/>
    <w:rsid w:val="00B8377E"/>
    <w:rsid w:val="00B84450"/>
    <w:rsid w:val="00B87B54"/>
    <w:rsid w:val="00B87B83"/>
    <w:rsid w:val="00B94599"/>
    <w:rsid w:val="00B97AEF"/>
    <w:rsid w:val="00BA1AD0"/>
    <w:rsid w:val="00BA75EC"/>
    <w:rsid w:val="00BB1991"/>
    <w:rsid w:val="00BB24AB"/>
    <w:rsid w:val="00BB4E13"/>
    <w:rsid w:val="00BB4F40"/>
    <w:rsid w:val="00BB59BA"/>
    <w:rsid w:val="00BB71A5"/>
    <w:rsid w:val="00BC1B28"/>
    <w:rsid w:val="00BC522B"/>
    <w:rsid w:val="00BD1D47"/>
    <w:rsid w:val="00BE211A"/>
    <w:rsid w:val="00BE2403"/>
    <w:rsid w:val="00BE3AF7"/>
    <w:rsid w:val="00BE3D26"/>
    <w:rsid w:val="00BE4916"/>
    <w:rsid w:val="00BF2425"/>
    <w:rsid w:val="00BF6C26"/>
    <w:rsid w:val="00C004C2"/>
    <w:rsid w:val="00C07070"/>
    <w:rsid w:val="00C11A34"/>
    <w:rsid w:val="00C12335"/>
    <w:rsid w:val="00C13F20"/>
    <w:rsid w:val="00C14E8A"/>
    <w:rsid w:val="00C23A5E"/>
    <w:rsid w:val="00C24D50"/>
    <w:rsid w:val="00C24F90"/>
    <w:rsid w:val="00C33710"/>
    <w:rsid w:val="00C35689"/>
    <w:rsid w:val="00C45011"/>
    <w:rsid w:val="00C5085E"/>
    <w:rsid w:val="00C510EE"/>
    <w:rsid w:val="00C518B9"/>
    <w:rsid w:val="00C708F3"/>
    <w:rsid w:val="00C71889"/>
    <w:rsid w:val="00C81B35"/>
    <w:rsid w:val="00C81CE1"/>
    <w:rsid w:val="00C82E2D"/>
    <w:rsid w:val="00C921B8"/>
    <w:rsid w:val="00C93200"/>
    <w:rsid w:val="00C9335C"/>
    <w:rsid w:val="00C97502"/>
    <w:rsid w:val="00CA0EFD"/>
    <w:rsid w:val="00CA0FF8"/>
    <w:rsid w:val="00CA1A7B"/>
    <w:rsid w:val="00CA2253"/>
    <w:rsid w:val="00CB30D8"/>
    <w:rsid w:val="00CC2196"/>
    <w:rsid w:val="00CC569E"/>
    <w:rsid w:val="00CC7BBC"/>
    <w:rsid w:val="00CD0A32"/>
    <w:rsid w:val="00CD4A62"/>
    <w:rsid w:val="00CD6F7D"/>
    <w:rsid w:val="00CE1ADB"/>
    <w:rsid w:val="00CE330A"/>
    <w:rsid w:val="00CE53F5"/>
    <w:rsid w:val="00CF0178"/>
    <w:rsid w:val="00CF3C7B"/>
    <w:rsid w:val="00CF784E"/>
    <w:rsid w:val="00D00000"/>
    <w:rsid w:val="00D0166B"/>
    <w:rsid w:val="00D03AA9"/>
    <w:rsid w:val="00D046DB"/>
    <w:rsid w:val="00D0598C"/>
    <w:rsid w:val="00D05B81"/>
    <w:rsid w:val="00D071F9"/>
    <w:rsid w:val="00D10919"/>
    <w:rsid w:val="00D140D8"/>
    <w:rsid w:val="00D17790"/>
    <w:rsid w:val="00D21AB7"/>
    <w:rsid w:val="00D23810"/>
    <w:rsid w:val="00D27BD9"/>
    <w:rsid w:val="00D34E47"/>
    <w:rsid w:val="00D365DB"/>
    <w:rsid w:val="00D36D6C"/>
    <w:rsid w:val="00D41E8F"/>
    <w:rsid w:val="00D4492B"/>
    <w:rsid w:val="00D47EAC"/>
    <w:rsid w:val="00D47F3F"/>
    <w:rsid w:val="00D50470"/>
    <w:rsid w:val="00D6261B"/>
    <w:rsid w:val="00D6534C"/>
    <w:rsid w:val="00D676F9"/>
    <w:rsid w:val="00D71505"/>
    <w:rsid w:val="00D77DE3"/>
    <w:rsid w:val="00D828A1"/>
    <w:rsid w:val="00D82A9C"/>
    <w:rsid w:val="00D85339"/>
    <w:rsid w:val="00D900E2"/>
    <w:rsid w:val="00D901DC"/>
    <w:rsid w:val="00D92F8D"/>
    <w:rsid w:val="00D95F3D"/>
    <w:rsid w:val="00DA0BB4"/>
    <w:rsid w:val="00DA33CB"/>
    <w:rsid w:val="00DA4432"/>
    <w:rsid w:val="00DA5AF2"/>
    <w:rsid w:val="00DA71D1"/>
    <w:rsid w:val="00DB79E0"/>
    <w:rsid w:val="00DC43E1"/>
    <w:rsid w:val="00DD1130"/>
    <w:rsid w:val="00DD13DC"/>
    <w:rsid w:val="00DD30D3"/>
    <w:rsid w:val="00DD34AF"/>
    <w:rsid w:val="00DD7B7E"/>
    <w:rsid w:val="00DE1F8C"/>
    <w:rsid w:val="00DE47DB"/>
    <w:rsid w:val="00DE48C5"/>
    <w:rsid w:val="00DF38CA"/>
    <w:rsid w:val="00E0418B"/>
    <w:rsid w:val="00E054F6"/>
    <w:rsid w:val="00E07514"/>
    <w:rsid w:val="00E104EA"/>
    <w:rsid w:val="00E13179"/>
    <w:rsid w:val="00E13948"/>
    <w:rsid w:val="00E13FEA"/>
    <w:rsid w:val="00E1518C"/>
    <w:rsid w:val="00E1657E"/>
    <w:rsid w:val="00E32E90"/>
    <w:rsid w:val="00E34579"/>
    <w:rsid w:val="00E34BD1"/>
    <w:rsid w:val="00E34CF4"/>
    <w:rsid w:val="00E367F9"/>
    <w:rsid w:val="00E37FF9"/>
    <w:rsid w:val="00E40349"/>
    <w:rsid w:val="00E42886"/>
    <w:rsid w:val="00E42D8F"/>
    <w:rsid w:val="00E5040F"/>
    <w:rsid w:val="00E54C54"/>
    <w:rsid w:val="00E56E9B"/>
    <w:rsid w:val="00E577A6"/>
    <w:rsid w:val="00E63991"/>
    <w:rsid w:val="00E66777"/>
    <w:rsid w:val="00E85985"/>
    <w:rsid w:val="00E86642"/>
    <w:rsid w:val="00E92B95"/>
    <w:rsid w:val="00E93BF2"/>
    <w:rsid w:val="00EA0FFB"/>
    <w:rsid w:val="00EA2729"/>
    <w:rsid w:val="00EB3DAB"/>
    <w:rsid w:val="00EC141C"/>
    <w:rsid w:val="00EC3A48"/>
    <w:rsid w:val="00ED196F"/>
    <w:rsid w:val="00ED588A"/>
    <w:rsid w:val="00ED79FA"/>
    <w:rsid w:val="00EE4199"/>
    <w:rsid w:val="00EE6B4D"/>
    <w:rsid w:val="00EF209A"/>
    <w:rsid w:val="00EF39D9"/>
    <w:rsid w:val="00F00B2C"/>
    <w:rsid w:val="00F03209"/>
    <w:rsid w:val="00F03990"/>
    <w:rsid w:val="00F076AB"/>
    <w:rsid w:val="00F12D56"/>
    <w:rsid w:val="00F16779"/>
    <w:rsid w:val="00F17866"/>
    <w:rsid w:val="00F207FE"/>
    <w:rsid w:val="00F20AA2"/>
    <w:rsid w:val="00F2102C"/>
    <w:rsid w:val="00F21586"/>
    <w:rsid w:val="00F237D5"/>
    <w:rsid w:val="00F26957"/>
    <w:rsid w:val="00F308B4"/>
    <w:rsid w:val="00F31D39"/>
    <w:rsid w:val="00F33250"/>
    <w:rsid w:val="00F34989"/>
    <w:rsid w:val="00F36FAA"/>
    <w:rsid w:val="00F3728C"/>
    <w:rsid w:val="00F401FC"/>
    <w:rsid w:val="00F502FF"/>
    <w:rsid w:val="00F51DF3"/>
    <w:rsid w:val="00F54F09"/>
    <w:rsid w:val="00F55A84"/>
    <w:rsid w:val="00F56DEF"/>
    <w:rsid w:val="00F625C3"/>
    <w:rsid w:val="00F65B99"/>
    <w:rsid w:val="00F66336"/>
    <w:rsid w:val="00F66716"/>
    <w:rsid w:val="00F66C20"/>
    <w:rsid w:val="00F6752C"/>
    <w:rsid w:val="00F722A7"/>
    <w:rsid w:val="00F7342D"/>
    <w:rsid w:val="00F902EB"/>
    <w:rsid w:val="00F9395F"/>
    <w:rsid w:val="00F943AC"/>
    <w:rsid w:val="00FA088B"/>
    <w:rsid w:val="00FA2954"/>
    <w:rsid w:val="00FA4374"/>
    <w:rsid w:val="00FA49AA"/>
    <w:rsid w:val="00FA693A"/>
    <w:rsid w:val="00FB06CE"/>
    <w:rsid w:val="00FB1958"/>
    <w:rsid w:val="00FB612B"/>
    <w:rsid w:val="00FC0149"/>
    <w:rsid w:val="00FC4EC1"/>
    <w:rsid w:val="00FD214F"/>
    <w:rsid w:val="00FD234E"/>
    <w:rsid w:val="00FD2F28"/>
    <w:rsid w:val="00FD5498"/>
    <w:rsid w:val="00FD67DD"/>
    <w:rsid w:val="00FE120B"/>
    <w:rsid w:val="00FE1385"/>
    <w:rsid w:val="00FE243F"/>
    <w:rsid w:val="00FE67EA"/>
    <w:rsid w:val="00FF2978"/>
    <w:rsid w:val="00FF29C7"/>
    <w:rsid w:val="00FF30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5437A"/>
  <w15:docId w15:val="{FA142B1D-C6F2-4C28-A556-F2740266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44"/>
    <w:pPr>
      <w:spacing w:after="0"/>
    </w:pPr>
    <w:rPr>
      <w:rFonts w:eastAsia="Times New Roman"/>
      <w:lang w:eastAsia="en-GB"/>
    </w:rPr>
  </w:style>
  <w:style w:type="paragraph" w:styleId="Heading1">
    <w:name w:val="heading 1"/>
    <w:basedOn w:val="Normal"/>
    <w:next w:val="Normal"/>
    <w:link w:val="Heading1Char"/>
    <w:uiPriority w:val="9"/>
    <w:qFormat/>
    <w:rsid w:val="00853466"/>
    <w:pPr>
      <w:keepNext/>
      <w:keepLines/>
      <w:spacing w:before="360" w:after="40" w:line="240" w:lineRule="auto"/>
      <w:outlineLvl w:val="0"/>
    </w:pPr>
    <w:rPr>
      <w:rFonts w:asciiTheme="majorHAnsi" w:hAnsiTheme="majorHAnsi" w:cstheme="majorBidi"/>
      <w:sz w:val="48"/>
      <w:szCs w:val="48"/>
    </w:rPr>
  </w:style>
  <w:style w:type="paragraph" w:styleId="Heading2">
    <w:name w:val="heading 2"/>
    <w:basedOn w:val="Normal"/>
    <w:next w:val="Normal"/>
    <w:link w:val="Heading2Char"/>
    <w:uiPriority w:val="9"/>
    <w:unhideWhenUsed/>
    <w:qFormat/>
    <w:rsid w:val="00853466"/>
    <w:pPr>
      <w:keepNext/>
      <w:keepLines/>
      <w:spacing w:before="80" w:after="240" w:line="240" w:lineRule="auto"/>
      <w:outlineLvl w:val="1"/>
    </w:pPr>
    <w:rPr>
      <w:rFonts w:cstheme="majorBidi"/>
      <w:b/>
      <w:sz w:val="30"/>
      <w:szCs w:val="30"/>
    </w:rPr>
  </w:style>
  <w:style w:type="paragraph" w:styleId="Heading3">
    <w:name w:val="heading 3"/>
    <w:basedOn w:val="Normal"/>
    <w:next w:val="Normal"/>
    <w:link w:val="Heading3Char"/>
    <w:uiPriority w:val="9"/>
    <w:unhideWhenUsed/>
    <w:qFormat/>
    <w:rsid w:val="00862983"/>
    <w:pPr>
      <w:keepNext/>
      <w:keepLines/>
      <w:spacing w:before="80" w:line="240" w:lineRule="auto"/>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853466"/>
    <w:pPr>
      <w:keepNext/>
      <w:keepLines/>
      <w:spacing w:before="80" w:after="240"/>
      <w:outlineLvl w:val="3"/>
    </w:pPr>
    <w:rPr>
      <w:rFonts w:asciiTheme="majorHAnsi" w:hAnsiTheme="majorHAnsi" w:cstheme="majorBidi"/>
      <w:sz w:val="26"/>
      <w:szCs w:val="26"/>
    </w:rPr>
  </w:style>
  <w:style w:type="paragraph" w:styleId="Heading5">
    <w:name w:val="heading 5"/>
    <w:basedOn w:val="Normal"/>
    <w:next w:val="Normal"/>
    <w:link w:val="Heading5Char"/>
    <w:uiPriority w:val="9"/>
    <w:unhideWhenUsed/>
    <w:qFormat/>
    <w:rsid w:val="00D00000"/>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00000"/>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00000"/>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00000"/>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00000"/>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66"/>
    <w:rPr>
      <w:rFonts w:asciiTheme="majorHAnsi" w:eastAsia="Times New Roman" w:hAnsiTheme="majorHAnsi" w:cstheme="majorBidi"/>
      <w:sz w:val="48"/>
      <w:szCs w:val="48"/>
      <w:lang w:eastAsia="en-GB"/>
    </w:rPr>
  </w:style>
  <w:style w:type="character" w:customStyle="1" w:styleId="Heading2Char">
    <w:name w:val="Heading 2 Char"/>
    <w:basedOn w:val="DefaultParagraphFont"/>
    <w:link w:val="Heading2"/>
    <w:uiPriority w:val="9"/>
    <w:rsid w:val="00853466"/>
    <w:rPr>
      <w:rFonts w:eastAsia="Times New Roman" w:cstheme="majorBidi"/>
      <w:b/>
      <w:sz w:val="30"/>
      <w:szCs w:val="30"/>
      <w:lang w:eastAsia="en-GB"/>
    </w:rPr>
  </w:style>
  <w:style w:type="character" w:customStyle="1" w:styleId="Heading3Char">
    <w:name w:val="Heading 3 Char"/>
    <w:basedOn w:val="DefaultParagraphFont"/>
    <w:link w:val="Heading3"/>
    <w:uiPriority w:val="9"/>
    <w:rsid w:val="00862983"/>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uiPriority w:val="9"/>
    <w:rsid w:val="00853466"/>
    <w:rPr>
      <w:rFonts w:asciiTheme="majorHAnsi" w:eastAsia="Times New Roman" w:hAnsiTheme="majorHAnsi" w:cstheme="majorBidi"/>
      <w:sz w:val="26"/>
      <w:szCs w:val="26"/>
      <w:lang w:eastAsia="en-GB"/>
    </w:rPr>
  </w:style>
  <w:style w:type="paragraph" w:styleId="NormalWeb">
    <w:name w:val="Normal (Web)"/>
    <w:basedOn w:val="Normal"/>
    <w:uiPriority w:val="99"/>
    <w:unhideWhenUsed/>
    <w:rsid w:val="00673D5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qFormat/>
    <w:rsid w:val="007F4724"/>
    <w:rPr>
      <w:rFonts w:ascii="Calibri" w:hAnsi="Calibri"/>
      <w:u w:val="single"/>
    </w:rPr>
  </w:style>
  <w:style w:type="character" w:customStyle="1" w:styleId="apple-tab-span">
    <w:name w:val="apple-tab-span"/>
    <w:basedOn w:val="DefaultParagraphFont"/>
    <w:rsid w:val="00673D50"/>
  </w:style>
  <w:style w:type="character" w:customStyle="1" w:styleId="Heading5Char">
    <w:name w:val="Heading 5 Char"/>
    <w:basedOn w:val="DefaultParagraphFont"/>
    <w:link w:val="Heading5"/>
    <w:uiPriority w:val="9"/>
    <w:rsid w:val="00D0000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0000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0000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0000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0000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00000"/>
    <w:pPr>
      <w:spacing w:line="240" w:lineRule="auto"/>
    </w:pPr>
    <w:rPr>
      <w:b/>
      <w:bCs/>
      <w:smallCaps/>
      <w:color w:val="595959" w:themeColor="text1" w:themeTint="A6"/>
    </w:rPr>
  </w:style>
  <w:style w:type="paragraph" w:styleId="Title">
    <w:name w:val="Title"/>
    <w:basedOn w:val="Normal"/>
    <w:next w:val="Normal"/>
    <w:link w:val="TitleChar"/>
    <w:uiPriority w:val="10"/>
    <w:qFormat/>
    <w:rsid w:val="00D00000"/>
    <w:pPr>
      <w:spacing w:line="240" w:lineRule="auto"/>
      <w:contextualSpacing/>
    </w:pPr>
    <w:rPr>
      <w:rFonts w:asciiTheme="majorHAnsi" w:hAnsiTheme="majorHAnsi" w:cstheme="majorBidi"/>
      <w:color w:val="262626" w:themeColor="text1" w:themeTint="D9"/>
      <w:spacing w:val="-15"/>
      <w:sz w:val="72"/>
      <w:szCs w:val="72"/>
    </w:rPr>
  </w:style>
  <w:style w:type="character" w:customStyle="1" w:styleId="TitleChar">
    <w:name w:val="Title Char"/>
    <w:basedOn w:val="DefaultParagraphFont"/>
    <w:link w:val="Title"/>
    <w:uiPriority w:val="10"/>
    <w:rsid w:val="00D00000"/>
    <w:rPr>
      <w:rFonts w:asciiTheme="majorHAnsi" w:eastAsia="Times New Roman" w:hAnsiTheme="majorHAnsi" w:cstheme="majorBidi"/>
      <w:color w:val="262626" w:themeColor="text1" w:themeTint="D9"/>
      <w:spacing w:val="-15"/>
      <w:sz w:val="72"/>
      <w:szCs w:val="72"/>
      <w:lang w:eastAsia="en-GB"/>
    </w:rPr>
  </w:style>
  <w:style w:type="paragraph" w:styleId="Subtitle">
    <w:name w:val="Subtitle"/>
    <w:basedOn w:val="Normal"/>
    <w:next w:val="Normal"/>
    <w:link w:val="SubtitleChar"/>
    <w:uiPriority w:val="11"/>
    <w:rsid w:val="00D0000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00000"/>
    <w:rPr>
      <w:rFonts w:asciiTheme="majorHAnsi" w:eastAsiaTheme="majorEastAsia" w:hAnsiTheme="majorHAnsi" w:cstheme="majorBidi"/>
      <w:sz w:val="30"/>
      <w:szCs w:val="30"/>
    </w:rPr>
  </w:style>
  <w:style w:type="character" w:styleId="Strong">
    <w:name w:val="Strong"/>
    <w:basedOn w:val="DefaultParagraphFont"/>
    <w:uiPriority w:val="22"/>
    <w:rsid w:val="00D00000"/>
    <w:rPr>
      <w:b/>
      <w:bCs/>
    </w:rPr>
  </w:style>
  <w:style w:type="character" w:styleId="Emphasis">
    <w:name w:val="Emphasis"/>
    <w:basedOn w:val="DefaultParagraphFont"/>
    <w:uiPriority w:val="20"/>
    <w:qFormat/>
    <w:rsid w:val="00D00000"/>
    <w:rPr>
      <w:i/>
      <w:iCs/>
      <w:color w:val="70AD47" w:themeColor="accent6"/>
    </w:rPr>
  </w:style>
  <w:style w:type="paragraph" w:styleId="NoSpacing">
    <w:name w:val="No Spacing"/>
    <w:uiPriority w:val="1"/>
    <w:qFormat/>
    <w:rsid w:val="00D00000"/>
    <w:pPr>
      <w:spacing w:after="0" w:line="240" w:lineRule="auto"/>
    </w:pPr>
  </w:style>
  <w:style w:type="paragraph" w:styleId="Quote">
    <w:name w:val="Quote"/>
    <w:basedOn w:val="Normal"/>
    <w:next w:val="Normal"/>
    <w:link w:val="QuoteChar"/>
    <w:uiPriority w:val="29"/>
    <w:qFormat/>
    <w:rsid w:val="00D0000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00000"/>
    <w:rPr>
      <w:i/>
      <w:iCs/>
      <w:color w:val="262626" w:themeColor="text1" w:themeTint="D9"/>
    </w:rPr>
  </w:style>
  <w:style w:type="paragraph" w:styleId="IntenseQuote">
    <w:name w:val="Intense Quote"/>
    <w:basedOn w:val="Normal"/>
    <w:next w:val="Normal"/>
    <w:link w:val="IntenseQuoteChar"/>
    <w:uiPriority w:val="30"/>
    <w:qFormat/>
    <w:rsid w:val="00D0000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0000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rsid w:val="00D00000"/>
    <w:rPr>
      <w:i/>
      <w:iCs/>
    </w:rPr>
  </w:style>
  <w:style w:type="character" w:styleId="IntenseEmphasis">
    <w:name w:val="Intense Emphasis"/>
    <w:basedOn w:val="DefaultParagraphFont"/>
    <w:uiPriority w:val="21"/>
    <w:rsid w:val="00D00000"/>
    <w:rPr>
      <w:b/>
      <w:bCs/>
      <w:i/>
      <w:iCs/>
    </w:rPr>
  </w:style>
  <w:style w:type="character" w:styleId="SubtleReference">
    <w:name w:val="Subtle Reference"/>
    <w:basedOn w:val="DefaultParagraphFont"/>
    <w:uiPriority w:val="31"/>
    <w:qFormat/>
    <w:rsid w:val="00D00000"/>
    <w:rPr>
      <w:smallCaps/>
      <w:color w:val="595959" w:themeColor="text1" w:themeTint="A6"/>
    </w:rPr>
  </w:style>
  <w:style w:type="character" w:styleId="IntenseReference">
    <w:name w:val="Intense Reference"/>
    <w:basedOn w:val="DefaultParagraphFont"/>
    <w:uiPriority w:val="32"/>
    <w:qFormat/>
    <w:rsid w:val="00D00000"/>
    <w:rPr>
      <w:b/>
      <w:bCs/>
      <w:smallCaps/>
      <w:color w:val="70AD47" w:themeColor="accent6"/>
    </w:rPr>
  </w:style>
  <w:style w:type="character" w:styleId="BookTitle">
    <w:name w:val="Book Title"/>
    <w:basedOn w:val="DefaultParagraphFont"/>
    <w:uiPriority w:val="33"/>
    <w:rsid w:val="00D00000"/>
    <w:rPr>
      <w:b/>
      <w:bCs/>
      <w:caps w:val="0"/>
      <w:smallCaps/>
      <w:spacing w:val="7"/>
      <w:sz w:val="21"/>
      <w:szCs w:val="21"/>
    </w:rPr>
  </w:style>
  <w:style w:type="paragraph" w:styleId="TOCHeading">
    <w:name w:val="TOC Heading"/>
    <w:basedOn w:val="Heading1"/>
    <w:next w:val="Normal"/>
    <w:uiPriority w:val="39"/>
    <w:semiHidden/>
    <w:unhideWhenUsed/>
    <w:qFormat/>
    <w:rsid w:val="00D00000"/>
    <w:pPr>
      <w:outlineLvl w:val="9"/>
    </w:pPr>
  </w:style>
  <w:style w:type="character" w:styleId="FollowedHyperlink">
    <w:name w:val="FollowedHyperlink"/>
    <w:basedOn w:val="DefaultParagraphFont"/>
    <w:uiPriority w:val="99"/>
    <w:semiHidden/>
    <w:unhideWhenUsed/>
    <w:rsid w:val="00686A7B"/>
    <w:rPr>
      <w:color w:val="954F72" w:themeColor="followedHyperlink"/>
      <w:u w:val="single"/>
    </w:rPr>
  </w:style>
  <w:style w:type="paragraph" w:styleId="ListParagraph">
    <w:name w:val="List Paragraph"/>
    <w:basedOn w:val="Normal"/>
    <w:uiPriority w:val="34"/>
    <w:qFormat/>
    <w:rsid w:val="00686A7B"/>
    <w:pPr>
      <w:ind w:left="720"/>
      <w:contextualSpacing/>
    </w:pPr>
  </w:style>
  <w:style w:type="paragraph" w:styleId="BalloonText">
    <w:name w:val="Balloon Text"/>
    <w:basedOn w:val="Normal"/>
    <w:link w:val="BalloonTextChar"/>
    <w:uiPriority w:val="99"/>
    <w:semiHidden/>
    <w:unhideWhenUsed/>
    <w:rsid w:val="00FA08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8B"/>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35FE7"/>
    <w:rPr>
      <w:sz w:val="16"/>
      <w:szCs w:val="16"/>
    </w:rPr>
  </w:style>
  <w:style w:type="paragraph" w:styleId="CommentText">
    <w:name w:val="annotation text"/>
    <w:basedOn w:val="Normal"/>
    <w:link w:val="CommentTextChar"/>
    <w:uiPriority w:val="99"/>
    <w:unhideWhenUsed/>
    <w:rsid w:val="00335FE7"/>
    <w:pPr>
      <w:spacing w:line="240" w:lineRule="auto"/>
    </w:pPr>
    <w:rPr>
      <w:sz w:val="20"/>
      <w:szCs w:val="20"/>
    </w:rPr>
  </w:style>
  <w:style w:type="character" w:customStyle="1" w:styleId="CommentTextChar">
    <w:name w:val="Comment Text Char"/>
    <w:basedOn w:val="DefaultParagraphFont"/>
    <w:link w:val="CommentText"/>
    <w:uiPriority w:val="99"/>
    <w:rsid w:val="00335FE7"/>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FE7"/>
    <w:rPr>
      <w:b/>
      <w:bCs/>
    </w:rPr>
  </w:style>
  <w:style w:type="character" w:customStyle="1" w:styleId="CommentSubjectChar">
    <w:name w:val="Comment Subject Char"/>
    <w:basedOn w:val="CommentTextChar"/>
    <w:link w:val="CommentSubject"/>
    <w:uiPriority w:val="99"/>
    <w:semiHidden/>
    <w:rsid w:val="00335FE7"/>
    <w:rPr>
      <w:rFonts w:eastAsia="Times New Roman"/>
      <w:b/>
      <w:bCs/>
      <w:sz w:val="20"/>
      <w:szCs w:val="20"/>
      <w:lang w:eastAsia="en-GB"/>
    </w:rPr>
  </w:style>
  <w:style w:type="paragraph" w:customStyle="1" w:styleId="FigureTableHeader">
    <w:name w:val="Figure/Table Header"/>
    <w:basedOn w:val="Normal"/>
    <w:link w:val="FigureTableHeaderChar"/>
    <w:qFormat/>
    <w:rsid w:val="009E34F9"/>
    <w:pPr>
      <w:keepNext/>
    </w:pPr>
    <w:rPr>
      <w:i/>
    </w:rPr>
  </w:style>
  <w:style w:type="character" w:customStyle="1" w:styleId="FigureTableHeaderChar">
    <w:name w:val="Figure/Table Header Char"/>
    <w:basedOn w:val="DefaultParagraphFont"/>
    <w:link w:val="FigureTableHeader"/>
    <w:rsid w:val="009E34F9"/>
    <w:rPr>
      <w:rFonts w:eastAsia="Times New Roman"/>
      <w:i/>
      <w:lang w:eastAsia="en-GB"/>
    </w:rPr>
  </w:style>
  <w:style w:type="table" w:styleId="TableGrid">
    <w:name w:val="Table Grid"/>
    <w:basedOn w:val="TableNormal"/>
    <w:uiPriority w:val="39"/>
    <w:rsid w:val="0091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790"/>
    <w:pPr>
      <w:spacing w:after="0" w:line="240" w:lineRule="auto"/>
    </w:pPr>
    <w:rPr>
      <w:rFonts w:eastAsia="Times New Roman"/>
      <w:lang w:eastAsia="en-GB"/>
    </w:rPr>
  </w:style>
  <w:style w:type="paragraph" w:styleId="Header">
    <w:name w:val="header"/>
    <w:basedOn w:val="Normal"/>
    <w:link w:val="HeaderChar"/>
    <w:uiPriority w:val="99"/>
    <w:unhideWhenUsed/>
    <w:rsid w:val="00D0598C"/>
    <w:pPr>
      <w:tabs>
        <w:tab w:val="center" w:pos="4513"/>
        <w:tab w:val="right" w:pos="9026"/>
      </w:tabs>
      <w:spacing w:line="240" w:lineRule="auto"/>
    </w:pPr>
  </w:style>
  <w:style w:type="character" w:customStyle="1" w:styleId="HeaderChar">
    <w:name w:val="Header Char"/>
    <w:basedOn w:val="DefaultParagraphFont"/>
    <w:link w:val="Header"/>
    <w:uiPriority w:val="99"/>
    <w:rsid w:val="00D0598C"/>
    <w:rPr>
      <w:rFonts w:eastAsia="Times New Roman"/>
      <w:lang w:eastAsia="en-GB"/>
    </w:rPr>
  </w:style>
  <w:style w:type="paragraph" w:styleId="Footer">
    <w:name w:val="footer"/>
    <w:basedOn w:val="Normal"/>
    <w:link w:val="FooterChar"/>
    <w:uiPriority w:val="99"/>
    <w:unhideWhenUsed/>
    <w:rsid w:val="00D0598C"/>
    <w:pPr>
      <w:tabs>
        <w:tab w:val="center" w:pos="4513"/>
        <w:tab w:val="right" w:pos="9026"/>
      </w:tabs>
      <w:spacing w:line="240" w:lineRule="auto"/>
    </w:pPr>
  </w:style>
  <w:style w:type="character" w:customStyle="1" w:styleId="FooterChar">
    <w:name w:val="Footer Char"/>
    <w:basedOn w:val="DefaultParagraphFont"/>
    <w:link w:val="Footer"/>
    <w:uiPriority w:val="99"/>
    <w:rsid w:val="00D0598C"/>
    <w:rPr>
      <w:rFonts w:eastAsia="Times New Roman"/>
      <w:lang w:eastAsia="en-GB"/>
    </w:rPr>
  </w:style>
  <w:style w:type="paragraph" w:styleId="FootnoteText">
    <w:name w:val="footnote text"/>
    <w:basedOn w:val="Normal"/>
    <w:link w:val="FootnoteTextChar"/>
    <w:uiPriority w:val="99"/>
    <w:semiHidden/>
    <w:unhideWhenUsed/>
    <w:rsid w:val="000C0228"/>
    <w:pPr>
      <w:spacing w:line="240" w:lineRule="auto"/>
    </w:pPr>
    <w:rPr>
      <w:sz w:val="20"/>
      <w:szCs w:val="20"/>
    </w:rPr>
  </w:style>
  <w:style w:type="character" w:customStyle="1" w:styleId="FootnoteTextChar">
    <w:name w:val="Footnote Text Char"/>
    <w:basedOn w:val="DefaultParagraphFont"/>
    <w:link w:val="FootnoteText"/>
    <w:uiPriority w:val="99"/>
    <w:semiHidden/>
    <w:rsid w:val="000C0228"/>
    <w:rPr>
      <w:rFonts w:eastAsia="Times New Roman"/>
      <w:sz w:val="20"/>
      <w:szCs w:val="20"/>
      <w:lang w:eastAsia="en-GB"/>
    </w:rPr>
  </w:style>
  <w:style w:type="character" w:styleId="FootnoteReference">
    <w:name w:val="footnote reference"/>
    <w:basedOn w:val="DefaultParagraphFont"/>
    <w:uiPriority w:val="99"/>
    <w:semiHidden/>
    <w:unhideWhenUsed/>
    <w:rsid w:val="000C0228"/>
    <w:rPr>
      <w:vertAlign w:val="superscript"/>
    </w:rPr>
  </w:style>
  <w:style w:type="paragraph" w:customStyle="1" w:styleId="people-list">
    <w:name w:val="people-list"/>
    <w:basedOn w:val="Normal"/>
    <w:rsid w:val="0081708F"/>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06204"/>
    <w:rPr>
      <w:color w:val="808080"/>
      <w:shd w:val="clear" w:color="auto" w:fill="E6E6E6"/>
    </w:rPr>
  </w:style>
  <w:style w:type="character" w:customStyle="1" w:styleId="UnresolvedMention">
    <w:name w:val="Unresolved Mention"/>
    <w:basedOn w:val="DefaultParagraphFont"/>
    <w:uiPriority w:val="99"/>
    <w:semiHidden/>
    <w:unhideWhenUsed/>
    <w:rsid w:val="00083B27"/>
    <w:rPr>
      <w:color w:val="808080"/>
      <w:shd w:val="clear" w:color="auto" w:fill="E6E6E6"/>
    </w:rPr>
  </w:style>
  <w:style w:type="character" w:styleId="LineNumber">
    <w:name w:val="line number"/>
    <w:basedOn w:val="DefaultParagraphFont"/>
    <w:uiPriority w:val="99"/>
    <w:semiHidden/>
    <w:unhideWhenUsed/>
    <w:rsid w:val="007F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6928">
      <w:bodyDiv w:val="1"/>
      <w:marLeft w:val="0"/>
      <w:marRight w:val="0"/>
      <w:marTop w:val="0"/>
      <w:marBottom w:val="0"/>
      <w:divBdr>
        <w:top w:val="none" w:sz="0" w:space="0" w:color="auto"/>
        <w:left w:val="none" w:sz="0" w:space="0" w:color="auto"/>
        <w:bottom w:val="none" w:sz="0" w:space="0" w:color="auto"/>
        <w:right w:val="none" w:sz="0" w:space="0" w:color="auto"/>
      </w:divBdr>
    </w:div>
    <w:div w:id="23948638">
      <w:bodyDiv w:val="1"/>
      <w:marLeft w:val="0"/>
      <w:marRight w:val="0"/>
      <w:marTop w:val="0"/>
      <w:marBottom w:val="0"/>
      <w:divBdr>
        <w:top w:val="none" w:sz="0" w:space="0" w:color="auto"/>
        <w:left w:val="none" w:sz="0" w:space="0" w:color="auto"/>
        <w:bottom w:val="none" w:sz="0" w:space="0" w:color="auto"/>
        <w:right w:val="none" w:sz="0" w:space="0" w:color="auto"/>
      </w:divBdr>
    </w:div>
    <w:div w:id="23992431">
      <w:bodyDiv w:val="1"/>
      <w:marLeft w:val="0"/>
      <w:marRight w:val="0"/>
      <w:marTop w:val="0"/>
      <w:marBottom w:val="0"/>
      <w:divBdr>
        <w:top w:val="none" w:sz="0" w:space="0" w:color="auto"/>
        <w:left w:val="none" w:sz="0" w:space="0" w:color="auto"/>
        <w:bottom w:val="none" w:sz="0" w:space="0" w:color="auto"/>
        <w:right w:val="none" w:sz="0" w:space="0" w:color="auto"/>
      </w:divBdr>
    </w:div>
    <w:div w:id="28335324">
      <w:bodyDiv w:val="1"/>
      <w:marLeft w:val="0"/>
      <w:marRight w:val="0"/>
      <w:marTop w:val="0"/>
      <w:marBottom w:val="0"/>
      <w:divBdr>
        <w:top w:val="none" w:sz="0" w:space="0" w:color="auto"/>
        <w:left w:val="none" w:sz="0" w:space="0" w:color="auto"/>
        <w:bottom w:val="none" w:sz="0" w:space="0" w:color="auto"/>
        <w:right w:val="none" w:sz="0" w:space="0" w:color="auto"/>
      </w:divBdr>
      <w:divsChild>
        <w:div w:id="59329905">
          <w:marLeft w:val="0"/>
          <w:marRight w:val="0"/>
          <w:marTop w:val="0"/>
          <w:marBottom w:val="300"/>
          <w:divBdr>
            <w:top w:val="single" w:sz="6" w:space="0" w:color="E9E9E9"/>
            <w:left w:val="single" w:sz="6" w:space="0" w:color="E9E9E9"/>
            <w:bottom w:val="single" w:sz="6" w:space="0" w:color="E9E9E9"/>
            <w:right w:val="single" w:sz="6" w:space="0" w:color="E9E9E9"/>
          </w:divBdr>
          <w:divsChild>
            <w:div w:id="2045792355">
              <w:marLeft w:val="0"/>
              <w:marRight w:val="0"/>
              <w:marTop w:val="0"/>
              <w:marBottom w:val="0"/>
              <w:divBdr>
                <w:top w:val="none" w:sz="0" w:space="0" w:color="auto"/>
                <w:left w:val="none" w:sz="0" w:space="0" w:color="auto"/>
                <w:bottom w:val="single" w:sz="6" w:space="8" w:color="E9E9E9"/>
                <w:right w:val="none" w:sz="0" w:space="0" w:color="auto"/>
              </w:divBdr>
            </w:div>
          </w:divsChild>
        </w:div>
        <w:div w:id="150491403">
          <w:marLeft w:val="0"/>
          <w:marRight w:val="0"/>
          <w:marTop w:val="0"/>
          <w:marBottom w:val="300"/>
          <w:divBdr>
            <w:top w:val="single" w:sz="6" w:space="0" w:color="E9E9E9"/>
            <w:left w:val="single" w:sz="6" w:space="0" w:color="E9E9E9"/>
            <w:bottom w:val="single" w:sz="6" w:space="0" w:color="E9E9E9"/>
            <w:right w:val="single" w:sz="6" w:space="0" w:color="E9E9E9"/>
          </w:divBdr>
          <w:divsChild>
            <w:div w:id="436097188">
              <w:marLeft w:val="0"/>
              <w:marRight w:val="0"/>
              <w:marTop w:val="0"/>
              <w:marBottom w:val="0"/>
              <w:divBdr>
                <w:top w:val="none" w:sz="0" w:space="0" w:color="auto"/>
                <w:left w:val="none" w:sz="0" w:space="0" w:color="auto"/>
                <w:bottom w:val="single" w:sz="6" w:space="8" w:color="E9E9E9"/>
                <w:right w:val="none" w:sz="0" w:space="0" w:color="auto"/>
              </w:divBdr>
            </w:div>
            <w:div w:id="1338582372">
              <w:marLeft w:val="0"/>
              <w:marRight w:val="0"/>
              <w:marTop w:val="0"/>
              <w:marBottom w:val="0"/>
              <w:divBdr>
                <w:top w:val="none" w:sz="0" w:space="0" w:color="auto"/>
                <w:left w:val="none" w:sz="0" w:space="0" w:color="auto"/>
                <w:bottom w:val="none" w:sz="0" w:space="0" w:color="auto"/>
                <w:right w:val="none" w:sz="0" w:space="0" w:color="auto"/>
              </w:divBdr>
              <w:divsChild>
                <w:div w:id="8293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1189">
          <w:marLeft w:val="0"/>
          <w:marRight w:val="0"/>
          <w:marTop w:val="0"/>
          <w:marBottom w:val="300"/>
          <w:divBdr>
            <w:top w:val="single" w:sz="6" w:space="0" w:color="E9E9E9"/>
            <w:left w:val="single" w:sz="6" w:space="0" w:color="E9E9E9"/>
            <w:bottom w:val="single" w:sz="6" w:space="0" w:color="E9E9E9"/>
            <w:right w:val="single" w:sz="6" w:space="0" w:color="E9E9E9"/>
          </w:divBdr>
          <w:divsChild>
            <w:div w:id="610013561">
              <w:marLeft w:val="0"/>
              <w:marRight w:val="0"/>
              <w:marTop w:val="0"/>
              <w:marBottom w:val="0"/>
              <w:divBdr>
                <w:top w:val="none" w:sz="0" w:space="0" w:color="auto"/>
                <w:left w:val="none" w:sz="0" w:space="0" w:color="auto"/>
                <w:bottom w:val="single" w:sz="6" w:space="8" w:color="E9E9E9"/>
                <w:right w:val="none" w:sz="0" w:space="0" w:color="auto"/>
              </w:divBdr>
            </w:div>
            <w:div w:id="868833415">
              <w:marLeft w:val="0"/>
              <w:marRight w:val="0"/>
              <w:marTop w:val="0"/>
              <w:marBottom w:val="0"/>
              <w:divBdr>
                <w:top w:val="none" w:sz="0" w:space="0" w:color="auto"/>
                <w:left w:val="none" w:sz="0" w:space="0" w:color="auto"/>
                <w:bottom w:val="none" w:sz="0" w:space="0" w:color="auto"/>
                <w:right w:val="none" w:sz="0" w:space="0" w:color="auto"/>
              </w:divBdr>
              <w:divsChild>
                <w:div w:id="16724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9243">
      <w:bodyDiv w:val="1"/>
      <w:marLeft w:val="0"/>
      <w:marRight w:val="0"/>
      <w:marTop w:val="0"/>
      <w:marBottom w:val="0"/>
      <w:divBdr>
        <w:top w:val="none" w:sz="0" w:space="0" w:color="auto"/>
        <w:left w:val="none" w:sz="0" w:space="0" w:color="auto"/>
        <w:bottom w:val="none" w:sz="0" w:space="0" w:color="auto"/>
        <w:right w:val="none" w:sz="0" w:space="0" w:color="auto"/>
      </w:divBdr>
    </w:div>
    <w:div w:id="71398337">
      <w:bodyDiv w:val="1"/>
      <w:marLeft w:val="0"/>
      <w:marRight w:val="0"/>
      <w:marTop w:val="0"/>
      <w:marBottom w:val="0"/>
      <w:divBdr>
        <w:top w:val="none" w:sz="0" w:space="0" w:color="auto"/>
        <w:left w:val="none" w:sz="0" w:space="0" w:color="auto"/>
        <w:bottom w:val="none" w:sz="0" w:space="0" w:color="auto"/>
        <w:right w:val="none" w:sz="0" w:space="0" w:color="auto"/>
      </w:divBdr>
    </w:div>
    <w:div w:id="96101057">
      <w:bodyDiv w:val="1"/>
      <w:marLeft w:val="0"/>
      <w:marRight w:val="0"/>
      <w:marTop w:val="0"/>
      <w:marBottom w:val="0"/>
      <w:divBdr>
        <w:top w:val="none" w:sz="0" w:space="0" w:color="auto"/>
        <w:left w:val="none" w:sz="0" w:space="0" w:color="auto"/>
        <w:bottom w:val="none" w:sz="0" w:space="0" w:color="auto"/>
        <w:right w:val="none" w:sz="0" w:space="0" w:color="auto"/>
      </w:divBdr>
    </w:div>
    <w:div w:id="140541237">
      <w:bodyDiv w:val="1"/>
      <w:marLeft w:val="0"/>
      <w:marRight w:val="0"/>
      <w:marTop w:val="0"/>
      <w:marBottom w:val="0"/>
      <w:divBdr>
        <w:top w:val="none" w:sz="0" w:space="0" w:color="auto"/>
        <w:left w:val="none" w:sz="0" w:space="0" w:color="auto"/>
        <w:bottom w:val="none" w:sz="0" w:space="0" w:color="auto"/>
        <w:right w:val="none" w:sz="0" w:space="0" w:color="auto"/>
      </w:divBdr>
      <w:divsChild>
        <w:div w:id="1088815645">
          <w:marLeft w:val="0"/>
          <w:marRight w:val="0"/>
          <w:marTop w:val="0"/>
          <w:marBottom w:val="300"/>
          <w:divBdr>
            <w:top w:val="single" w:sz="6" w:space="0" w:color="E9E9E9"/>
            <w:left w:val="single" w:sz="6" w:space="0" w:color="E9E9E9"/>
            <w:bottom w:val="single" w:sz="6" w:space="0" w:color="E9E9E9"/>
            <w:right w:val="single" w:sz="6" w:space="0" w:color="E9E9E9"/>
          </w:divBdr>
          <w:divsChild>
            <w:div w:id="1809127974">
              <w:marLeft w:val="0"/>
              <w:marRight w:val="0"/>
              <w:marTop w:val="0"/>
              <w:marBottom w:val="0"/>
              <w:divBdr>
                <w:top w:val="none" w:sz="0" w:space="0" w:color="auto"/>
                <w:left w:val="none" w:sz="0" w:space="0" w:color="auto"/>
                <w:bottom w:val="single" w:sz="6" w:space="8" w:color="E9E9E9"/>
                <w:right w:val="none" w:sz="0" w:space="0" w:color="auto"/>
              </w:divBdr>
            </w:div>
          </w:divsChild>
        </w:div>
        <w:div w:id="1224490718">
          <w:marLeft w:val="0"/>
          <w:marRight w:val="0"/>
          <w:marTop w:val="0"/>
          <w:marBottom w:val="300"/>
          <w:divBdr>
            <w:top w:val="single" w:sz="6" w:space="0" w:color="E9E9E9"/>
            <w:left w:val="single" w:sz="6" w:space="0" w:color="E9E9E9"/>
            <w:bottom w:val="single" w:sz="6" w:space="0" w:color="E9E9E9"/>
            <w:right w:val="single" w:sz="6" w:space="0" w:color="E9E9E9"/>
          </w:divBdr>
          <w:divsChild>
            <w:div w:id="373697307">
              <w:marLeft w:val="0"/>
              <w:marRight w:val="0"/>
              <w:marTop w:val="0"/>
              <w:marBottom w:val="0"/>
              <w:divBdr>
                <w:top w:val="none" w:sz="0" w:space="0" w:color="auto"/>
                <w:left w:val="none" w:sz="0" w:space="0" w:color="auto"/>
                <w:bottom w:val="none" w:sz="0" w:space="0" w:color="auto"/>
                <w:right w:val="none" w:sz="0" w:space="0" w:color="auto"/>
              </w:divBdr>
              <w:divsChild>
                <w:div w:id="1306201973">
                  <w:marLeft w:val="0"/>
                  <w:marRight w:val="0"/>
                  <w:marTop w:val="0"/>
                  <w:marBottom w:val="0"/>
                  <w:divBdr>
                    <w:top w:val="none" w:sz="0" w:space="0" w:color="auto"/>
                    <w:left w:val="none" w:sz="0" w:space="0" w:color="auto"/>
                    <w:bottom w:val="none" w:sz="0" w:space="0" w:color="auto"/>
                    <w:right w:val="none" w:sz="0" w:space="0" w:color="auto"/>
                  </w:divBdr>
                </w:div>
              </w:divsChild>
            </w:div>
            <w:div w:id="1778021205">
              <w:marLeft w:val="0"/>
              <w:marRight w:val="0"/>
              <w:marTop w:val="0"/>
              <w:marBottom w:val="0"/>
              <w:divBdr>
                <w:top w:val="none" w:sz="0" w:space="0" w:color="auto"/>
                <w:left w:val="none" w:sz="0" w:space="0" w:color="auto"/>
                <w:bottom w:val="single" w:sz="6" w:space="8" w:color="E9E9E9"/>
                <w:right w:val="none" w:sz="0" w:space="0" w:color="auto"/>
              </w:divBdr>
            </w:div>
          </w:divsChild>
        </w:div>
        <w:div w:id="1392923229">
          <w:marLeft w:val="0"/>
          <w:marRight w:val="0"/>
          <w:marTop w:val="0"/>
          <w:marBottom w:val="300"/>
          <w:divBdr>
            <w:top w:val="single" w:sz="6" w:space="0" w:color="E9E9E9"/>
            <w:left w:val="single" w:sz="6" w:space="0" w:color="E9E9E9"/>
            <w:bottom w:val="single" w:sz="6" w:space="0" w:color="E9E9E9"/>
            <w:right w:val="single" w:sz="6" w:space="0" w:color="E9E9E9"/>
          </w:divBdr>
          <w:divsChild>
            <w:div w:id="1055005090">
              <w:marLeft w:val="0"/>
              <w:marRight w:val="0"/>
              <w:marTop w:val="0"/>
              <w:marBottom w:val="0"/>
              <w:divBdr>
                <w:top w:val="none" w:sz="0" w:space="0" w:color="auto"/>
                <w:left w:val="none" w:sz="0" w:space="0" w:color="auto"/>
                <w:bottom w:val="single" w:sz="6" w:space="8" w:color="E9E9E9"/>
                <w:right w:val="none" w:sz="0" w:space="0" w:color="auto"/>
              </w:divBdr>
            </w:div>
            <w:div w:id="1591891582">
              <w:marLeft w:val="0"/>
              <w:marRight w:val="0"/>
              <w:marTop w:val="0"/>
              <w:marBottom w:val="0"/>
              <w:divBdr>
                <w:top w:val="none" w:sz="0" w:space="0" w:color="auto"/>
                <w:left w:val="none" w:sz="0" w:space="0" w:color="auto"/>
                <w:bottom w:val="none" w:sz="0" w:space="0" w:color="auto"/>
                <w:right w:val="none" w:sz="0" w:space="0" w:color="auto"/>
              </w:divBdr>
              <w:divsChild>
                <w:div w:id="5659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7323">
      <w:bodyDiv w:val="1"/>
      <w:marLeft w:val="0"/>
      <w:marRight w:val="0"/>
      <w:marTop w:val="0"/>
      <w:marBottom w:val="0"/>
      <w:divBdr>
        <w:top w:val="none" w:sz="0" w:space="0" w:color="auto"/>
        <w:left w:val="none" w:sz="0" w:space="0" w:color="auto"/>
        <w:bottom w:val="none" w:sz="0" w:space="0" w:color="auto"/>
        <w:right w:val="none" w:sz="0" w:space="0" w:color="auto"/>
      </w:divBdr>
    </w:div>
    <w:div w:id="163325773">
      <w:bodyDiv w:val="1"/>
      <w:marLeft w:val="0"/>
      <w:marRight w:val="0"/>
      <w:marTop w:val="0"/>
      <w:marBottom w:val="0"/>
      <w:divBdr>
        <w:top w:val="none" w:sz="0" w:space="0" w:color="auto"/>
        <w:left w:val="none" w:sz="0" w:space="0" w:color="auto"/>
        <w:bottom w:val="none" w:sz="0" w:space="0" w:color="auto"/>
        <w:right w:val="none" w:sz="0" w:space="0" w:color="auto"/>
      </w:divBdr>
    </w:div>
    <w:div w:id="178737717">
      <w:bodyDiv w:val="1"/>
      <w:marLeft w:val="0"/>
      <w:marRight w:val="0"/>
      <w:marTop w:val="0"/>
      <w:marBottom w:val="0"/>
      <w:divBdr>
        <w:top w:val="none" w:sz="0" w:space="0" w:color="auto"/>
        <w:left w:val="none" w:sz="0" w:space="0" w:color="auto"/>
        <w:bottom w:val="none" w:sz="0" w:space="0" w:color="auto"/>
        <w:right w:val="none" w:sz="0" w:space="0" w:color="auto"/>
      </w:divBdr>
    </w:div>
    <w:div w:id="292175053">
      <w:bodyDiv w:val="1"/>
      <w:marLeft w:val="0"/>
      <w:marRight w:val="0"/>
      <w:marTop w:val="0"/>
      <w:marBottom w:val="0"/>
      <w:divBdr>
        <w:top w:val="none" w:sz="0" w:space="0" w:color="auto"/>
        <w:left w:val="none" w:sz="0" w:space="0" w:color="auto"/>
        <w:bottom w:val="none" w:sz="0" w:space="0" w:color="auto"/>
        <w:right w:val="none" w:sz="0" w:space="0" w:color="auto"/>
      </w:divBdr>
    </w:div>
    <w:div w:id="295530806">
      <w:bodyDiv w:val="1"/>
      <w:marLeft w:val="0"/>
      <w:marRight w:val="0"/>
      <w:marTop w:val="0"/>
      <w:marBottom w:val="0"/>
      <w:divBdr>
        <w:top w:val="none" w:sz="0" w:space="0" w:color="auto"/>
        <w:left w:val="none" w:sz="0" w:space="0" w:color="auto"/>
        <w:bottom w:val="none" w:sz="0" w:space="0" w:color="auto"/>
        <w:right w:val="none" w:sz="0" w:space="0" w:color="auto"/>
      </w:divBdr>
    </w:div>
    <w:div w:id="321087594">
      <w:bodyDiv w:val="1"/>
      <w:marLeft w:val="0"/>
      <w:marRight w:val="0"/>
      <w:marTop w:val="0"/>
      <w:marBottom w:val="0"/>
      <w:divBdr>
        <w:top w:val="none" w:sz="0" w:space="0" w:color="auto"/>
        <w:left w:val="none" w:sz="0" w:space="0" w:color="auto"/>
        <w:bottom w:val="none" w:sz="0" w:space="0" w:color="auto"/>
        <w:right w:val="none" w:sz="0" w:space="0" w:color="auto"/>
      </w:divBdr>
    </w:div>
    <w:div w:id="374886764">
      <w:bodyDiv w:val="1"/>
      <w:marLeft w:val="0"/>
      <w:marRight w:val="0"/>
      <w:marTop w:val="0"/>
      <w:marBottom w:val="0"/>
      <w:divBdr>
        <w:top w:val="none" w:sz="0" w:space="0" w:color="auto"/>
        <w:left w:val="none" w:sz="0" w:space="0" w:color="auto"/>
        <w:bottom w:val="none" w:sz="0" w:space="0" w:color="auto"/>
        <w:right w:val="none" w:sz="0" w:space="0" w:color="auto"/>
      </w:divBdr>
      <w:divsChild>
        <w:div w:id="40834418">
          <w:marLeft w:val="0"/>
          <w:marRight w:val="0"/>
          <w:marTop w:val="0"/>
          <w:marBottom w:val="300"/>
          <w:divBdr>
            <w:top w:val="single" w:sz="6" w:space="0" w:color="E9E9E9"/>
            <w:left w:val="single" w:sz="6" w:space="0" w:color="E9E9E9"/>
            <w:bottom w:val="single" w:sz="6" w:space="0" w:color="E9E9E9"/>
            <w:right w:val="single" w:sz="6" w:space="0" w:color="E9E9E9"/>
          </w:divBdr>
          <w:divsChild>
            <w:div w:id="1639870552">
              <w:marLeft w:val="0"/>
              <w:marRight w:val="0"/>
              <w:marTop w:val="0"/>
              <w:marBottom w:val="0"/>
              <w:divBdr>
                <w:top w:val="none" w:sz="0" w:space="0" w:color="auto"/>
                <w:left w:val="none" w:sz="0" w:space="0" w:color="auto"/>
                <w:bottom w:val="single" w:sz="6" w:space="8" w:color="E9E9E9"/>
                <w:right w:val="none" w:sz="0" w:space="0" w:color="auto"/>
              </w:divBdr>
            </w:div>
            <w:div w:id="2127038544">
              <w:marLeft w:val="0"/>
              <w:marRight w:val="0"/>
              <w:marTop w:val="0"/>
              <w:marBottom w:val="0"/>
              <w:divBdr>
                <w:top w:val="none" w:sz="0" w:space="0" w:color="auto"/>
                <w:left w:val="none" w:sz="0" w:space="0" w:color="auto"/>
                <w:bottom w:val="none" w:sz="0" w:space="0" w:color="auto"/>
                <w:right w:val="none" w:sz="0" w:space="0" w:color="auto"/>
              </w:divBdr>
              <w:divsChild>
                <w:div w:id="18201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977">
          <w:marLeft w:val="0"/>
          <w:marRight w:val="0"/>
          <w:marTop w:val="0"/>
          <w:marBottom w:val="300"/>
          <w:divBdr>
            <w:top w:val="single" w:sz="6" w:space="0" w:color="E9E9E9"/>
            <w:left w:val="single" w:sz="6" w:space="0" w:color="E9E9E9"/>
            <w:bottom w:val="single" w:sz="6" w:space="0" w:color="E9E9E9"/>
            <w:right w:val="single" w:sz="6" w:space="0" w:color="E9E9E9"/>
          </w:divBdr>
          <w:divsChild>
            <w:div w:id="415595459">
              <w:marLeft w:val="0"/>
              <w:marRight w:val="0"/>
              <w:marTop w:val="0"/>
              <w:marBottom w:val="0"/>
              <w:divBdr>
                <w:top w:val="none" w:sz="0" w:space="0" w:color="auto"/>
                <w:left w:val="none" w:sz="0" w:space="0" w:color="auto"/>
                <w:bottom w:val="none" w:sz="0" w:space="0" w:color="auto"/>
                <w:right w:val="none" w:sz="0" w:space="0" w:color="auto"/>
              </w:divBdr>
              <w:divsChild>
                <w:div w:id="940071229">
                  <w:marLeft w:val="0"/>
                  <w:marRight w:val="0"/>
                  <w:marTop w:val="0"/>
                  <w:marBottom w:val="0"/>
                  <w:divBdr>
                    <w:top w:val="none" w:sz="0" w:space="0" w:color="auto"/>
                    <w:left w:val="none" w:sz="0" w:space="0" w:color="auto"/>
                    <w:bottom w:val="none" w:sz="0" w:space="0" w:color="auto"/>
                    <w:right w:val="none" w:sz="0" w:space="0" w:color="auto"/>
                  </w:divBdr>
                </w:div>
              </w:divsChild>
            </w:div>
            <w:div w:id="1378747151">
              <w:marLeft w:val="0"/>
              <w:marRight w:val="0"/>
              <w:marTop w:val="0"/>
              <w:marBottom w:val="0"/>
              <w:divBdr>
                <w:top w:val="none" w:sz="0" w:space="0" w:color="auto"/>
                <w:left w:val="none" w:sz="0" w:space="0" w:color="auto"/>
                <w:bottom w:val="single" w:sz="6" w:space="8" w:color="E9E9E9"/>
                <w:right w:val="none" w:sz="0" w:space="0" w:color="auto"/>
              </w:divBdr>
            </w:div>
          </w:divsChild>
        </w:div>
        <w:div w:id="651523306">
          <w:marLeft w:val="0"/>
          <w:marRight w:val="0"/>
          <w:marTop w:val="0"/>
          <w:marBottom w:val="300"/>
          <w:divBdr>
            <w:top w:val="single" w:sz="6" w:space="0" w:color="E9E9E9"/>
            <w:left w:val="single" w:sz="6" w:space="0" w:color="E9E9E9"/>
            <w:bottom w:val="single" w:sz="6" w:space="0" w:color="E9E9E9"/>
            <w:right w:val="single" w:sz="6" w:space="0" w:color="E9E9E9"/>
          </w:divBdr>
          <w:divsChild>
            <w:div w:id="285434644">
              <w:marLeft w:val="0"/>
              <w:marRight w:val="0"/>
              <w:marTop w:val="0"/>
              <w:marBottom w:val="0"/>
              <w:divBdr>
                <w:top w:val="none" w:sz="0" w:space="0" w:color="auto"/>
                <w:left w:val="none" w:sz="0" w:space="0" w:color="auto"/>
                <w:bottom w:val="single" w:sz="6" w:space="8" w:color="E9E9E9"/>
                <w:right w:val="none" w:sz="0" w:space="0" w:color="auto"/>
              </w:divBdr>
            </w:div>
            <w:div w:id="660424526">
              <w:marLeft w:val="0"/>
              <w:marRight w:val="0"/>
              <w:marTop w:val="0"/>
              <w:marBottom w:val="0"/>
              <w:divBdr>
                <w:top w:val="none" w:sz="0" w:space="0" w:color="auto"/>
                <w:left w:val="none" w:sz="0" w:space="0" w:color="auto"/>
                <w:bottom w:val="none" w:sz="0" w:space="0" w:color="auto"/>
                <w:right w:val="none" w:sz="0" w:space="0" w:color="auto"/>
              </w:divBdr>
              <w:divsChild>
                <w:div w:id="19474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935">
          <w:marLeft w:val="0"/>
          <w:marRight w:val="0"/>
          <w:marTop w:val="0"/>
          <w:marBottom w:val="300"/>
          <w:divBdr>
            <w:top w:val="single" w:sz="6" w:space="0" w:color="E9E9E9"/>
            <w:left w:val="single" w:sz="6" w:space="0" w:color="E9E9E9"/>
            <w:bottom w:val="single" w:sz="6" w:space="0" w:color="E9E9E9"/>
            <w:right w:val="single" w:sz="6" w:space="0" w:color="E9E9E9"/>
          </w:divBdr>
          <w:divsChild>
            <w:div w:id="766920709">
              <w:marLeft w:val="0"/>
              <w:marRight w:val="0"/>
              <w:marTop w:val="0"/>
              <w:marBottom w:val="0"/>
              <w:divBdr>
                <w:top w:val="none" w:sz="0" w:space="0" w:color="auto"/>
                <w:left w:val="none" w:sz="0" w:space="0" w:color="auto"/>
                <w:bottom w:val="single" w:sz="6" w:space="8" w:color="E9E9E9"/>
                <w:right w:val="none" w:sz="0" w:space="0" w:color="auto"/>
              </w:divBdr>
            </w:div>
            <w:div w:id="1342396101">
              <w:marLeft w:val="0"/>
              <w:marRight w:val="0"/>
              <w:marTop w:val="0"/>
              <w:marBottom w:val="0"/>
              <w:divBdr>
                <w:top w:val="none" w:sz="0" w:space="0" w:color="auto"/>
                <w:left w:val="none" w:sz="0" w:space="0" w:color="auto"/>
                <w:bottom w:val="none" w:sz="0" w:space="0" w:color="auto"/>
                <w:right w:val="none" w:sz="0" w:space="0" w:color="auto"/>
              </w:divBdr>
              <w:divsChild>
                <w:div w:id="454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2251">
          <w:marLeft w:val="0"/>
          <w:marRight w:val="0"/>
          <w:marTop w:val="0"/>
          <w:marBottom w:val="300"/>
          <w:divBdr>
            <w:top w:val="single" w:sz="6" w:space="0" w:color="E9E9E9"/>
            <w:left w:val="single" w:sz="6" w:space="0" w:color="E9E9E9"/>
            <w:bottom w:val="single" w:sz="6" w:space="0" w:color="E9E9E9"/>
            <w:right w:val="single" w:sz="6" w:space="0" w:color="E9E9E9"/>
          </w:divBdr>
          <w:divsChild>
            <w:div w:id="165679775">
              <w:marLeft w:val="0"/>
              <w:marRight w:val="0"/>
              <w:marTop w:val="0"/>
              <w:marBottom w:val="0"/>
              <w:divBdr>
                <w:top w:val="none" w:sz="0" w:space="0" w:color="auto"/>
                <w:left w:val="none" w:sz="0" w:space="0" w:color="auto"/>
                <w:bottom w:val="single" w:sz="6" w:space="8" w:color="E9E9E9"/>
                <w:right w:val="none" w:sz="0" w:space="0" w:color="auto"/>
              </w:divBdr>
            </w:div>
          </w:divsChild>
        </w:div>
      </w:divsChild>
    </w:div>
    <w:div w:id="416757627">
      <w:bodyDiv w:val="1"/>
      <w:marLeft w:val="0"/>
      <w:marRight w:val="0"/>
      <w:marTop w:val="0"/>
      <w:marBottom w:val="0"/>
      <w:divBdr>
        <w:top w:val="none" w:sz="0" w:space="0" w:color="auto"/>
        <w:left w:val="none" w:sz="0" w:space="0" w:color="auto"/>
        <w:bottom w:val="none" w:sz="0" w:space="0" w:color="auto"/>
        <w:right w:val="none" w:sz="0" w:space="0" w:color="auto"/>
      </w:divBdr>
    </w:div>
    <w:div w:id="434445662">
      <w:bodyDiv w:val="1"/>
      <w:marLeft w:val="0"/>
      <w:marRight w:val="0"/>
      <w:marTop w:val="0"/>
      <w:marBottom w:val="0"/>
      <w:divBdr>
        <w:top w:val="none" w:sz="0" w:space="0" w:color="auto"/>
        <w:left w:val="none" w:sz="0" w:space="0" w:color="auto"/>
        <w:bottom w:val="none" w:sz="0" w:space="0" w:color="auto"/>
        <w:right w:val="none" w:sz="0" w:space="0" w:color="auto"/>
      </w:divBdr>
    </w:div>
    <w:div w:id="468401334">
      <w:bodyDiv w:val="1"/>
      <w:marLeft w:val="0"/>
      <w:marRight w:val="0"/>
      <w:marTop w:val="0"/>
      <w:marBottom w:val="0"/>
      <w:divBdr>
        <w:top w:val="none" w:sz="0" w:space="0" w:color="auto"/>
        <w:left w:val="none" w:sz="0" w:space="0" w:color="auto"/>
        <w:bottom w:val="none" w:sz="0" w:space="0" w:color="auto"/>
        <w:right w:val="none" w:sz="0" w:space="0" w:color="auto"/>
      </w:divBdr>
      <w:divsChild>
        <w:div w:id="412895848">
          <w:marLeft w:val="0"/>
          <w:marRight w:val="0"/>
          <w:marTop w:val="0"/>
          <w:marBottom w:val="300"/>
          <w:divBdr>
            <w:top w:val="single" w:sz="6" w:space="0" w:color="E9E9E9"/>
            <w:left w:val="single" w:sz="6" w:space="0" w:color="E9E9E9"/>
            <w:bottom w:val="single" w:sz="6" w:space="0" w:color="E9E9E9"/>
            <w:right w:val="single" w:sz="6" w:space="0" w:color="E9E9E9"/>
          </w:divBdr>
          <w:divsChild>
            <w:div w:id="152724000">
              <w:marLeft w:val="0"/>
              <w:marRight w:val="0"/>
              <w:marTop w:val="0"/>
              <w:marBottom w:val="0"/>
              <w:divBdr>
                <w:top w:val="none" w:sz="0" w:space="0" w:color="auto"/>
                <w:left w:val="none" w:sz="0" w:space="0" w:color="auto"/>
                <w:bottom w:val="none" w:sz="0" w:space="0" w:color="auto"/>
                <w:right w:val="none" w:sz="0" w:space="0" w:color="auto"/>
              </w:divBdr>
              <w:divsChild>
                <w:div w:id="1751998911">
                  <w:marLeft w:val="0"/>
                  <w:marRight w:val="0"/>
                  <w:marTop w:val="0"/>
                  <w:marBottom w:val="0"/>
                  <w:divBdr>
                    <w:top w:val="none" w:sz="0" w:space="0" w:color="auto"/>
                    <w:left w:val="none" w:sz="0" w:space="0" w:color="auto"/>
                    <w:bottom w:val="none" w:sz="0" w:space="0" w:color="auto"/>
                    <w:right w:val="none" w:sz="0" w:space="0" w:color="auto"/>
                  </w:divBdr>
                </w:div>
              </w:divsChild>
            </w:div>
            <w:div w:id="1906254586">
              <w:marLeft w:val="0"/>
              <w:marRight w:val="0"/>
              <w:marTop w:val="0"/>
              <w:marBottom w:val="0"/>
              <w:divBdr>
                <w:top w:val="none" w:sz="0" w:space="0" w:color="auto"/>
                <w:left w:val="none" w:sz="0" w:space="0" w:color="auto"/>
                <w:bottom w:val="single" w:sz="6" w:space="8" w:color="E9E9E9"/>
                <w:right w:val="none" w:sz="0" w:space="0" w:color="auto"/>
              </w:divBdr>
            </w:div>
          </w:divsChild>
        </w:div>
        <w:div w:id="435296709">
          <w:marLeft w:val="0"/>
          <w:marRight w:val="0"/>
          <w:marTop w:val="0"/>
          <w:marBottom w:val="300"/>
          <w:divBdr>
            <w:top w:val="single" w:sz="6" w:space="0" w:color="E9E9E9"/>
            <w:left w:val="single" w:sz="6" w:space="0" w:color="E9E9E9"/>
            <w:bottom w:val="single" w:sz="6" w:space="0" w:color="E9E9E9"/>
            <w:right w:val="single" w:sz="6" w:space="0" w:color="E9E9E9"/>
          </w:divBdr>
          <w:divsChild>
            <w:div w:id="585575498">
              <w:marLeft w:val="0"/>
              <w:marRight w:val="0"/>
              <w:marTop w:val="0"/>
              <w:marBottom w:val="0"/>
              <w:divBdr>
                <w:top w:val="none" w:sz="0" w:space="0" w:color="auto"/>
                <w:left w:val="none" w:sz="0" w:space="0" w:color="auto"/>
                <w:bottom w:val="single" w:sz="6" w:space="8" w:color="E9E9E9"/>
                <w:right w:val="none" w:sz="0" w:space="0" w:color="auto"/>
              </w:divBdr>
            </w:div>
          </w:divsChild>
        </w:div>
      </w:divsChild>
    </w:div>
    <w:div w:id="469597152">
      <w:bodyDiv w:val="1"/>
      <w:marLeft w:val="0"/>
      <w:marRight w:val="0"/>
      <w:marTop w:val="0"/>
      <w:marBottom w:val="0"/>
      <w:divBdr>
        <w:top w:val="none" w:sz="0" w:space="0" w:color="auto"/>
        <w:left w:val="none" w:sz="0" w:space="0" w:color="auto"/>
        <w:bottom w:val="none" w:sz="0" w:space="0" w:color="auto"/>
        <w:right w:val="none" w:sz="0" w:space="0" w:color="auto"/>
      </w:divBdr>
    </w:div>
    <w:div w:id="506332679">
      <w:bodyDiv w:val="1"/>
      <w:marLeft w:val="0"/>
      <w:marRight w:val="0"/>
      <w:marTop w:val="0"/>
      <w:marBottom w:val="0"/>
      <w:divBdr>
        <w:top w:val="none" w:sz="0" w:space="0" w:color="auto"/>
        <w:left w:val="none" w:sz="0" w:space="0" w:color="auto"/>
        <w:bottom w:val="none" w:sz="0" w:space="0" w:color="auto"/>
        <w:right w:val="none" w:sz="0" w:space="0" w:color="auto"/>
      </w:divBdr>
    </w:div>
    <w:div w:id="530847012">
      <w:bodyDiv w:val="1"/>
      <w:marLeft w:val="0"/>
      <w:marRight w:val="0"/>
      <w:marTop w:val="0"/>
      <w:marBottom w:val="0"/>
      <w:divBdr>
        <w:top w:val="none" w:sz="0" w:space="0" w:color="auto"/>
        <w:left w:val="none" w:sz="0" w:space="0" w:color="auto"/>
        <w:bottom w:val="none" w:sz="0" w:space="0" w:color="auto"/>
        <w:right w:val="none" w:sz="0" w:space="0" w:color="auto"/>
      </w:divBdr>
    </w:div>
    <w:div w:id="556018099">
      <w:bodyDiv w:val="1"/>
      <w:marLeft w:val="0"/>
      <w:marRight w:val="0"/>
      <w:marTop w:val="0"/>
      <w:marBottom w:val="0"/>
      <w:divBdr>
        <w:top w:val="none" w:sz="0" w:space="0" w:color="auto"/>
        <w:left w:val="none" w:sz="0" w:space="0" w:color="auto"/>
        <w:bottom w:val="none" w:sz="0" w:space="0" w:color="auto"/>
        <w:right w:val="none" w:sz="0" w:space="0" w:color="auto"/>
      </w:divBdr>
    </w:div>
    <w:div w:id="557129565">
      <w:bodyDiv w:val="1"/>
      <w:marLeft w:val="0"/>
      <w:marRight w:val="0"/>
      <w:marTop w:val="0"/>
      <w:marBottom w:val="0"/>
      <w:divBdr>
        <w:top w:val="none" w:sz="0" w:space="0" w:color="auto"/>
        <w:left w:val="none" w:sz="0" w:space="0" w:color="auto"/>
        <w:bottom w:val="none" w:sz="0" w:space="0" w:color="auto"/>
        <w:right w:val="none" w:sz="0" w:space="0" w:color="auto"/>
      </w:divBdr>
    </w:div>
    <w:div w:id="580455449">
      <w:bodyDiv w:val="1"/>
      <w:marLeft w:val="0"/>
      <w:marRight w:val="0"/>
      <w:marTop w:val="0"/>
      <w:marBottom w:val="0"/>
      <w:divBdr>
        <w:top w:val="none" w:sz="0" w:space="0" w:color="auto"/>
        <w:left w:val="none" w:sz="0" w:space="0" w:color="auto"/>
        <w:bottom w:val="none" w:sz="0" w:space="0" w:color="auto"/>
        <w:right w:val="none" w:sz="0" w:space="0" w:color="auto"/>
      </w:divBdr>
    </w:div>
    <w:div w:id="629628365">
      <w:bodyDiv w:val="1"/>
      <w:marLeft w:val="0"/>
      <w:marRight w:val="0"/>
      <w:marTop w:val="0"/>
      <w:marBottom w:val="0"/>
      <w:divBdr>
        <w:top w:val="none" w:sz="0" w:space="0" w:color="auto"/>
        <w:left w:val="none" w:sz="0" w:space="0" w:color="auto"/>
        <w:bottom w:val="none" w:sz="0" w:space="0" w:color="auto"/>
        <w:right w:val="none" w:sz="0" w:space="0" w:color="auto"/>
      </w:divBdr>
    </w:div>
    <w:div w:id="658921699">
      <w:bodyDiv w:val="1"/>
      <w:marLeft w:val="0"/>
      <w:marRight w:val="0"/>
      <w:marTop w:val="0"/>
      <w:marBottom w:val="0"/>
      <w:divBdr>
        <w:top w:val="none" w:sz="0" w:space="0" w:color="auto"/>
        <w:left w:val="none" w:sz="0" w:space="0" w:color="auto"/>
        <w:bottom w:val="none" w:sz="0" w:space="0" w:color="auto"/>
        <w:right w:val="none" w:sz="0" w:space="0" w:color="auto"/>
      </w:divBdr>
    </w:div>
    <w:div w:id="715466561">
      <w:bodyDiv w:val="1"/>
      <w:marLeft w:val="0"/>
      <w:marRight w:val="0"/>
      <w:marTop w:val="0"/>
      <w:marBottom w:val="0"/>
      <w:divBdr>
        <w:top w:val="none" w:sz="0" w:space="0" w:color="auto"/>
        <w:left w:val="none" w:sz="0" w:space="0" w:color="auto"/>
        <w:bottom w:val="none" w:sz="0" w:space="0" w:color="auto"/>
        <w:right w:val="none" w:sz="0" w:space="0" w:color="auto"/>
      </w:divBdr>
    </w:div>
    <w:div w:id="721290833">
      <w:bodyDiv w:val="1"/>
      <w:marLeft w:val="0"/>
      <w:marRight w:val="0"/>
      <w:marTop w:val="0"/>
      <w:marBottom w:val="0"/>
      <w:divBdr>
        <w:top w:val="none" w:sz="0" w:space="0" w:color="auto"/>
        <w:left w:val="none" w:sz="0" w:space="0" w:color="auto"/>
        <w:bottom w:val="none" w:sz="0" w:space="0" w:color="auto"/>
        <w:right w:val="none" w:sz="0" w:space="0" w:color="auto"/>
      </w:divBdr>
    </w:div>
    <w:div w:id="735710596">
      <w:bodyDiv w:val="1"/>
      <w:marLeft w:val="0"/>
      <w:marRight w:val="0"/>
      <w:marTop w:val="0"/>
      <w:marBottom w:val="0"/>
      <w:divBdr>
        <w:top w:val="none" w:sz="0" w:space="0" w:color="auto"/>
        <w:left w:val="none" w:sz="0" w:space="0" w:color="auto"/>
        <w:bottom w:val="none" w:sz="0" w:space="0" w:color="auto"/>
        <w:right w:val="none" w:sz="0" w:space="0" w:color="auto"/>
      </w:divBdr>
    </w:div>
    <w:div w:id="787435356">
      <w:bodyDiv w:val="1"/>
      <w:marLeft w:val="0"/>
      <w:marRight w:val="0"/>
      <w:marTop w:val="0"/>
      <w:marBottom w:val="0"/>
      <w:divBdr>
        <w:top w:val="none" w:sz="0" w:space="0" w:color="auto"/>
        <w:left w:val="none" w:sz="0" w:space="0" w:color="auto"/>
        <w:bottom w:val="none" w:sz="0" w:space="0" w:color="auto"/>
        <w:right w:val="none" w:sz="0" w:space="0" w:color="auto"/>
      </w:divBdr>
    </w:div>
    <w:div w:id="809396855">
      <w:bodyDiv w:val="1"/>
      <w:marLeft w:val="0"/>
      <w:marRight w:val="0"/>
      <w:marTop w:val="0"/>
      <w:marBottom w:val="0"/>
      <w:divBdr>
        <w:top w:val="none" w:sz="0" w:space="0" w:color="auto"/>
        <w:left w:val="none" w:sz="0" w:space="0" w:color="auto"/>
        <w:bottom w:val="none" w:sz="0" w:space="0" w:color="auto"/>
        <w:right w:val="none" w:sz="0" w:space="0" w:color="auto"/>
      </w:divBdr>
    </w:div>
    <w:div w:id="824392219">
      <w:bodyDiv w:val="1"/>
      <w:marLeft w:val="0"/>
      <w:marRight w:val="0"/>
      <w:marTop w:val="0"/>
      <w:marBottom w:val="0"/>
      <w:divBdr>
        <w:top w:val="none" w:sz="0" w:space="0" w:color="auto"/>
        <w:left w:val="none" w:sz="0" w:space="0" w:color="auto"/>
        <w:bottom w:val="none" w:sz="0" w:space="0" w:color="auto"/>
        <w:right w:val="none" w:sz="0" w:space="0" w:color="auto"/>
      </w:divBdr>
    </w:div>
    <w:div w:id="836267088">
      <w:bodyDiv w:val="1"/>
      <w:marLeft w:val="0"/>
      <w:marRight w:val="0"/>
      <w:marTop w:val="0"/>
      <w:marBottom w:val="0"/>
      <w:divBdr>
        <w:top w:val="none" w:sz="0" w:space="0" w:color="auto"/>
        <w:left w:val="none" w:sz="0" w:space="0" w:color="auto"/>
        <w:bottom w:val="none" w:sz="0" w:space="0" w:color="auto"/>
        <w:right w:val="none" w:sz="0" w:space="0" w:color="auto"/>
      </w:divBdr>
    </w:div>
    <w:div w:id="852691477">
      <w:bodyDiv w:val="1"/>
      <w:marLeft w:val="0"/>
      <w:marRight w:val="0"/>
      <w:marTop w:val="0"/>
      <w:marBottom w:val="0"/>
      <w:divBdr>
        <w:top w:val="none" w:sz="0" w:space="0" w:color="auto"/>
        <w:left w:val="none" w:sz="0" w:space="0" w:color="auto"/>
        <w:bottom w:val="none" w:sz="0" w:space="0" w:color="auto"/>
        <w:right w:val="none" w:sz="0" w:space="0" w:color="auto"/>
      </w:divBdr>
    </w:div>
    <w:div w:id="880020536">
      <w:bodyDiv w:val="1"/>
      <w:marLeft w:val="0"/>
      <w:marRight w:val="0"/>
      <w:marTop w:val="0"/>
      <w:marBottom w:val="0"/>
      <w:divBdr>
        <w:top w:val="none" w:sz="0" w:space="0" w:color="auto"/>
        <w:left w:val="none" w:sz="0" w:space="0" w:color="auto"/>
        <w:bottom w:val="none" w:sz="0" w:space="0" w:color="auto"/>
        <w:right w:val="none" w:sz="0" w:space="0" w:color="auto"/>
      </w:divBdr>
    </w:div>
    <w:div w:id="884025025">
      <w:bodyDiv w:val="1"/>
      <w:marLeft w:val="0"/>
      <w:marRight w:val="0"/>
      <w:marTop w:val="0"/>
      <w:marBottom w:val="0"/>
      <w:divBdr>
        <w:top w:val="none" w:sz="0" w:space="0" w:color="auto"/>
        <w:left w:val="none" w:sz="0" w:space="0" w:color="auto"/>
        <w:bottom w:val="none" w:sz="0" w:space="0" w:color="auto"/>
        <w:right w:val="none" w:sz="0" w:space="0" w:color="auto"/>
      </w:divBdr>
    </w:div>
    <w:div w:id="917642041">
      <w:bodyDiv w:val="1"/>
      <w:marLeft w:val="0"/>
      <w:marRight w:val="0"/>
      <w:marTop w:val="0"/>
      <w:marBottom w:val="0"/>
      <w:divBdr>
        <w:top w:val="none" w:sz="0" w:space="0" w:color="auto"/>
        <w:left w:val="none" w:sz="0" w:space="0" w:color="auto"/>
        <w:bottom w:val="none" w:sz="0" w:space="0" w:color="auto"/>
        <w:right w:val="none" w:sz="0" w:space="0" w:color="auto"/>
      </w:divBdr>
    </w:div>
    <w:div w:id="986586987">
      <w:bodyDiv w:val="1"/>
      <w:marLeft w:val="0"/>
      <w:marRight w:val="0"/>
      <w:marTop w:val="0"/>
      <w:marBottom w:val="0"/>
      <w:divBdr>
        <w:top w:val="none" w:sz="0" w:space="0" w:color="auto"/>
        <w:left w:val="none" w:sz="0" w:space="0" w:color="auto"/>
        <w:bottom w:val="none" w:sz="0" w:space="0" w:color="auto"/>
        <w:right w:val="none" w:sz="0" w:space="0" w:color="auto"/>
      </w:divBdr>
    </w:div>
    <w:div w:id="1007752333">
      <w:bodyDiv w:val="1"/>
      <w:marLeft w:val="0"/>
      <w:marRight w:val="0"/>
      <w:marTop w:val="0"/>
      <w:marBottom w:val="0"/>
      <w:divBdr>
        <w:top w:val="none" w:sz="0" w:space="0" w:color="auto"/>
        <w:left w:val="none" w:sz="0" w:space="0" w:color="auto"/>
        <w:bottom w:val="none" w:sz="0" w:space="0" w:color="auto"/>
        <w:right w:val="none" w:sz="0" w:space="0" w:color="auto"/>
      </w:divBdr>
    </w:div>
    <w:div w:id="1022123281">
      <w:bodyDiv w:val="1"/>
      <w:marLeft w:val="0"/>
      <w:marRight w:val="0"/>
      <w:marTop w:val="0"/>
      <w:marBottom w:val="0"/>
      <w:divBdr>
        <w:top w:val="none" w:sz="0" w:space="0" w:color="auto"/>
        <w:left w:val="none" w:sz="0" w:space="0" w:color="auto"/>
        <w:bottom w:val="none" w:sz="0" w:space="0" w:color="auto"/>
        <w:right w:val="none" w:sz="0" w:space="0" w:color="auto"/>
      </w:divBdr>
    </w:div>
    <w:div w:id="1050037754">
      <w:bodyDiv w:val="1"/>
      <w:marLeft w:val="0"/>
      <w:marRight w:val="0"/>
      <w:marTop w:val="0"/>
      <w:marBottom w:val="0"/>
      <w:divBdr>
        <w:top w:val="none" w:sz="0" w:space="0" w:color="auto"/>
        <w:left w:val="none" w:sz="0" w:space="0" w:color="auto"/>
        <w:bottom w:val="none" w:sz="0" w:space="0" w:color="auto"/>
        <w:right w:val="none" w:sz="0" w:space="0" w:color="auto"/>
      </w:divBdr>
    </w:div>
    <w:div w:id="1099520737">
      <w:bodyDiv w:val="1"/>
      <w:marLeft w:val="0"/>
      <w:marRight w:val="0"/>
      <w:marTop w:val="0"/>
      <w:marBottom w:val="0"/>
      <w:divBdr>
        <w:top w:val="none" w:sz="0" w:space="0" w:color="auto"/>
        <w:left w:val="none" w:sz="0" w:space="0" w:color="auto"/>
        <w:bottom w:val="none" w:sz="0" w:space="0" w:color="auto"/>
        <w:right w:val="none" w:sz="0" w:space="0" w:color="auto"/>
      </w:divBdr>
    </w:div>
    <w:div w:id="1170948884">
      <w:bodyDiv w:val="1"/>
      <w:marLeft w:val="0"/>
      <w:marRight w:val="0"/>
      <w:marTop w:val="0"/>
      <w:marBottom w:val="0"/>
      <w:divBdr>
        <w:top w:val="none" w:sz="0" w:space="0" w:color="auto"/>
        <w:left w:val="none" w:sz="0" w:space="0" w:color="auto"/>
        <w:bottom w:val="none" w:sz="0" w:space="0" w:color="auto"/>
        <w:right w:val="none" w:sz="0" w:space="0" w:color="auto"/>
      </w:divBdr>
    </w:div>
    <w:div w:id="1223054727">
      <w:bodyDiv w:val="1"/>
      <w:marLeft w:val="0"/>
      <w:marRight w:val="0"/>
      <w:marTop w:val="0"/>
      <w:marBottom w:val="0"/>
      <w:divBdr>
        <w:top w:val="none" w:sz="0" w:space="0" w:color="auto"/>
        <w:left w:val="none" w:sz="0" w:space="0" w:color="auto"/>
        <w:bottom w:val="none" w:sz="0" w:space="0" w:color="auto"/>
        <w:right w:val="none" w:sz="0" w:space="0" w:color="auto"/>
      </w:divBdr>
    </w:div>
    <w:div w:id="1252740026">
      <w:bodyDiv w:val="1"/>
      <w:marLeft w:val="0"/>
      <w:marRight w:val="0"/>
      <w:marTop w:val="0"/>
      <w:marBottom w:val="0"/>
      <w:divBdr>
        <w:top w:val="none" w:sz="0" w:space="0" w:color="auto"/>
        <w:left w:val="none" w:sz="0" w:space="0" w:color="auto"/>
        <w:bottom w:val="none" w:sz="0" w:space="0" w:color="auto"/>
        <w:right w:val="none" w:sz="0" w:space="0" w:color="auto"/>
      </w:divBdr>
    </w:div>
    <w:div w:id="1259872875">
      <w:bodyDiv w:val="1"/>
      <w:marLeft w:val="0"/>
      <w:marRight w:val="0"/>
      <w:marTop w:val="0"/>
      <w:marBottom w:val="0"/>
      <w:divBdr>
        <w:top w:val="none" w:sz="0" w:space="0" w:color="auto"/>
        <w:left w:val="none" w:sz="0" w:space="0" w:color="auto"/>
        <w:bottom w:val="none" w:sz="0" w:space="0" w:color="auto"/>
        <w:right w:val="none" w:sz="0" w:space="0" w:color="auto"/>
      </w:divBdr>
      <w:divsChild>
        <w:div w:id="78449219">
          <w:marLeft w:val="0"/>
          <w:marRight w:val="0"/>
          <w:marTop w:val="0"/>
          <w:marBottom w:val="300"/>
          <w:divBdr>
            <w:top w:val="single" w:sz="6" w:space="0" w:color="E9E9E9"/>
            <w:left w:val="single" w:sz="6" w:space="0" w:color="E9E9E9"/>
            <w:bottom w:val="single" w:sz="6" w:space="0" w:color="E9E9E9"/>
            <w:right w:val="single" w:sz="6" w:space="0" w:color="E9E9E9"/>
          </w:divBdr>
          <w:divsChild>
            <w:div w:id="289946945">
              <w:marLeft w:val="0"/>
              <w:marRight w:val="0"/>
              <w:marTop w:val="0"/>
              <w:marBottom w:val="0"/>
              <w:divBdr>
                <w:top w:val="none" w:sz="0" w:space="0" w:color="auto"/>
                <w:left w:val="none" w:sz="0" w:space="0" w:color="auto"/>
                <w:bottom w:val="single" w:sz="6" w:space="8" w:color="E9E9E9"/>
                <w:right w:val="none" w:sz="0" w:space="0" w:color="auto"/>
              </w:divBdr>
            </w:div>
            <w:div w:id="1712804870">
              <w:marLeft w:val="0"/>
              <w:marRight w:val="0"/>
              <w:marTop w:val="0"/>
              <w:marBottom w:val="0"/>
              <w:divBdr>
                <w:top w:val="none" w:sz="0" w:space="0" w:color="auto"/>
                <w:left w:val="none" w:sz="0" w:space="0" w:color="auto"/>
                <w:bottom w:val="none" w:sz="0" w:space="0" w:color="auto"/>
                <w:right w:val="none" w:sz="0" w:space="0" w:color="auto"/>
              </w:divBdr>
              <w:divsChild>
                <w:div w:id="23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7">
          <w:marLeft w:val="0"/>
          <w:marRight w:val="0"/>
          <w:marTop w:val="0"/>
          <w:marBottom w:val="300"/>
          <w:divBdr>
            <w:top w:val="single" w:sz="6" w:space="0" w:color="E9E9E9"/>
            <w:left w:val="single" w:sz="6" w:space="0" w:color="E9E9E9"/>
            <w:bottom w:val="single" w:sz="6" w:space="0" w:color="E9E9E9"/>
            <w:right w:val="single" w:sz="6" w:space="0" w:color="E9E9E9"/>
          </w:divBdr>
          <w:divsChild>
            <w:div w:id="1293708639">
              <w:marLeft w:val="0"/>
              <w:marRight w:val="0"/>
              <w:marTop w:val="0"/>
              <w:marBottom w:val="0"/>
              <w:divBdr>
                <w:top w:val="none" w:sz="0" w:space="0" w:color="auto"/>
                <w:left w:val="none" w:sz="0" w:space="0" w:color="auto"/>
                <w:bottom w:val="single" w:sz="6" w:space="8" w:color="E9E9E9"/>
                <w:right w:val="none" w:sz="0" w:space="0" w:color="auto"/>
              </w:divBdr>
            </w:div>
            <w:div w:id="1977449414">
              <w:marLeft w:val="0"/>
              <w:marRight w:val="0"/>
              <w:marTop w:val="0"/>
              <w:marBottom w:val="0"/>
              <w:divBdr>
                <w:top w:val="none" w:sz="0" w:space="0" w:color="auto"/>
                <w:left w:val="none" w:sz="0" w:space="0" w:color="auto"/>
                <w:bottom w:val="none" w:sz="0" w:space="0" w:color="auto"/>
                <w:right w:val="none" w:sz="0" w:space="0" w:color="auto"/>
              </w:divBdr>
              <w:divsChild>
                <w:div w:id="18812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850">
          <w:marLeft w:val="0"/>
          <w:marRight w:val="0"/>
          <w:marTop w:val="0"/>
          <w:marBottom w:val="300"/>
          <w:divBdr>
            <w:top w:val="single" w:sz="6" w:space="0" w:color="E9E9E9"/>
            <w:left w:val="single" w:sz="6" w:space="0" w:color="E9E9E9"/>
            <w:bottom w:val="single" w:sz="6" w:space="0" w:color="E9E9E9"/>
            <w:right w:val="single" w:sz="6" w:space="0" w:color="E9E9E9"/>
          </w:divBdr>
          <w:divsChild>
            <w:div w:id="1386683525">
              <w:marLeft w:val="0"/>
              <w:marRight w:val="0"/>
              <w:marTop w:val="0"/>
              <w:marBottom w:val="0"/>
              <w:divBdr>
                <w:top w:val="none" w:sz="0" w:space="0" w:color="auto"/>
                <w:left w:val="none" w:sz="0" w:space="0" w:color="auto"/>
                <w:bottom w:val="single" w:sz="6" w:space="8" w:color="E9E9E9"/>
                <w:right w:val="none" w:sz="0" w:space="0" w:color="auto"/>
              </w:divBdr>
            </w:div>
          </w:divsChild>
        </w:div>
        <w:div w:id="743262599">
          <w:marLeft w:val="0"/>
          <w:marRight w:val="0"/>
          <w:marTop w:val="0"/>
          <w:marBottom w:val="300"/>
          <w:divBdr>
            <w:top w:val="single" w:sz="6" w:space="0" w:color="E9E9E9"/>
            <w:left w:val="single" w:sz="6" w:space="0" w:color="E9E9E9"/>
            <w:bottom w:val="single" w:sz="6" w:space="0" w:color="E9E9E9"/>
            <w:right w:val="single" w:sz="6" w:space="0" w:color="E9E9E9"/>
          </w:divBdr>
          <w:divsChild>
            <w:div w:id="671953921">
              <w:marLeft w:val="0"/>
              <w:marRight w:val="0"/>
              <w:marTop w:val="0"/>
              <w:marBottom w:val="0"/>
              <w:divBdr>
                <w:top w:val="none" w:sz="0" w:space="0" w:color="auto"/>
                <w:left w:val="none" w:sz="0" w:space="0" w:color="auto"/>
                <w:bottom w:val="single" w:sz="6" w:space="8" w:color="E9E9E9"/>
                <w:right w:val="none" w:sz="0" w:space="0" w:color="auto"/>
              </w:divBdr>
            </w:div>
            <w:div w:id="1871717333">
              <w:marLeft w:val="0"/>
              <w:marRight w:val="0"/>
              <w:marTop w:val="0"/>
              <w:marBottom w:val="0"/>
              <w:divBdr>
                <w:top w:val="none" w:sz="0" w:space="0" w:color="auto"/>
                <w:left w:val="none" w:sz="0" w:space="0" w:color="auto"/>
                <w:bottom w:val="none" w:sz="0" w:space="0" w:color="auto"/>
                <w:right w:val="none" w:sz="0" w:space="0" w:color="auto"/>
              </w:divBdr>
              <w:divsChild>
                <w:div w:id="519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924">
      <w:bodyDiv w:val="1"/>
      <w:marLeft w:val="0"/>
      <w:marRight w:val="0"/>
      <w:marTop w:val="0"/>
      <w:marBottom w:val="0"/>
      <w:divBdr>
        <w:top w:val="none" w:sz="0" w:space="0" w:color="auto"/>
        <w:left w:val="none" w:sz="0" w:space="0" w:color="auto"/>
        <w:bottom w:val="none" w:sz="0" w:space="0" w:color="auto"/>
        <w:right w:val="none" w:sz="0" w:space="0" w:color="auto"/>
      </w:divBdr>
      <w:divsChild>
        <w:div w:id="938369550">
          <w:marLeft w:val="0"/>
          <w:marRight w:val="0"/>
          <w:marTop w:val="0"/>
          <w:marBottom w:val="0"/>
          <w:divBdr>
            <w:top w:val="none" w:sz="0" w:space="0" w:color="auto"/>
            <w:left w:val="none" w:sz="0" w:space="0" w:color="auto"/>
            <w:bottom w:val="none" w:sz="0" w:space="0" w:color="auto"/>
            <w:right w:val="single" w:sz="6" w:space="30" w:color="00ADEE"/>
          </w:divBdr>
        </w:div>
      </w:divsChild>
    </w:div>
    <w:div w:id="1299846146">
      <w:bodyDiv w:val="1"/>
      <w:marLeft w:val="0"/>
      <w:marRight w:val="0"/>
      <w:marTop w:val="0"/>
      <w:marBottom w:val="0"/>
      <w:divBdr>
        <w:top w:val="none" w:sz="0" w:space="0" w:color="auto"/>
        <w:left w:val="none" w:sz="0" w:space="0" w:color="auto"/>
        <w:bottom w:val="none" w:sz="0" w:space="0" w:color="auto"/>
        <w:right w:val="none" w:sz="0" w:space="0" w:color="auto"/>
      </w:divBdr>
    </w:div>
    <w:div w:id="1326132721">
      <w:bodyDiv w:val="1"/>
      <w:marLeft w:val="0"/>
      <w:marRight w:val="0"/>
      <w:marTop w:val="0"/>
      <w:marBottom w:val="0"/>
      <w:divBdr>
        <w:top w:val="none" w:sz="0" w:space="0" w:color="auto"/>
        <w:left w:val="none" w:sz="0" w:space="0" w:color="auto"/>
        <w:bottom w:val="none" w:sz="0" w:space="0" w:color="auto"/>
        <w:right w:val="none" w:sz="0" w:space="0" w:color="auto"/>
      </w:divBdr>
    </w:div>
    <w:div w:id="1346637645">
      <w:bodyDiv w:val="1"/>
      <w:marLeft w:val="0"/>
      <w:marRight w:val="0"/>
      <w:marTop w:val="0"/>
      <w:marBottom w:val="0"/>
      <w:divBdr>
        <w:top w:val="none" w:sz="0" w:space="0" w:color="auto"/>
        <w:left w:val="none" w:sz="0" w:space="0" w:color="auto"/>
        <w:bottom w:val="none" w:sz="0" w:space="0" w:color="auto"/>
        <w:right w:val="none" w:sz="0" w:space="0" w:color="auto"/>
      </w:divBdr>
    </w:div>
    <w:div w:id="1355301152">
      <w:bodyDiv w:val="1"/>
      <w:marLeft w:val="0"/>
      <w:marRight w:val="0"/>
      <w:marTop w:val="0"/>
      <w:marBottom w:val="0"/>
      <w:divBdr>
        <w:top w:val="none" w:sz="0" w:space="0" w:color="auto"/>
        <w:left w:val="none" w:sz="0" w:space="0" w:color="auto"/>
        <w:bottom w:val="none" w:sz="0" w:space="0" w:color="auto"/>
        <w:right w:val="none" w:sz="0" w:space="0" w:color="auto"/>
      </w:divBdr>
    </w:div>
    <w:div w:id="1394618751">
      <w:bodyDiv w:val="1"/>
      <w:marLeft w:val="0"/>
      <w:marRight w:val="0"/>
      <w:marTop w:val="0"/>
      <w:marBottom w:val="0"/>
      <w:divBdr>
        <w:top w:val="none" w:sz="0" w:space="0" w:color="auto"/>
        <w:left w:val="none" w:sz="0" w:space="0" w:color="auto"/>
        <w:bottom w:val="none" w:sz="0" w:space="0" w:color="auto"/>
        <w:right w:val="none" w:sz="0" w:space="0" w:color="auto"/>
      </w:divBdr>
    </w:div>
    <w:div w:id="1417361357">
      <w:bodyDiv w:val="1"/>
      <w:marLeft w:val="0"/>
      <w:marRight w:val="0"/>
      <w:marTop w:val="0"/>
      <w:marBottom w:val="0"/>
      <w:divBdr>
        <w:top w:val="none" w:sz="0" w:space="0" w:color="auto"/>
        <w:left w:val="none" w:sz="0" w:space="0" w:color="auto"/>
        <w:bottom w:val="none" w:sz="0" w:space="0" w:color="auto"/>
        <w:right w:val="none" w:sz="0" w:space="0" w:color="auto"/>
      </w:divBdr>
    </w:div>
    <w:div w:id="1510559002">
      <w:bodyDiv w:val="1"/>
      <w:marLeft w:val="0"/>
      <w:marRight w:val="0"/>
      <w:marTop w:val="0"/>
      <w:marBottom w:val="0"/>
      <w:divBdr>
        <w:top w:val="none" w:sz="0" w:space="0" w:color="auto"/>
        <w:left w:val="none" w:sz="0" w:space="0" w:color="auto"/>
        <w:bottom w:val="none" w:sz="0" w:space="0" w:color="auto"/>
        <w:right w:val="none" w:sz="0" w:space="0" w:color="auto"/>
      </w:divBdr>
    </w:div>
    <w:div w:id="1528373647">
      <w:bodyDiv w:val="1"/>
      <w:marLeft w:val="0"/>
      <w:marRight w:val="0"/>
      <w:marTop w:val="0"/>
      <w:marBottom w:val="0"/>
      <w:divBdr>
        <w:top w:val="none" w:sz="0" w:space="0" w:color="auto"/>
        <w:left w:val="none" w:sz="0" w:space="0" w:color="auto"/>
        <w:bottom w:val="none" w:sz="0" w:space="0" w:color="auto"/>
        <w:right w:val="none" w:sz="0" w:space="0" w:color="auto"/>
      </w:divBdr>
    </w:div>
    <w:div w:id="1584221935">
      <w:bodyDiv w:val="1"/>
      <w:marLeft w:val="0"/>
      <w:marRight w:val="0"/>
      <w:marTop w:val="0"/>
      <w:marBottom w:val="0"/>
      <w:divBdr>
        <w:top w:val="none" w:sz="0" w:space="0" w:color="auto"/>
        <w:left w:val="none" w:sz="0" w:space="0" w:color="auto"/>
        <w:bottom w:val="none" w:sz="0" w:space="0" w:color="auto"/>
        <w:right w:val="none" w:sz="0" w:space="0" w:color="auto"/>
      </w:divBdr>
    </w:div>
    <w:div w:id="1596011173">
      <w:bodyDiv w:val="1"/>
      <w:marLeft w:val="0"/>
      <w:marRight w:val="0"/>
      <w:marTop w:val="0"/>
      <w:marBottom w:val="0"/>
      <w:divBdr>
        <w:top w:val="none" w:sz="0" w:space="0" w:color="auto"/>
        <w:left w:val="none" w:sz="0" w:space="0" w:color="auto"/>
        <w:bottom w:val="none" w:sz="0" w:space="0" w:color="auto"/>
        <w:right w:val="none" w:sz="0" w:space="0" w:color="auto"/>
      </w:divBdr>
    </w:div>
    <w:div w:id="1638677648">
      <w:bodyDiv w:val="1"/>
      <w:marLeft w:val="0"/>
      <w:marRight w:val="0"/>
      <w:marTop w:val="0"/>
      <w:marBottom w:val="0"/>
      <w:divBdr>
        <w:top w:val="none" w:sz="0" w:space="0" w:color="auto"/>
        <w:left w:val="none" w:sz="0" w:space="0" w:color="auto"/>
        <w:bottom w:val="none" w:sz="0" w:space="0" w:color="auto"/>
        <w:right w:val="none" w:sz="0" w:space="0" w:color="auto"/>
      </w:divBdr>
    </w:div>
    <w:div w:id="1646734182">
      <w:bodyDiv w:val="1"/>
      <w:marLeft w:val="0"/>
      <w:marRight w:val="0"/>
      <w:marTop w:val="0"/>
      <w:marBottom w:val="0"/>
      <w:divBdr>
        <w:top w:val="none" w:sz="0" w:space="0" w:color="auto"/>
        <w:left w:val="none" w:sz="0" w:space="0" w:color="auto"/>
        <w:bottom w:val="none" w:sz="0" w:space="0" w:color="auto"/>
        <w:right w:val="none" w:sz="0" w:space="0" w:color="auto"/>
      </w:divBdr>
    </w:div>
    <w:div w:id="1679964471">
      <w:bodyDiv w:val="1"/>
      <w:marLeft w:val="0"/>
      <w:marRight w:val="0"/>
      <w:marTop w:val="0"/>
      <w:marBottom w:val="0"/>
      <w:divBdr>
        <w:top w:val="none" w:sz="0" w:space="0" w:color="auto"/>
        <w:left w:val="none" w:sz="0" w:space="0" w:color="auto"/>
        <w:bottom w:val="none" w:sz="0" w:space="0" w:color="auto"/>
        <w:right w:val="none" w:sz="0" w:space="0" w:color="auto"/>
      </w:divBdr>
      <w:divsChild>
        <w:div w:id="969672548">
          <w:marLeft w:val="0"/>
          <w:marRight w:val="0"/>
          <w:marTop w:val="0"/>
          <w:marBottom w:val="300"/>
          <w:divBdr>
            <w:top w:val="single" w:sz="6" w:space="0" w:color="E9E9E9"/>
            <w:left w:val="single" w:sz="6" w:space="0" w:color="E9E9E9"/>
            <w:bottom w:val="single" w:sz="6" w:space="0" w:color="E9E9E9"/>
            <w:right w:val="single" w:sz="6" w:space="0" w:color="E9E9E9"/>
          </w:divBdr>
          <w:divsChild>
            <w:div w:id="704596515">
              <w:marLeft w:val="0"/>
              <w:marRight w:val="0"/>
              <w:marTop w:val="0"/>
              <w:marBottom w:val="0"/>
              <w:divBdr>
                <w:top w:val="none" w:sz="0" w:space="0" w:color="auto"/>
                <w:left w:val="none" w:sz="0" w:space="0" w:color="auto"/>
                <w:bottom w:val="single" w:sz="6" w:space="8" w:color="E9E9E9"/>
                <w:right w:val="none" w:sz="0" w:space="0" w:color="auto"/>
              </w:divBdr>
            </w:div>
            <w:div w:id="1653869937">
              <w:marLeft w:val="0"/>
              <w:marRight w:val="0"/>
              <w:marTop w:val="0"/>
              <w:marBottom w:val="0"/>
              <w:divBdr>
                <w:top w:val="none" w:sz="0" w:space="0" w:color="auto"/>
                <w:left w:val="none" w:sz="0" w:space="0" w:color="auto"/>
                <w:bottom w:val="none" w:sz="0" w:space="0" w:color="auto"/>
                <w:right w:val="none" w:sz="0" w:space="0" w:color="auto"/>
              </w:divBdr>
              <w:divsChild>
                <w:div w:id="13912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370">
          <w:marLeft w:val="0"/>
          <w:marRight w:val="0"/>
          <w:marTop w:val="0"/>
          <w:marBottom w:val="300"/>
          <w:divBdr>
            <w:top w:val="single" w:sz="6" w:space="0" w:color="E9E9E9"/>
            <w:left w:val="single" w:sz="6" w:space="0" w:color="E9E9E9"/>
            <w:bottom w:val="single" w:sz="6" w:space="0" w:color="E9E9E9"/>
            <w:right w:val="single" w:sz="6" w:space="0" w:color="E9E9E9"/>
          </w:divBdr>
          <w:divsChild>
            <w:div w:id="501899096">
              <w:marLeft w:val="0"/>
              <w:marRight w:val="0"/>
              <w:marTop w:val="0"/>
              <w:marBottom w:val="0"/>
              <w:divBdr>
                <w:top w:val="none" w:sz="0" w:space="0" w:color="auto"/>
                <w:left w:val="none" w:sz="0" w:space="0" w:color="auto"/>
                <w:bottom w:val="single" w:sz="6" w:space="8" w:color="E9E9E9"/>
                <w:right w:val="none" w:sz="0" w:space="0" w:color="auto"/>
              </w:divBdr>
            </w:div>
          </w:divsChild>
        </w:div>
      </w:divsChild>
    </w:div>
    <w:div w:id="1698123180">
      <w:bodyDiv w:val="1"/>
      <w:marLeft w:val="0"/>
      <w:marRight w:val="0"/>
      <w:marTop w:val="0"/>
      <w:marBottom w:val="0"/>
      <w:divBdr>
        <w:top w:val="none" w:sz="0" w:space="0" w:color="auto"/>
        <w:left w:val="none" w:sz="0" w:space="0" w:color="auto"/>
        <w:bottom w:val="none" w:sz="0" w:space="0" w:color="auto"/>
        <w:right w:val="none" w:sz="0" w:space="0" w:color="auto"/>
      </w:divBdr>
    </w:div>
    <w:div w:id="1729260143">
      <w:bodyDiv w:val="1"/>
      <w:marLeft w:val="0"/>
      <w:marRight w:val="0"/>
      <w:marTop w:val="0"/>
      <w:marBottom w:val="0"/>
      <w:divBdr>
        <w:top w:val="none" w:sz="0" w:space="0" w:color="auto"/>
        <w:left w:val="none" w:sz="0" w:space="0" w:color="auto"/>
        <w:bottom w:val="none" w:sz="0" w:space="0" w:color="auto"/>
        <w:right w:val="none" w:sz="0" w:space="0" w:color="auto"/>
      </w:divBdr>
    </w:div>
    <w:div w:id="1790664457">
      <w:bodyDiv w:val="1"/>
      <w:marLeft w:val="0"/>
      <w:marRight w:val="0"/>
      <w:marTop w:val="0"/>
      <w:marBottom w:val="0"/>
      <w:divBdr>
        <w:top w:val="none" w:sz="0" w:space="0" w:color="auto"/>
        <w:left w:val="none" w:sz="0" w:space="0" w:color="auto"/>
        <w:bottom w:val="none" w:sz="0" w:space="0" w:color="auto"/>
        <w:right w:val="none" w:sz="0" w:space="0" w:color="auto"/>
      </w:divBdr>
    </w:div>
    <w:div w:id="1820807734">
      <w:bodyDiv w:val="1"/>
      <w:marLeft w:val="0"/>
      <w:marRight w:val="0"/>
      <w:marTop w:val="0"/>
      <w:marBottom w:val="0"/>
      <w:divBdr>
        <w:top w:val="none" w:sz="0" w:space="0" w:color="auto"/>
        <w:left w:val="none" w:sz="0" w:space="0" w:color="auto"/>
        <w:bottom w:val="none" w:sz="0" w:space="0" w:color="auto"/>
        <w:right w:val="none" w:sz="0" w:space="0" w:color="auto"/>
      </w:divBdr>
    </w:div>
    <w:div w:id="1825465426">
      <w:bodyDiv w:val="1"/>
      <w:marLeft w:val="0"/>
      <w:marRight w:val="0"/>
      <w:marTop w:val="0"/>
      <w:marBottom w:val="0"/>
      <w:divBdr>
        <w:top w:val="none" w:sz="0" w:space="0" w:color="auto"/>
        <w:left w:val="none" w:sz="0" w:space="0" w:color="auto"/>
        <w:bottom w:val="none" w:sz="0" w:space="0" w:color="auto"/>
        <w:right w:val="none" w:sz="0" w:space="0" w:color="auto"/>
      </w:divBdr>
    </w:div>
    <w:div w:id="1830901195">
      <w:bodyDiv w:val="1"/>
      <w:marLeft w:val="0"/>
      <w:marRight w:val="0"/>
      <w:marTop w:val="0"/>
      <w:marBottom w:val="0"/>
      <w:divBdr>
        <w:top w:val="none" w:sz="0" w:space="0" w:color="auto"/>
        <w:left w:val="none" w:sz="0" w:space="0" w:color="auto"/>
        <w:bottom w:val="none" w:sz="0" w:space="0" w:color="auto"/>
        <w:right w:val="none" w:sz="0" w:space="0" w:color="auto"/>
      </w:divBdr>
    </w:div>
    <w:div w:id="1850868154">
      <w:bodyDiv w:val="1"/>
      <w:marLeft w:val="0"/>
      <w:marRight w:val="0"/>
      <w:marTop w:val="0"/>
      <w:marBottom w:val="0"/>
      <w:divBdr>
        <w:top w:val="none" w:sz="0" w:space="0" w:color="auto"/>
        <w:left w:val="none" w:sz="0" w:space="0" w:color="auto"/>
        <w:bottom w:val="none" w:sz="0" w:space="0" w:color="auto"/>
        <w:right w:val="none" w:sz="0" w:space="0" w:color="auto"/>
      </w:divBdr>
    </w:div>
    <w:div w:id="1876041622">
      <w:bodyDiv w:val="1"/>
      <w:marLeft w:val="0"/>
      <w:marRight w:val="0"/>
      <w:marTop w:val="0"/>
      <w:marBottom w:val="0"/>
      <w:divBdr>
        <w:top w:val="none" w:sz="0" w:space="0" w:color="auto"/>
        <w:left w:val="none" w:sz="0" w:space="0" w:color="auto"/>
        <w:bottom w:val="none" w:sz="0" w:space="0" w:color="auto"/>
        <w:right w:val="none" w:sz="0" w:space="0" w:color="auto"/>
      </w:divBdr>
    </w:div>
    <w:div w:id="1944265043">
      <w:bodyDiv w:val="1"/>
      <w:marLeft w:val="0"/>
      <w:marRight w:val="0"/>
      <w:marTop w:val="0"/>
      <w:marBottom w:val="0"/>
      <w:divBdr>
        <w:top w:val="none" w:sz="0" w:space="0" w:color="auto"/>
        <w:left w:val="none" w:sz="0" w:space="0" w:color="auto"/>
        <w:bottom w:val="none" w:sz="0" w:space="0" w:color="auto"/>
        <w:right w:val="none" w:sz="0" w:space="0" w:color="auto"/>
      </w:divBdr>
    </w:div>
    <w:div w:id="1949505793">
      <w:bodyDiv w:val="1"/>
      <w:marLeft w:val="0"/>
      <w:marRight w:val="0"/>
      <w:marTop w:val="0"/>
      <w:marBottom w:val="0"/>
      <w:divBdr>
        <w:top w:val="none" w:sz="0" w:space="0" w:color="auto"/>
        <w:left w:val="none" w:sz="0" w:space="0" w:color="auto"/>
        <w:bottom w:val="none" w:sz="0" w:space="0" w:color="auto"/>
        <w:right w:val="none" w:sz="0" w:space="0" w:color="auto"/>
      </w:divBdr>
    </w:div>
    <w:div w:id="1990015276">
      <w:bodyDiv w:val="1"/>
      <w:marLeft w:val="0"/>
      <w:marRight w:val="0"/>
      <w:marTop w:val="0"/>
      <w:marBottom w:val="0"/>
      <w:divBdr>
        <w:top w:val="none" w:sz="0" w:space="0" w:color="auto"/>
        <w:left w:val="none" w:sz="0" w:space="0" w:color="auto"/>
        <w:bottom w:val="none" w:sz="0" w:space="0" w:color="auto"/>
        <w:right w:val="none" w:sz="0" w:space="0" w:color="auto"/>
      </w:divBdr>
    </w:div>
    <w:div w:id="2005739100">
      <w:bodyDiv w:val="1"/>
      <w:marLeft w:val="0"/>
      <w:marRight w:val="0"/>
      <w:marTop w:val="0"/>
      <w:marBottom w:val="0"/>
      <w:divBdr>
        <w:top w:val="none" w:sz="0" w:space="0" w:color="auto"/>
        <w:left w:val="none" w:sz="0" w:space="0" w:color="auto"/>
        <w:bottom w:val="none" w:sz="0" w:space="0" w:color="auto"/>
        <w:right w:val="none" w:sz="0" w:space="0" w:color="auto"/>
      </w:divBdr>
    </w:div>
    <w:div w:id="2041584342">
      <w:bodyDiv w:val="1"/>
      <w:marLeft w:val="0"/>
      <w:marRight w:val="0"/>
      <w:marTop w:val="0"/>
      <w:marBottom w:val="0"/>
      <w:divBdr>
        <w:top w:val="none" w:sz="0" w:space="0" w:color="auto"/>
        <w:left w:val="none" w:sz="0" w:space="0" w:color="auto"/>
        <w:bottom w:val="none" w:sz="0" w:space="0" w:color="auto"/>
        <w:right w:val="none" w:sz="0" w:space="0" w:color="auto"/>
      </w:divBdr>
    </w:div>
    <w:div w:id="21090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LOSER-Cohorts" TargetMode="External"/><Relationship Id="rId13" Type="http://schemas.openxmlformats.org/officeDocument/2006/relationships/hyperlink" Target="https://discovery.clos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oser.ac.uk/news-opinion/blog/crossstudy-research-overcoming-obstacles-uncovering-opportun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clos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loser.ac.uk/how-to-access-the-data" TargetMode="External"/><Relationship Id="rId4" Type="http://schemas.openxmlformats.org/officeDocument/2006/relationships/settings" Target="settings.xml"/><Relationship Id="rId9" Type="http://schemas.openxmlformats.org/officeDocument/2006/relationships/hyperlink" Target="https://discover.ukdataservice.ac.uk/series/?sn=2000111" TargetMode="External"/><Relationship Id="rId14" Type="http://schemas.openxmlformats.org/officeDocument/2006/relationships/hyperlink" Target="https://www.clos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B5BB-8AE3-45CC-939A-ADE3DAC1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19012</Words>
  <Characters>108373</Characters>
  <Application>Microsoft Office Word</Application>
  <DocSecurity>4</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O'Neill</dc:creator>
  <cp:keywords/>
  <dc:description/>
  <cp:lastModifiedBy>Karen Drake</cp:lastModifiedBy>
  <cp:revision>2</cp:revision>
  <cp:lastPrinted>2018-11-12T21:26:00Z</cp:lastPrinted>
  <dcterms:created xsi:type="dcterms:W3CDTF">2019-02-25T14:07:00Z</dcterms:created>
  <dcterms:modified xsi:type="dcterms:W3CDTF">2019-02-25T14:07:00Z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22afb553-b312-3f15-b7eb-5f953f4f0b2c</vt:lpwstr>
  </property>
  <property fmtid="{D5CDD505-2E9C-101B-9397-08002B2CF9AE}" pid="4" name="Mendeley Citation Style_1">
    <vt:lpwstr>http://csl.mendeley.com/styles/474110761/international-journal-of-epidemiology-2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http://csl.mendeley.com/styles/474110761/international-journal-of-epidemiology-2</vt:lpwstr>
  </property>
  <property fmtid="{D5CDD505-2E9C-101B-9397-08002B2CF9AE}" pid="20" name="Mendeley Recent Style Name 7_1">
    <vt:lpwstr>International Journal of Epidemiology - Dara O'Neill</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