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F8515" w14:textId="77777777" w:rsidR="005847E8" w:rsidRDefault="00375A93" w:rsidP="005D235B">
      <w:pPr>
        <w:spacing w:line="360" w:lineRule="auto"/>
        <w:jc w:val="center"/>
        <w:rPr>
          <w:color w:val="000000"/>
          <w:szCs w:val="24"/>
        </w:rPr>
      </w:pPr>
      <w:bookmarkStart w:id="0" w:name="_GoBack"/>
      <w:bookmarkEnd w:id="0"/>
      <w:r>
        <w:rPr>
          <w:b/>
          <w:color w:val="000000"/>
          <w:szCs w:val="24"/>
        </w:rPr>
        <w:t xml:space="preserve"> </w:t>
      </w:r>
      <w:r w:rsidR="004F4110">
        <w:rPr>
          <w:b/>
          <w:color w:val="000000"/>
          <w:szCs w:val="24"/>
        </w:rPr>
        <w:t xml:space="preserve"> </w:t>
      </w:r>
      <w:r w:rsidR="00F73E2C" w:rsidRPr="00F73E2C">
        <w:rPr>
          <w:b/>
          <w:color w:val="000000"/>
          <w:szCs w:val="24"/>
        </w:rPr>
        <w:t xml:space="preserve">'The Private-Public Divide </w:t>
      </w:r>
      <w:r w:rsidR="00D26028">
        <w:rPr>
          <w:b/>
          <w:color w:val="000000"/>
          <w:szCs w:val="24"/>
        </w:rPr>
        <w:t xml:space="preserve">and Horizontality </w:t>
      </w:r>
      <w:r w:rsidR="00F73E2C" w:rsidRPr="00F73E2C">
        <w:rPr>
          <w:b/>
          <w:color w:val="000000"/>
          <w:szCs w:val="24"/>
        </w:rPr>
        <w:t>in the English Rental Sector'</w:t>
      </w:r>
    </w:p>
    <w:p w14:paraId="6FA1381D" w14:textId="77777777" w:rsidR="00F73E2C" w:rsidRDefault="00F73E2C" w:rsidP="005D235B">
      <w:pPr>
        <w:spacing w:line="360" w:lineRule="auto"/>
        <w:jc w:val="center"/>
        <w:rPr>
          <w:color w:val="000000"/>
          <w:szCs w:val="24"/>
        </w:rPr>
      </w:pPr>
    </w:p>
    <w:p w14:paraId="629EAE7F" w14:textId="5E340367" w:rsidR="00002CF4" w:rsidRDefault="00487C1C" w:rsidP="005D235B">
      <w:pPr>
        <w:spacing w:line="360" w:lineRule="auto"/>
        <w:rPr>
          <w:color w:val="000000"/>
          <w:szCs w:val="24"/>
        </w:rPr>
      </w:pPr>
      <w:r>
        <w:rPr>
          <w:color w:val="000000"/>
          <w:szCs w:val="24"/>
        </w:rPr>
        <w:t>The Supreme Court’s decision</w:t>
      </w:r>
      <w:r w:rsidR="00481110">
        <w:rPr>
          <w:color w:val="000000"/>
          <w:szCs w:val="24"/>
        </w:rPr>
        <w:t xml:space="preserve"> in </w:t>
      </w:r>
      <w:r w:rsidR="00481110">
        <w:rPr>
          <w:i/>
          <w:color w:val="000000"/>
          <w:szCs w:val="24"/>
        </w:rPr>
        <w:t>McDonald</w:t>
      </w:r>
      <w:r>
        <w:rPr>
          <w:i/>
          <w:color w:val="000000"/>
          <w:szCs w:val="24"/>
        </w:rPr>
        <w:t>,</w:t>
      </w:r>
      <w:r w:rsidR="00481110" w:rsidRPr="00530FA8">
        <w:rPr>
          <w:rStyle w:val="FootnoteReference"/>
          <w:color w:val="000000"/>
          <w:szCs w:val="24"/>
        </w:rPr>
        <w:footnoteReference w:id="1"/>
      </w:r>
      <w:r w:rsidR="00481110">
        <w:rPr>
          <w:color w:val="000000"/>
          <w:szCs w:val="24"/>
        </w:rPr>
        <w:t xml:space="preserve"> that those renting in the private </w:t>
      </w:r>
      <w:r w:rsidR="009C7DC4">
        <w:rPr>
          <w:color w:val="000000"/>
          <w:szCs w:val="24"/>
        </w:rPr>
        <w:t xml:space="preserve">housing </w:t>
      </w:r>
      <w:r w:rsidR="00481110">
        <w:rPr>
          <w:color w:val="000000"/>
          <w:szCs w:val="24"/>
        </w:rPr>
        <w:t xml:space="preserve">sector may not challenge their </w:t>
      </w:r>
      <w:r w:rsidR="009C7DC4">
        <w:rPr>
          <w:color w:val="000000"/>
          <w:szCs w:val="24"/>
        </w:rPr>
        <w:t>mandatory</w:t>
      </w:r>
      <w:r w:rsidR="002B5ED8">
        <w:rPr>
          <w:color w:val="000000"/>
          <w:szCs w:val="24"/>
        </w:rPr>
        <w:t>, no-fault</w:t>
      </w:r>
      <w:r w:rsidR="009C7DC4">
        <w:rPr>
          <w:color w:val="000000"/>
          <w:szCs w:val="24"/>
        </w:rPr>
        <w:t xml:space="preserve"> </w:t>
      </w:r>
      <w:r w:rsidR="00481110">
        <w:rPr>
          <w:color w:val="000000"/>
          <w:szCs w:val="24"/>
        </w:rPr>
        <w:t>eviction under article 8 of the European Convention on Human Rights</w:t>
      </w:r>
      <w:r w:rsidR="006E210D">
        <w:rPr>
          <w:color w:val="000000"/>
          <w:szCs w:val="24"/>
        </w:rPr>
        <w:t xml:space="preserve"> (The Convention)</w:t>
      </w:r>
      <w:r w:rsidR="00481110">
        <w:rPr>
          <w:color w:val="000000"/>
          <w:szCs w:val="24"/>
        </w:rPr>
        <w:t xml:space="preserve">, at a stroke </w:t>
      </w:r>
      <w:r w:rsidR="00481110">
        <w:rPr>
          <w:szCs w:val="24"/>
        </w:rPr>
        <w:t xml:space="preserve">denied more than </w:t>
      </w:r>
      <w:r w:rsidR="008739CB">
        <w:rPr>
          <w:szCs w:val="24"/>
        </w:rPr>
        <w:t>half the renting population</w:t>
      </w:r>
      <w:r w:rsidR="00F53A26">
        <w:rPr>
          <w:szCs w:val="24"/>
        </w:rPr>
        <w:t xml:space="preserve"> protection for </w:t>
      </w:r>
      <w:r w:rsidR="009C7DC4">
        <w:rPr>
          <w:szCs w:val="24"/>
        </w:rPr>
        <w:t>their home</w:t>
      </w:r>
      <w:r w:rsidR="00F53A26">
        <w:rPr>
          <w:szCs w:val="24"/>
        </w:rPr>
        <w:t>.</w:t>
      </w:r>
      <w:r w:rsidR="00F53A26">
        <w:rPr>
          <w:rStyle w:val="FootnoteReference"/>
          <w:szCs w:val="24"/>
        </w:rPr>
        <w:footnoteReference w:id="2"/>
      </w:r>
      <w:r w:rsidR="00F53A26">
        <w:rPr>
          <w:szCs w:val="24"/>
        </w:rPr>
        <w:t xml:space="preserve">  </w:t>
      </w:r>
      <w:r w:rsidR="00076091">
        <w:rPr>
          <w:szCs w:val="24"/>
        </w:rPr>
        <w:t xml:space="preserve">Disappointingly, </w:t>
      </w:r>
      <w:r w:rsidR="00941725">
        <w:rPr>
          <w:szCs w:val="24"/>
        </w:rPr>
        <w:t>the European Court of Human Rights (ECtHR) has supported the Supreme Court</w:t>
      </w:r>
      <w:r w:rsidR="00420029">
        <w:rPr>
          <w:szCs w:val="24"/>
        </w:rPr>
        <w:t>,</w:t>
      </w:r>
      <w:r w:rsidR="001462A3">
        <w:rPr>
          <w:szCs w:val="24"/>
        </w:rPr>
        <w:t xml:space="preserve"> in </w:t>
      </w:r>
      <w:r w:rsidR="001462A3">
        <w:rPr>
          <w:i/>
          <w:szCs w:val="24"/>
        </w:rPr>
        <w:t>FJM v UK</w:t>
      </w:r>
      <w:r w:rsidR="00941725">
        <w:rPr>
          <w:szCs w:val="24"/>
        </w:rPr>
        <w:t>,</w:t>
      </w:r>
      <w:r w:rsidR="00941725">
        <w:rPr>
          <w:rStyle w:val="FootnoteReference"/>
          <w:szCs w:val="24"/>
        </w:rPr>
        <w:footnoteReference w:id="3"/>
      </w:r>
      <w:r w:rsidR="00941725">
        <w:rPr>
          <w:szCs w:val="24"/>
        </w:rPr>
        <w:t xml:space="preserve"> despite describing home </w:t>
      </w:r>
      <w:r w:rsidR="009C7DC4">
        <w:rPr>
          <w:color w:val="000000"/>
          <w:szCs w:val="24"/>
        </w:rPr>
        <w:t>as being “of central importance to an individual’s physical and moral integrity, maintenance of relationships with others and a settled and secure place in the community”</w:t>
      </w:r>
      <w:r w:rsidR="00C4519C">
        <w:rPr>
          <w:color w:val="000000"/>
          <w:szCs w:val="24"/>
        </w:rPr>
        <w:t>,</w:t>
      </w:r>
      <w:r w:rsidR="009C7DC4">
        <w:rPr>
          <w:rStyle w:val="FootnoteReference"/>
          <w:color w:val="000000"/>
          <w:szCs w:val="24"/>
        </w:rPr>
        <w:footnoteReference w:id="4"/>
      </w:r>
      <w:r w:rsidR="009C7DC4">
        <w:rPr>
          <w:color w:val="000000"/>
          <w:szCs w:val="24"/>
        </w:rPr>
        <w:t xml:space="preserve"> </w:t>
      </w:r>
      <w:r w:rsidR="00941725">
        <w:rPr>
          <w:color w:val="000000"/>
          <w:szCs w:val="24"/>
        </w:rPr>
        <w:t xml:space="preserve">and consistently making </w:t>
      </w:r>
      <w:r>
        <w:rPr>
          <w:color w:val="000000"/>
          <w:szCs w:val="24"/>
        </w:rPr>
        <w:t>it clear that they consider repossession a serious, if not the most serious, interference with respect for the home.</w:t>
      </w:r>
      <w:r>
        <w:rPr>
          <w:rStyle w:val="FootnoteReference"/>
          <w:color w:val="000000"/>
          <w:szCs w:val="24"/>
        </w:rPr>
        <w:footnoteReference w:id="5"/>
      </w:r>
      <w:r>
        <w:rPr>
          <w:color w:val="000000"/>
          <w:szCs w:val="24"/>
        </w:rPr>
        <w:t xml:space="preserve"> </w:t>
      </w:r>
      <w:r w:rsidR="00002CF4">
        <w:rPr>
          <w:color w:val="000000"/>
          <w:szCs w:val="24"/>
        </w:rPr>
        <w:t xml:space="preserve"> </w:t>
      </w:r>
      <w:r w:rsidR="00EA68DE">
        <w:rPr>
          <w:color w:val="000000"/>
          <w:szCs w:val="24"/>
        </w:rPr>
        <w:t>The Supreme Court and the ECtHR</w:t>
      </w:r>
      <w:r w:rsidR="0043635B">
        <w:rPr>
          <w:color w:val="000000"/>
          <w:szCs w:val="24"/>
        </w:rPr>
        <w:t xml:space="preserve"> both acknowledged</w:t>
      </w:r>
      <w:r w:rsidR="00002CF4">
        <w:rPr>
          <w:color w:val="000000"/>
          <w:szCs w:val="24"/>
        </w:rPr>
        <w:t xml:space="preserve"> that article 8 was engaged by a no-fault eviction</w:t>
      </w:r>
      <w:r w:rsidR="00036E3A">
        <w:rPr>
          <w:color w:val="000000"/>
          <w:szCs w:val="24"/>
        </w:rPr>
        <w:t xml:space="preserve"> by a private landlord</w:t>
      </w:r>
      <w:r w:rsidR="00002CF4">
        <w:rPr>
          <w:color w:val="000000"/>
          <w:szCs w:val="24"/>
        </w:rPr>
        <w:t xml:space="preserve">, </w:t>
      </w:r>
      <w:r w:rsidR="0043635B">
        <w:rPr>
          <w:color w:val="000000"/>
          <w:szCs w:val="24"/>
        </w:rPr>
        <w:t>but denied</w:t>
      </w:r>
      <w:r w:rsidR="00002CF4">
        <w:rPr>
          <w:color w:val="000000"/>
          <w:szCs w:val="24"/>
        </w:rPr>
        <w:t xml:space="preserve"> that a court needed to demonstrate procedural horizontality</w:t>
      </w:r>
      <w:r w:rsidR="00036E3A">
        <w:rPr>
          <w:color w:val="000000"/>
          <w:szCs w:val="24"/>
        </w:rPr>
        <w:t xml:space="preserve"> should the proportionality of </w:t>
      </w:r>
      <w:r w:rsidR="0043635B">
        <w:rPr>
          <w:color w:val="000000"/>
          <w:szCs w:val="24"/>
        </w:rPr>
        <w:t xml:space="preserve"> the</w:t>
      </w:r>
      <w:r w:rsidR="00036E3A">
        <w:rPr>
          <w:color w:val="000000"/>
          <w:szCs w:val="24"/>
        </w:rPr>
        <w:t xml:space="preserve"> possession order be disputed</w:t>
      </w:r>
      <w:r w:rsidR="00002CF4">
        <w:rPr>
          <w:color w:val="000000"/>
          <w:szCs w:val="24"/>
        </w:rPr>
        <w:t xml:space="preserve">.  </w:t>
      </w:r>
    </w:p>
    <w:p w14:paraId="4F42389D" w14:textId="77777777" w:rsidR="00714091" w:rsidRDefault="00714091" w:rsidP="005D235B">
      <w:pPr>
        <w:spacing w:line="360" w:lineRule="auto"/>
        <w:rPr>
          <w:color w:val="000000"/>
          <w:szCs w:val="24"/>
        </w:rPr>
      </w:pPr>
    </w:p>
    <w:p w14:paraId="3E34359C" w14:textId="3E2F8EE2" w:rsidR="00036E3A" w:rsidRDefault="00941725" w:rsidP="00AB53C1">
      <w:pPr>
        <w:spacing w:line="360" w:lineRule="auto"/>
        <w:rPr>
          <w:rFonts w:eastAsia="Calibri"/>
          <w:szCs w:val="24"/>
        </w:rPr>
      </w:pPr>
      <w:r>
        <w:rPr>
          <w:color w:val="000000"/>
          <w:szCs w:val="24"/>
        </w:rPr>
        <w:t>The Supreme Court has</w:t>
      </w:r>
      <w:r w:rsidR="00487C1C">
        <w:rPr>
          <w:color w:val="000000"/>
          <w:szCs w:val="24"/>
        </w:rPr>
        <w:t xml:space="preserve"> displayed profound reluctance to engage seriously with what</w:t>
      </w:r>
      <w:r w:rsidR="004B6527">
        <w:rPr>
          <w:color w:val="000000"/>
          <w:szCs w:val="24"/>
        </w:rPr>
        <w:t xml:space="preserve"> respect for the home conferred by</w:t>
      </w:r>
      <w:r w:rsidR="00487C1C">
        <w:rPr>
          <w:color w:val="000000"/>
          <w:szCs w:val="24"/>
        </w:rPr>
        <w:t xml:space="preserve"> article 8 means for individuals.  Following a protracted and sometimes testy ‘clash of the Titans’,</w:t>
      </w:r>
      <w:r w:rsidR="00487C1C">
        <w:rPr>
          <w:rStyle w:val="FootnoteReference"/>
          <w:color w:val="000000"/>
          <w:szCs w:val="24"/>
        </w:rPr>
        <w:footnoteReference w:id="6"/>
      </w:r>
      <w:r w:rsidR="00487C1C">
        <w:rPr>
          <w:color w:val="000000"/>
          <w:szCs w:val="24"/>
        </w:rPr>
        <w:t xml:space="preserve"> </w:t>
      </w:r>
      <w:r>
        <w:rPr>
          <w:color w:val="000000"/>
          <w:szCs w:val="24"/>
        </w:rPr>
        <w:t>it</w:t>
      </w:r>
      <w:r w:rsidR="00487C1C">
        <w:rPr>
          <w:color w:val="000000"/>
          <w:szCs w:val="24"/>
        </w:rPr>
        <w:t xml:space="preserve"> has only relatively recently conceded that a public sector</w:t>
      </w:r>
      <w:r w:rsidR="001B0EB6">
        <w:rPr>
          <w:color w:val="000000"/>
          <w:szCs w:val="24"/>
        </w:rPr>
        <w:t xml:space="preserve"> </w:t>
      </w:r>
      <w:r w:rsidR="00487C1C">
        <w:rPr>
          <w:color w:val="000000"/>
          <w:szCs w:val="24"/>
        </w:rPr>
        <w:t>tenant should be entitled to invoke the protection of article 8.</w:t>
      </w:r>
      <w:r w:rsidR="00BA0FC2">
        <w:rPr>
          <w:rStyle w:val="FootnoteReference"/>
          <w:color w:val="000000"/>
          <w:szCs w:val="24"/>
        </w:rPr>
        <w:footnoteReference w:id="7"/>
      </w:r>
      <w:r w:rsidR="00BA0FC2">
        <w:rPr>
          <w:color w:val="000000"/>
          <w:szCs w:val="24"/>
        </w:rPr>
        <w:t xml:space="preserve"> </w:t>
      </w:r>
      <w:r w:rsidR="00002CF4">
        <w:rPr>
          <w:color w:val="000000"/>
          <w:szCs w:val="24"/>
        </w:rPr>
        <w:t xml:space="preserve">Thus a clear </w:t>
      </w:r>
      <w:r w:rsidR="00714091">
        <w:rPr>
          <w:color w:val="000000"/>
          <w:szCs w:val="24"/>
        </w:rPr>
        <w:t>division</w:t>
      </w:r>
      <w:r w:rsidR="00002CF4">
        <w:rPr>
          <w:color w:val="000000"/>
          <w:szCs w:val="24"/>
        </w:rPr>
        <w:t xml:space="preserve"> has </w:t>
      </w:r>
      <w:r w:rsidR="00714091">
        <w:rPr>
          <w:color w:val="000000"/>
          <w:szCs w:val="24"/>
        </w:rPr>
        <w:t xml:space="preserve">now </w:t>
      </w:r>
      <w:r w:rsidR="00002CF4">
        <w:rPr>
          <w:color w:val="000000"/>
          <w:szCs w:val="24"/>
        </w:rPr>
        <w:t>emerged between the article 8 protection enjoyed by tenants renting from public and private landlord</w:t>
      </w:r>
      <w:r w:rsidR="00714091">
        <w:rPr>
          <w:color w:val="000000"/>
          <w:szCs w:val="24"/>
        </w:rPr>
        <w:t>s</w:t>
      </w:r>
      <w:r w:rsidR="00002CF4">
        <w:rPr>
          <w:color w:val="000000"/>
          <w:szCs w:val="24"/>
        </w:rPr>
        <w:t xml:space="preserve">.  </w:t>
      </w:r>
      <w:r w:rsidR="00714091">
        <w:rPr>
          <w:color w:val="000000"/>
          <w:szCs w:val="24"/>
        </w:rPr>
        <w:t xml:space="preserve"> </w:t>
      </w:r>
      <w:r w:rsidR="00F53A26">
        <w:rPr>
          <w:color w:val="000000"/>
          <w:szCs w:val="24"/>
        </w:rPr>
        <w:t xml:space="preserve">We </w:t>
      </w:r>
      <w:r w:rsidR="00530FA8">
        <w:rPr>
          <w:color w:val="000000"/>
          <w:szCs w:val="24"/>
        </w:rPr>
        <w:t xml:space="preserve">draw on </w:t>
      </w:r>
      <w:r w:rsidR="00F53A26" w:rsidRPr="00DB2754">
        <w:rPr>
          <w:i/>
          <w:color w:val="000000"/>
          <w:szCs w:val="24"/>
        </w:rPr>
        <w:t>McDonald</w:t>
      </w:r>
      <w:r w:rsidR="00F53A26">
        <w:rPr>
          <w:color w:val="000000"/>
          <w:szCs w:val="24"/>
        </w:rPr>
        <w:t xml:space="preserve"> to </w:t>
      </w:r>
      <w:r w:rsidR="00F24ADF">
        <w:rPr>
          <w:color w:val="000000"/>
          <w:szCs w:val="24"/>
        </w:rPr>
        <w:t xml:space="preserve">challenge </w:t>
      </w:r>
      <w:r w:rsidR="00B16CA4">
        <w:rPr>
          <w:color w:val="000000"/>
          <w:szCs w:val="24"/>
        </w:rPr>
        <w:t>this public</w:t>
      </w:r>
      <w:r w:rsidR="0043635B">
        <w:rPr>
          <w:color w:val="000000"/>
          <w:szCs w:val="24"/>
        </w:rPr>
        <w:t>-</w:t>
      </w:r>
      <w:r w:rsidR="00B16CA4">
        <w:rPr>
          <w:color w:val="000000"/>
          <w:szCs w:val="24"/>
        </w:rPr>
        <w:t xml:space="preserve">private divide within the rental sector and </w:t>
      </w:r>
      <w:r w:rsidR="00D22057">
        <w:rPr>
          <w:color w:val="000000"/>
          <w:szCs w:val="24"/>
        </w:rPr>
        <w:t xml:space="preserve">the </w:t>
      </w:r>
      <w:r w:rsidR="0001105C">
        <w:rPr>
          <w:color w:val="000000"/>
          <w:szCs w:val="24"/>
        </w:rPr>
        <w:t xml:space="preserve">associated rejection </w:t>
      </w:r>
      <w:r w:rsidR="00B16CA4">
        <w:rPr>
          <w:color w:val="000000"/>
          <w:szCs w:val="24"/>
        </w:rPr>
        <w:t>of procedural horizontality</w:t>
      </w:r>
      <w:r w:rsidR="00F24ADF">
        <w:rPr>
          <w:color w:val="000000"/>
          <w:szCs w:val="24"/>
        </w:rPr>
        <w:t xml:space="preserve">. We </w:t>
      </w:r>
      <w:r w:rsidR="00D22057">
        <w:rPr>
          <w:color w:val="000000"/>
          <w:szCs w:val="24"/>
        </w:rPr>
        <w:t xml:space="preserve">question  whether </w:t>
      </w:r>
      <w:r w:rsidR="00D22057">
        <w:rPr>
          <w:color w:val="000000"/>
          <w:szCs w:val="24"/>
        </w:rPr>
        <w:lastRenderedPageBreak/>
        <w:t>the court is a mere forum for the resolution of private disputes or whether</w:t>
      </w:r>
      <w:r w:rsidR="00B16CA4">
        <w:rPr>
          <w:color w:val="000000"/>
          <w:szCs w:val="24"/>
        </w:rPr>
        <w:t>, as a public authority,</w:t>
      </w:r>
      <w:r w:rsidR="00D94CFE">
        <w:rPr>
          <w:color w:val="000000"/>
          <w:szCs w:val="24"/>
        </w:rPr>
        <w:t xml:space="preserve"> it</w:t>
      </w:r>
      <w:r w:rsidR="00B16CA4">
        <w:rPr>
          <w:color w:val="000000"/>
          <w:szCs w:val="24"/>
        </w:rPr>
        <w:t xml:space="preserve"> should</w:t>
      </w:r>
      <w:r w:rsidR="0061779D">
        <w:rPr>
          <w:color w:val="000000"/>
          <w:szCs w:val="24"/>
        </w:rPr>
        <w:t xml:space="preserve"> </w:t>
      </w:r>
      <w:r w:rsidR="00D22057">
        <w:rPr>
          <w:color w:val="000000"/>
          <w:szCs w:val="24"/>
        </w:rPr>
        <w:t xml:space="preserve"> take a more pro-active role in </w:t>
      </w:r>
      <w:r w:rsidR="003248A9">
        <w:rPr>
          <w:color w:val="000000"/>
          <w:szCs w:val="24"/>
        </w:rPr>
        <w:t xml:space="preserve">balancing </w:t>
      </w:r>
      <w:r w:rsidR="00D22057">
        <w:rPr>
          <w:color w:val="000000"/>
          <w:szCs w:val="24"/>
        </w:rPr>
        <w:t xml:space="preserve"> human rights norms</w:t>
      </w:r>
      <w:r w:rsidR="00F24ADF">
        <w:rPr>
          <w:color w:val="000000"/>
          <w:szCs w:val="24"/>
        </w:rPr>
        <w:t xml:space="preserve"> when </w:t>
      </w:r>
      <w:r w:rsidR="002768D7">
        <w:rPr>
          <w:color w:val="000000"/>
          <w:szCs w:val="24"/>
        </w:rPr>
        <w:t xml:space="preserve">they are directly and seriously infringed by </w:t>
      </w:r>
      <w:r w:rsidR="00F24ADF">
        <w:rPr>
          <w:color w:val="000000"/>
          <w:szCs w:val="24"/>
        </w:rPr>
        <w:t>private contractual relations</w:t>
      </w:r>
      <w:r w:rsidR="00D22057">
        <w:rPr>
          <w:color w:val="000000"/>
          <w:szCs w:val="24"/>
        </w:rPr>
        <w:t xml:space="preserve">.  </w:t>
      </w:r>
      <w:r w:rsidR="003248A9">
        <w:rPr>
          <w:color w:val="000000"/>
          <w:szCs w:val="24"/>
        </w:rPr>
        <w:t>T</w:t>
      </w:r>
      <w:r w:rsidR="00D22057">
        <w:rPr>
          <w:color w:val="000000"/>
          <w:szCs w:val="24"/>
        </w:rPr>
        <w:t xml:space="preserve">he </w:t>
      </w:r>
      <w:r w:rsidR="00D22057">
        <w:rPr>
          <w:rFonts w:eastAsia="Calibri"/>
          <w:szCs w:val="24"/>
        </w:rPr>
        <w:t xml:space="preserve">courts’ constitutional relationship with Parliament under the </w:t>
      </w:r>
      <w:r w:rsidR="00B70BA5">
        <w:rPr>
          <w:rFonts w:eastAsia="Calibri"/>
          <w:szCs w:val="24"/>
        </w:rPr>
        <w:t>HRA 1998</w:t>
      </w:r>
      <w:r w:rsidR="00036E3A">
        <w:rPr>
          <w:rFonts w:eastAsia="Calibri"/>
          <w:szCs w:val="24"/>
        </w:rPr>
        <w:t xml:space="preserve"> is thus under scrutiny</w:t>
      </w:r>
      <w:r w:rsidR="00CE606E">
        <w:rPr>
          <w:rFonts w:eastAsia="Calibri"/>
          <w:szCs w:val="24"/>
        </w:rPr>
        <w:t>.</w:t>
      </w:r>
      <w:r w:rsidR="006A313F">
        <w:rPr>
          <w:rStyle w:val="FootnoteReference"/>
          <w:rFonts w:eastAsia="Calibri"/>
          <w:szCs w:val="24"/>
        </w:rPr>
        <w:footnoteReference w:id="8"/>
      </w:r>
      <w:r w:rsidR="0001105C">
        <w:rPr>
          <w:rFonts w:eastAsia="Calibri"/>
          <w:szCs w:val="24"/>
        </w:rPr>
        <w:t xml:space="preserve"> </w:t>
      </w:r>
      <w:r w:rsidR="00D22057">
        <w:rPr>
          <w:rFonts w:eastAsia="Calibri"/>
          <w:szCs w:val="24"/>
        </w:rPr>
        <w:t xml:space="preserve">We accept that it is for Parliament to formulate housing policy, </w:t>
      </w:r>
      <w:r w:rsidR="00B02BC6">
        <w:rPr>
          <w:rFonts w:eastAsia="Calibri"/>
          <w:szCs w:val="24"/>
        </w:rPr>
        <w:t xml:space="preserve">and the government has </w:t>
      </w:r>
      <w:r w:rsidR="00482794">
        <w:rPr>
          <w:rFonts w:eastAsia="Calibri"/>
          <w:szCs w:val="24"/>
        </w:rPr>
        <w:t>recently</w:t>
      </w:r>
      <w:r w:rsidR="00B02BC6">
        <w:rPr>
          <w:rFonts w:eastAsia="Calibri"/>
          <w:szCs w:val="24"/>
        </w:rPr>
        <w:t xml:space="preserve"> </w:t>
      </w:r>
      <w:r w:rsidR="001B5B28">
        <w:rPr>
          <w:rFonts w:eastAsia="Calibri"/>
          <w:szCs w:val="24"/>
        </w:rPr>
        <w:t>acknowledged</w:t>
      </w:r>
      <w:r w:rsidR="00B02BC6">
        <w:rPr>
          <w:rFonts w:eastAsia="Calibri"/>
          <w:szCs w:val="24"/>
        </w:rPr>
        <w:t xml:space="preserve"> </w:t>
      </w:r>
      <w:r w:rsidR="009A6B8D">
        <w:rPr>
          <w:rFonts w:eastAsia="Calibri"/>
          <w:szCs w:val="24"/>
        </w:rPr>
        <w:t>the</w:t>
      </w:r>
      <w:r w:rsidR="001B5B28">
        <w:rPr>
          <w:rFonts w:eastAsia="Calibri"/>
          <w:szCs w:val="24"/>
        </w:rPr>
        <w:t xml:space="preserve"> inherent contradiction in the </w:t>
      </w:r>
      <w:r w:rsidR="00C3601A">
        <w:rPr>
          <w:rFonts w:eastAsia="Calibri"/>
          <w:szCs w:val="24"/>
        </w:rPr>
        <w:t xml:space="preserve">current </w:t>
      </w:r>
      <w:r w:rsidR="001B5B28">
        <w:rPr>
          <w:rFonts w:eastAsia="Calibri"/>
          <w:szCs w:val="24"/>
        </w:rPr>
        <w:t xml:space="preserve">private sector rental model </w:t>
      </w:r>
      <w:r w:rsidR="00C3601A">
        <w:rPr>
          <w:rFonts w:eastAsia="Calibri"/>
          <w:szCs w:val="24"/>
        </w:rPr>
        <w:t>and the needs of tenants</w:t>
      </w:r>
      <w:r w:rsidR="001B5B28">
        <w:rPr>
          <w:rFonts w:eastAsia="Calibri"/>
          <w:szCs w:val="24"/>
        </w:rPr>
        <w:t>.</w:t>
      </w:r>
      <w:r w:rsidR="00C3601A">
        <w:rPr>
          <w:rStyle w:val="FootnoteReference"/>
          <w:rFonts w:eastAsia="Calibri"/>
          <w:szCs w:val="24"/>
        </w:rPr>
        <w:footnoteReference w:id="9"/>
      </w:r>
      <w:r w:rsidR="001B5B28">
        <w:rPr>
          <w:rFonts w:eastAsia="Calibri"/>
          <w:szCs w:val="24"/>
        </w:rPr>
        <w:t xml:space="preserve"> </w:t>
      </w:r>
      <w:r w:rsidR="00482794">
        <w:rPr>
          <w:color w:val="000000"/>
          <w:szCs w:val="24"/>
        </w:rPr>
        <w:t>N</w:t>
      </w:r>
      <w:r w:rsidR="00D22057">
        <w:rPr>
          <w:color w:val="000000"/>
          <w:szCs w:val="24"/>
        </w:rPr>
        <w:t>o action has yet been taken</w:t>
      </w:r>
      <w:r w:rsidR="00D84E85">
        <w:rPr>
          <w:color w:val="000000"/>
          <w:szCs w:val="24"/>
        </w:rPr>
        <w:t xml:space="preserve"> and </w:t>
      </w:r>
      <w:r w:rsidR="00277EF5">
        <w:rPr>
          <w:color w:val="000000"/>
          <w:szCs w:val="24"/>
        </w:rPr>
        <w:t xml:space="preserve">adverse reactions by landlord groups to the government’s recent proposal </w:t>
      </w:r>
      <w:r w:rsidR="00482794">
        <w:rPr>
          <w:color w:val="000000"/>
          <w:szCs w:val="24"/>
        </w:rPr>
        <w:t xml:space="preserve">to extend security of tenure </w:t>
      </w:r>
      <w:r w:rsidR="00277EF5">
        <w:rPr>
          <w:color w:val="000000"/>
          <w:szCs w:val="24"/>
        </w:rPr>
        <w:t xml:space="preserve">may scupper </w:t>
      </w:r>
      <w:r w:rsidR="00482794">
        <w:rPr>
          <w:color w:val="000000"/>
          <w:szCs w:val="24"/>
        </w:rPr>
        <w:t>reform</w:t>
      </w:r>
      <w:r w:rsidR="00277EF5">
        <w:rPr>
          <w:color w:val="000000"/>
          <w:szCs w:val="24"/>
        </w:rPr>
        <w:t>.</w:t>
      </w:r>
      <w:r w:rsidR="00277EF5">
        <w:rPr>
          <w:rStyle w:val="FootnoteReference"/>
          <w:color w:val="000000"/>
          <w:szCs w:val="24"/>
        </w:rPr>
        <w:footnoteReference w:id="10"/>
      </w:r>
      <w:r w:rsidR="00D22057">
        <w:rPr>
          <w:color w:val="000000"/>
          <w:szCs w:val="24"/>
        </w:rPr>
        <w:t xml:space="preserve">  </w:t>
      </w:r>
      <w:r w:rsidR="00530FA8">
        <w:rPr>
          <w:color w:val="000000"/>
          <w:szCs w:val="24"/>
        </w:rPr>
        <w:t>Equally, t</w:t>
      </w:r>
      <w:r w:rsidR="00D22057">
        <w:rPr>
          <w:color w:val="000000"/>
          <w:szCs w:val="24"/>
        </w:rPr>
        <w:t>he horizontal application of the Convention has long been identified as a particularly controversial subject that lacks coherence.</w:t>
      </w:r>
      <w:r w:rsidR="00D22057" w:rsidRPr="008D5214">
        <w:rPr>
          <w:rStyle w:val="FootnoteReference"/>
          <w:sz w:val="20"/>
        </w:rPr>
        <w:footnoteReference w:id="11"/>
      </w:r>
      <w:r w:rsidR="00D22057" w:rsidRPr="008D5214">
        <w:rPr>
          <w:color w:val="5F497A" w:themeColor="accent4" w:themeShade="BF"/>
          <w:szCs w:val="24"/>
        </w:rPr>
        <w:t xml:space="preserve"> </w:t>
      </w:r>
      <w:r w:rsidR="00D22057">
        <w:rPr>
          <w:color w:val="000000"/>
          <w:szCs w:val="24"/>
        </w:rPr>
        <w:t xml:space="preserve">  Nevertheless, we argue that </w:t>
      </w:r>
      <w:r w:rsidR="0001105C">
        <w:rPr>
          <w:color w:val="000000"/>
          <w:szCs w:val="24"/>
        </w:rPr>
        <w:t xml:space="preserve">human rights protection </w:t>
      </w:r>
      <w:r w:rsidR="002768D7">
        <w:rPr>
          <w:color w:val="000000"/>
          <w:szCs w:val="24"/>
        </w:rPr>
        <w:t>has been</w:t>
      </w:r>
      <w:r w:rsidR="0001105C">
        <w:rPr>
          <w:color w:val="000000"/>
          <w:szCs w:val="24"/>
        </w:rPr>
        <w:t xml:space="preserve"> </w:t>
      </w:r>
      <w:r w:rsidR="00D94CFE">
        <w:rPr>
          <w:color w:val="000000"/>
          <w:szCs w:val="24"/>
        </w:rPr>
        <w:t>side-lined</w:t>
      </w:r>
      <w:r w:rsidR="0001105C">
        <w:rPr>
          <w:color w:val="000000"/>
          <w:szCs w:val="24"/>
        </w:rPr>
        <w:t xml:space="preserve"> by adopting </w:t>
      </w:r>
      <w:r w:rsidR="00D22057">
        <w:rPr>
          <w:color w:val="000000"/>
          <w:szCs w:val="24"/>
        </w:rPr>
        <w:t>a simplistic conception of the private</w:t>
      </w:r>
      <w:r w:rsidR="00B3236F">
        <w:rPr>
          <w:color w:val="000000"/>
          <w:szCs w:val="24"/>
        </w:rPr>
        <w:t>, consensual</w:t>
      </w:r>
      <w:r w:rsidR="00D22057">
        <w:rPr>
          <w:color w:val="000000"/>
          <w:szCs w:val="24"/>
        </w:rPr>
        <w:t xml:space="preserve"> nature of the rental agreement which ignores the complex reality of housing provision</w:t>
      </w:r>
      <w:r w:rsidR="00D55113">
        <w:rPr>
          <w:color w:val="000000"/>
          <w:szCs w:val="24"/>
        </w:rPr>
        <w:t xml:space="preserve">. </w:t>
      </w:r>
      <w:r w:rsidR="009C0689">
        <w:rPr>
          <w:color w:val="000000"/>
          <w:szCs w:val="24"/>
        </w:rPr>
        <w:t>W</w:t>
      </w:r>
      <w:r w:rsidR="00D22057">
        <w:rPr>
          <w:color w:val="000000"/>
          <w:szCs w:val="24"/>
        </w:rPr>
        <w:t xml:space="preserve">e criticise the weakness of </w:t>
      </w:r>
      <w:r w:rsidR="0001105C">
        <w:rPr>
          <w:color w:val="000000"/>
          <w:szCs w:val="24"/>
        </w:rPr>
        <w:t xml:space="preserve">this approach </w:t>
      </w:r>
      <w:r w:rsidR="00530FA8">
        <w:rPr>
          <w:color w:val="000000"/>
          <w:szCs w:val="24"/>
        </w:rPr>
        <w:t xml:space="preserve">which reflects </w:t>
      </w:r>
      <w:r w:rsidR="00D22057">
        <w:rPr>
          <w:color w:val="000000"/>
          <w:szCs w:val="24"/>
        </w:rPr>
        <w:t>excessive deference</w:t>
      </w:r>
      <w:r w:rsidR="0001105C">
        <w:rPr>
          <w:color w:val="000000"/>
          <w:szCs w:val="24"/>
        </w:rPr>
        <w:t xml:space="preserve"> to the</w:t>
      </w:r>
      <w:r w:rsidR="00036E3A">
        <w:rPr>
          <w:color w:val="000000"/>
          <w:szCs w:val="24"/>
        </w:rPr>
        <w:t xml:space="preserve"> legislature</w:t>
      </w:r>
      <w:r w:rsidR="00D22057">
        <w:rPr>
          <w:color w:val="000000"/>
          <w:szCs w:val="24"/>
        </w:rPr>
        <w:t xml:space="preserve">, </w:t>
      </w:r>
      <w:r w:rsidR="00530FA8">
        <w:rPr>
          <w:color w:val="000000"/>
          <w:szCs w:val="24"/>
        </w:rPr>
        <w:t>and represents</w:t>
      </w:r>
      <w:r w:rsidR="00D22057">
        <w:rPr>
          <w:color w:val="000000"/>
          <w:szCs w:val="24"/>
        </w:rPr>
        <w:t xml:space="preserve"> a missed opportunity to engage in dialogue with the executive and legislature.</w:t>
      </w:r>
      <w:r w:rsidR="00530FA8">
        <w:rPr>
          <w:rStyle w:val="FootnoteReference"/>
          <w:rFonts w:eastAsia="Calibri"/>
          <w:szCs w:val="24"/>
        </w:rPr>
        <w:footnoteReference w:id="12"/>
      </w:r>
      <w:r w:rsidR="00530FA8">
        <w:rPr>
          <w:rFonts w:eastAsia="Calibri"/>
          <w:szCs w:val="24"/>
        </w:rPr>
        <w:t xml:space="preserve">  </w:t>
      </w:r>
    </w:p>
    <w:p w14:paraId="41AB88CD" w14:textId="77777777" w:rsidR="00036E3A" w:rsidRDefault="00036E3A" w:rsidP="005D235B">
      <w:pPr>
        <w:spacing w:after="0" w:line="360" w:lineRule="auto"/>
        <w:rPr>
          <w:rFonts w:eastAsia="Calibri"/>
          <w:szCs w:val="24"/>
        </w:rPr>
      </w:pPr>
    </w:p>
    <w:p w14:paraId="6FD4F3B5" w14:textId="2F26893D" w:rsidR="00A603B4" w:rsidRDefault="00530FA8" w:rsidP="005D235B">
      <w:pPr>
        <w:spacing w:after="0" w:line="360" w:lineRule="auto"/>
        <w:rPr>
          <w:szCs w:val="24"/>
        </w:rPr>
      </w:pPr>
      <w:r>
        <w:rPr>
          <w:rFonts w:eastAsia="Calibri"/>
          <w:szCs w:val="24"/>
        </w:rPr>
        <w:t xml:space="preserve">We propose that proportionality provides an appropriately flexible </w:t>
      </w:r>
      <w:r w:rsidRPr="00E95AF0">
        <w:rPr>
          <w:rFonts w:eastAsia="Calibri"/>
          <w:szCs w:val="24"/>
        </w:rPr>
        <w:t>framework simultaneously to respect the sovereignty of Parliament, as the arbiter of the private landlord-tenant relationship at the macro level, while giving meaningful effect to the tenant’s article 8 rights at the micro level.</w:t>
      </w:r>
      <w:r>
        <w:rPr>
          <w:rStyle w:val="FootnoteReference"/>
          <w:rFonts w:eastAsia="Calibri"/>
          <w:szCs w:val="24"/>
        </w:rPr>
        <w:footnoteReference w:id="13"/>
      </w:r>
      <w:r>
        <w:rPr>
          <w:rFonts w:eastAsia="Calibri"/>
          <w:szCs w:val="24"/>
        </w:rPr>
        <w:t xml:space="preserve">  A</w:t>
      </w:r>
      <w:r w:rsidRPr="00E95AF0">
        <w:rPr>
          <w:rFonts w:eastAsia="Calibri"/>
          <w:szCs w:val="24"/>
        </w:rPr>
        <w:t xml:space="preserve">ccepting </w:t>
      </w:r>
      <w:r>
        <w:rPr>
          <w:rFonts w:eastAsia="Calibri"/>
          <w:szCs w:val="24"/>
        </w:rPr>
        <w:t xml:space="preserve">this </w:t>
      </w:r>
      <w:r w:rsidRPr="00E95AF0">
        <w:rPr>
          <w:rFonts w:eastAsia="Calibri"/>
          <w:szCs w:val="24"/>
        </w:rPr>
        <w:t>wide</w:t>
      </w:r>
      <w:r>
        <w:rPr>
          <w:rFonts w:eastAsia="Calibri"/>
          <w:szCs w:val="24"/>
        </w:rPr>
        <w:t>r</w:t>
      </w:r>
      <w:r w:rsidRPr="00E95AF0">
        <w:rPr>
          <w:rFonts w:eastAsia="Calibri"/>
          <w:szCs w:val="24"/>
        </w:rPr>
        <w:t xml:space="preserve"> application of the Convention avoids having to draw unprincipled distinctions </w:t>
      </w:r>
      <w:r>
        <w:rPr>
          <w:rFonts w:eastAsia="Calibri"/>
          <w:szCs w:val="24"/>
        </w:rPr>
        <w:t xml:space="preserve">between the public and private, </w:t>
      </w:r>
      <w:r w:rsidRPr="00E95AF0">
        <w:rPr>
          <w:rFonts w:eastAsia="Calibri"/>
          <w:szCs w:val="24"/>
        </w:rPr>
        <w:t>and shifts attent</w:t>
      </w:r>
      <w:r>
        <w:rPr>
          <w:rFonts w:eastAsia="Calibri"/>
          <w:szCs w:val="24"/>
        </w:rPr>
        <w:t xml:space="preserve">ion to compatibility </w:t>
      </w:r>
      <w:r w:rsidRPr="00E95AF0">
        <w:rPr>
          <w:rFonts w:eastAsia="Calibri"/>
          <w:szCs w:val="24"/>
        </w:rPr>
        <w:t>through the application of proportionality.</w:t>
      </w:r>
      <w:r w:rsidRPr="00E95AF0">
        <w:rPr>
          <w:rStyle w:val="FootnoteReference"/>
          <w:rFonts w:eastAsia="Calibri"/>
          <w:szCs w:val="24"/>
        </w:rPr>
        <w:footnoteReference w:id="14"/>
      </w:r>
      <w:r>
        <w:rPr>
          <w:rFonts w:eastAsia="Calibri"/>
          <w:szCs w:val="24"/>
        </w:rPr>
        <w:t xml:space="preserve"> </w:t>
      </w:r>
      <w:r w:rsidR="008B175F">
        <w:rPr>
          <w:rFonts w:eastAsia="Calibri"/>
          <w:szCs w:val="24"/>
        </w:rPr>
        <w:t xml:space="preserve"> </w:t>
      </w:r>
      <w:r w:rsidR="00A603B4">
        <w:rPr>
          <w:rFonts w:eastAsia="Calibri"/>
          <w:szCs w:val="24"/>
        </w:rPr>
        <w:t xml:space="preserve">At a conceptual level, our argument builds on a broader trajectory among Western liberal democracies to recognise </w:t>
      </w:r>
      <w:r w:rsidR="00A603B4">
        <w:rPr>
          <w:rFonts w:eastAsia="Calibri"/>
          <w:szCs w:val="24"/>
        </w:rPr>
        <w:lastRenderedPageBreak/>
        <w:t>“property relations as inescapably embedded within a wider social and environmental context”</w:t>
      </w:r>
      <w:r w:rsidR="00312E67">
        <w:rPr>
          <w:rFonts w:eastAsia="Calibri"/>
          <w:szCs w:val="24"/>
        </w:rPr>
        <w:t>.</w:t>
      </w:r>
      <w:r w:rsidR="00A603B4">
        <w:rPr>
          <w:rStyle w:val="FootnoteReference"/>
          <w:rFonts w:eastAsia="Calibri"/>
          <w:szCs w:val="24"/>
        </w:rPr>
        <w:footnoteReference w:id="15"/>
      </w:r>
      <w:r w:rsidR="00A603B4" w:rsidRPr="00B06524">
        <w:rPr>
          <w:szCs w:val="24"/>
        </w:rPr>
        <w:t xml:space="preserve"> </w:t>
      </w:r>
      <w:r w:rsidR="00A603B4">
        <w:rPr>
          <w:szCs w:val="24"/>
        </w:rPr>
        <w:t xml:space="preserve"> </w:t>
      </w:r>
    </w:p>
    <w:p w14:paraId="79765FA5" w14:textId="77777777" w:rsidR="00102957" w:rsidRDefault="00102957" w:rsidP="005D235B">
      <w:pPr>
        <w:spacing w:after="0" w:line="360" w:lineRule="auto"/>
        <w:rPr>
          <w:color w:val="000000"/>
          <w:szCs w:val="24"/>
        </w:rPr>
      </w:pPr>
    </w:p>
    <w:p w14:paraId="57964922" w14:textId="707C66F2" w:rsidR="00A603B4" w:rsidRDefault="00A603B4" w:rsidP="005D235B">
      <w:pPr>
        <w:spacing w:after="0" w:line="360" w:lineRule="auto"/>
        <w:rPr>
          <w:szCs w:val="24"/>
        </w:rPr>
      </w:pPr>
      <w:r w:rsidRPr="00471E72">
        <w:rPr>
          <w:szCs w:val="24"/>
        </w:rPr>
        <w:t xml:space="preserve">The paper </w:t>
      </w:r>
      <w:r w:rsidR="009C0689">
        <w:rPr>
          <w:szCs w:val="24"/>
        </w:rPr>
        <w:t xml:space="preserve">outlines </w:t>
      </w:r>
      <w:r w:rsidR="00766152">
        <w:rPr>
          <w:szCs w:val="24"/>
        </w:rPr>
        <w:t>both courts’</w:t>
      </w:r>
      <w:r w:rsidR="009C0689">
        <w:rPr>
          <w:szCs w:val="24"/>
        </w:rPr>
        <w:t xml:space="preserve"> reasoning, before proceeding to question </w:t>
      </w:r>
      <w:r w:rsidR="00766152">
        <w:rPr>
          <w:szCs w:val="24"/>
        </w:rPr>
        <w:t>the</w:t>
      </w:r>
      <w:r w:rsidR="00766152" w:rsidRPr="00471E72">
        <w:rPr>
          <w:szCs w:val="24"/>
        </w:rPr>
        <w:t xml:space="preserve"> </w:t>
      </w:r>
      <w:r w:rsidRPr="00471E72">
        <w:rPr>
          <w:szCs w:val="24"/>
        </w:rPr>
        <w:t>characterisation of the tenancy relationship as private and consensual</w:t>
      </w:r>
      <w:r>
        <w:rPr>
          <w:szCs w:val="24"/>
        </w:rPr>
        <w:t xml:space="preserve"> in the context of the current housing market</w:t>
      </w:r>
      <w:r w:rsidRPr="00471E72">
        <w:rPr>
          <w:szCs w:val="24"/>
        </w:rPr>
        <w:t xml:space="preserve">.  </w:t>
      </w:r>
      <w:r>
        <w:rPr>
          <w:szCs w:val="24"/>
        </w:rPr>
        <w:t xml:space="preserve">We then consider the arguments for horizontal application of Convention rights in light of </w:t>
      </w:r>
      <w:r w:rsidR="00D413D5">
        <w:rPr>
          <w:szCs w:val="24"/>
        </w:rPr>
        <w:t xml:space="preserve">ECtHR </w:t>
      </w:r>
      <w:r>
        <w:rPr>
          <w:szCs w:val="24"/>
        </w:rPr>
        <w:t>jurisprudence, before examining the courts’ aptitude to conduct a proportionality review</w:t>
      </w:r>
      <w:r w:rsidR="00312E67">
        <w:rPr>
          <w:szCs w:val="24"/>
        </w:rPr>
        <w:t xml:space="preserve">. </w:t>
      </w:r>
      <w:r w:rsidR="005457EB">
        <w:rPr>
          <w:szCs w:val="24"/>
        </w:rPr>
        <w:t>Finally, we</w:t>
      </w:r>
      <w:r w:rsidR="00312E67">
        <w:rPr>
          <w:szCs w:val="24"/>
        </w:rPr>
        <w:t xml:space="preserve"> interrogate how the balancing of private parties’ rights required by a horizontal application of proportionality might be accomplished by consider</w:t>
      </w:r>
      <w:r w:rsidR="00D363BD">
        <w:rPr>
          <w:szCs w:val="24"/>
        </w:rPr>
        <w:t>ing</w:t>
      </w:r>
      <w:r w:rsidR="00312E67">
        <w:rPr>
          <w:szCs w:val="24"/>
        </w:rPr>
        <w:t xml:space="preserve"> th</w:t>
      </w:r>
      <w:r w:rsidR="00D363BD">
        <w:rPr>
          <w:szCs w:val="24"/>
        </w:rPr>
        <w:t>e parties’</w:t>
      </w:r>
      <w:r w:rsidR="00312E67">
        <w:rPr>
          <w:szCs w:val="24"/>
        </w:rPr>
        <w:t xml:space="preserve"> respective vulnerability. </w:t>
      </w:r>
    </w:p>
    <w:p w14:paraId="3B808A39" w14:textId="77777777" w:rsidR="00A603B4" w:rsidRDefault="00A603B4" w:rsidP="005D235B">
      <w:pPr>
        <w:spacing w:after="0" w:line="360" w:lineRule="auto"/>
        <w:rPr>
          <w:szCs w:val="24"/>
        </w:rPr>
      </w:pPr>
    </w:p>
    <w:p w14:paraId="4D4383A0" w14:textId="0AC4A05B" w:rsidR="0048456B" w:rsidRPr="0048456B" w:rsidRDefault="0048456B" w:rsidP="005D235B">
      <w:pPr>
        <w:spacing w:after="0" w:line="360" w:lineRule="auto"/>
        <w:rPr>
          <w:b/>
          <w:color w:val="000000"/>
          <w:szCs w:val="24"/>
        </w:rPr>
      </w:pPr>
      <w:r w:rsidRPr="0048456B">
        <w:rPr>
          <w:b/>
          <w:color w:val="000000"/>
          <w:szCs w:val="24"/>
        </w:rPr>
        <w:t xml:space="preserve">The </w:t>
      </w:r>
      <w:r w:rsidR="002B5ED8">
        <w:rPr>
          <w:b/>
          <w:color w:val="000000"/>
          <w:szCs w:val="24"/>
        </w:rPr>
        <w:t>denial of proportionality</w:t>
      </w:r>
    </w:p>
    <w:p w14:paraId="321D5F93" w14:textId="006400AA" w:rsidR="00117F51" w:rsidRDefault="00331ECE" w:rsidP="005D235B">
      <w:pPr>
        <w:autoSpaceDE w:val="0"/>
        <w:autoSpaceDN w:val="0"/>
        <w:adjustRightInd w:val="0"/>
        <w:spacing w:after="0" w:line="360" w:lineRule="auto"/>
        <w:rPr>
          <w:color w:val="000000"/>
          <w:szCs w:val="24"/>
        </w:rPr>
      </w:pPr>
      <w:r>
        <w:rPr>
          <w:color w:val="000000"/>
          <w:szCs w:val="24"/>
        </w:rPr>
        <w:t>The parents of Fiona McDonald, who experienced mental health problems,</w:t>
      </w:r>
      <w:r w:rsidR="00117F51" w:rsidRPr="00C21723">
        <w:rPr>
          <w:color w:val="000000"/>
          <w:szCs w:val="24"/>
        </w:rPr>
        <w:t xml:space="preserve"> bought what they hoped would be a permanent home for </w:t>
      </w:r>
      <w:r w:rsidR="009C0689">
        <w:rPr>
          <w:color w:val="000000"/>
          <w:szCs w:val="24"/>
        </w:rPr>
        <w:t>their adult daughter. It</w:t>
      </w:r>
      <w:r w:rsidR="00117F51" w:rsidRPr="00C21723">
        <w:rPr>
          <w:color w:val="000000"/>
          <w:szCs w:val="24"/>
        </w:rPr>
        <w:t xml:space="preserve"> was rented to </w:t>
      </w:r>
      <w:r>
        <w:rPr>
          <w:color w:val="000000"/>
          <w:szCs w:val="24"/>
        </w:rPr>
        <w:t>her</w:t>
      </w:r>
      <w:r w:rsidRPr="00C21723">
        <w:rPr>
          <w:color w:val="000000"/>
          <w:szCs w:val="24"/>
        </w:rPr>
        <w:t xml:space="preserve"> </w:t>
      </w:r>
      <w:r w:rsidR="00117F51" w:rsidRPr="00C21723">
        <w:rPr>
          <w:color w:val="000000"/>
          <w:szCs w:val="24"/>
        </w:rPr>
        <w:t xml:space="preserve">on a succession of </w:t>
      </w:r>
      <w:r w:rsidR="00C072B7">
        <w:rPr>
          <w:color w:val="000000"/>
          <w:szCs w:val="24"/>
        </w:rPr>
        <w:t>assured shorthold tenancies</w:t>
      </w:r>
      <w:r w:rsidR="00F9515C">
        <w:rPr>
          <w:color w:val="000000"/>
          <w:szCs w:val="24"/>
        </w:rPr>
        <w:t xml:space="preserve"> (ASTs)</w:t>
      </w:r>
      <w:r w:rsidR="00C072B7">
        <w:rPr>
          <w:color w:val="000000"/>
          <w:szCs w:val="24"/>
        </w:rPr>
        <w:t>,</w:t>
      </w:r>
      <w:r w:rsidR="00C072B7">
        <w:rPr>
          <w:rStyle w:val="FootnoteReference"/>
          <w:color w:val="000000"/>
          <w:szCs w:val="24"/>
        </w:rPr>
        <w:footnoteReference w:id="16"/>
      </w:r>
      <w:r w:rsidR="00117F51" w:rsidRPr="00C21723">
        <w:rPr>
          <w:color w:val="000000"/>
          <w:szCs w:val="24"/>
        </w:rPr>
        <w:t xml:space="preserve"> with the mortgage interest partly funded by Fiona’s housing benefit. </w:t>
      </w:r>
      <w:r w:rsidR="00117F51">
        <w:rPr>
          <w:color w:val="000000"/>
          <w:szCs w:val="24"/>
        </w:rPr>
        <w:t xml:space="preserve"> </w:t>
      </w:r>
      <w:r w:rsidR="008D2847" w:rsidRPr="00C21723">
        <w:rPr>
          <w:color w:val="000000"/>
          <w:szCs w:val="24"/>
        </w:rPr>
        <w:t>Unfortunately,</w:t>
      </w:r>
      <w:r w:rsidR="00117F51" w:rsidRPr="00C21723">
        <w:rPr>
          <w:color w:val="000000"/>
          <w:szCs w:val="24"/>
        </w:rPr>
        <w:t xml:space="preserve"> the McDonalds were unable to keep up their mortgage repayments</w:t>
      </w:r>
      <w:r w:rsidR="0000346B">
        <w:rPr>
          <w:color w:val="000000"/>
          <w:szCs w:val="24"/>
        </w:rPr>
        <w:t xml:space="preserve"> and </w:t>
      </w:r>
      <w:r>
        <w:rPr>
          <w:color w:val="000000"/>
          <w:szCs w:val="24"/>
        </w:rPr>
        <w:t>the</w:t>
      </w:r>
      <w:r w:rsidR="00117F51">
        <w:rPr>
          <w:color w:val="000000"/>
          <w:szCs w:val="24"/>
        </w:rPr>
        <w:t xml:space="preserve"> </w:t>
      </w:r>
      <w:r w:rsidR="00D458BF">
        <w:rPr>
          <w:color w:val="000000"/>
          <w:szCs w:val="24"/>
        </w:rPr>
        <w:t xml:space="preserve">mortgagees </w:t>
      </w:r>
      <w:r w:rsidR="00117F51">
        <w:rPr>
          <w:color w:val="000000"/>
          <w:szCs w:val="24"/>
        </w:rPr>
        <w:t xml:space="preserve">appointed </w:t>
      </w:r>
      <w:r w:rsidR="00117F51" w:rsidRPr="00C21723">
        <w:rPr>
          <w:color w:val="000000"/>
          <w:szCs w:val="24"/>
        </w:rPr>
        <w:t>receivers</w:t>
      </w:r>
      <w:r w:rsidR="00B70BA5">
        <w:rPr>
          <w:rStyle w:val="FootnoteReference"/>
          <w:color w:val="000000"/>
          <w:szCs w:val="24"/>
        </w:rPr>
        <w:footnoteReference w:id="17"/>
      </w:r>
      <w:r w:rsidR="00117F51">
        <w:rPr>
          <w:color w:val="000000"/>
          <w:szCs w:val="24"/>
        </w:rPr>
        <w:t xml:space="preserve"> who</w:t>
      </w:r>
      <w:r w:rsidR="00CE606E">
        <w:rPr>
          <w:color w:val="000000"/>
          <w:szCs w:val="24"/>
        </w:rPr>
        <w:t xml:space="preserve"> </w:t>
      </w:r>
      <w:r w:rsidR="00117F51">
        <w:rPr>
          <w:color w:val="000000"/>
          <w:szCs w:val="24"/>
        </w:rPr>
        <w:t>took steps to evict Fiona</w:t>
      </w:r>
      <w:r w:rsidR="00D413D5">
        <w:rPr>
          <w:color w:val="000000"/>
          <w:szCs w:val="24"/>
        </w:rPr>
        <w:t>,</w:t>
      </w:r>
      <w:r w:rsidR="00117F51">
        <w:rPr>
          <w:color w:val="000000"/>
          <w:szCs w:val="24"/>
        </w:rPr>
        <w:t xml:space="preserve"> </w:t>
      </w:r>
      <w:r w:rsidR="00D413D5">
        <w:rPr>
          <w:color w:val="000000"/>
          <w:szCs w:val="24"/>
        </w:rPr>
        <w:t xml:space="preserve">as a prelude to sale, </w:t>
      </w:r>
      <w:r w:rsidR="00117F51">
        <w:rPr>
          <w:color w:val="000000"/>
          <w:szCs w:val="24"/>
        </w:rPr>
        <w:t xml:space="preserve">by serving a 2 </w:t>
      </w:r>
      <w:r w:rsidR="0048456B">
        <w:rPr>
          <w:color w:val="000000"/>
          <w:szCs w:val="24"/>
        </w:rPr>
        <w:t>months’ notice</w:t>
      </w:r>
      <w:r w:rsidR="00117F51">
        <w:rPr>
          <w:color w:val="000000"/>
          <w:szCs w:val="24"/>
        </w:rPr>
        <w:t xml:space="preserve"> to </w:t>
      </w:r>
      <w:r w:rsidR="008D2847">
        <w:rPr>
          <w:color w:val="000000"/>
          <w:szCs w:val="24"/>
        </w:rPr>
        <w:t xml:space="preserve">quit </w:t>
      </w:r>
      <w:r w:rsidR="0048456B">
        <w:rPr>
          <w:color w:val="000000"/>
          <w:szCs w:val="24"/>
        </w:rPr>
        <w:t>under</w:t>
      </w:r>
      <w:r w:rsidR="00117F51">
        <w:rPr>
          <w:color w:val="000000"/>
          <w:szCs w:val="24"/>
        </w:rPr>
        <w:t xml:space="preserve"> </w:t>
      </w:r>
      <w:r w:rsidR="00117F51" w:rsidRPr="00C21723">
        <w:rPr>
          <w:color w:val="000000"/>
          <w:szCs w:val="24"/>
        </w:rPr>
        <w:t>section 21(4) of the Housing Act 1988</w:t>
      </w:r>
      <w:r w:rsidR="002B5ED8">
        <w:rPr>
          <w:color w:val="000000"/>
          <w:szCs w:val="24"/>
        </w:rPr>
        <w:t>.</w:t>
      </w:r>
      <w:r w:rsidR="004E26AC">
        <w:rPr>
          <w:color w:val="000000"/>
          <w:szCs w:val="24"/>
        </w:rPr>
        <w:t xml:space="preserve"> </w:t>
      </w:r>
      <w:r w:rsidR="00D458BF">
        <w:rPr>
          <w:color w:val="000000"/>
          <w:szCs w:val="24"/>
        </w:rPr>
        <w:t xml:space="preserve">This </w:t>
      </w:r>
      <w:r w:rsidR="0048456B">
        <w:rPr>
          <w:color w:val="000000"/>
          <w:szCs w:val="24"/>
        </w:rPr>
        <w:t xml:space="preserve">section </w:t>
      </w:r>
      <w:r w:rsidR="00D458BF">
        <w:rPr>
          <w:color w:val="000000"/>
          <w:szCs w:val="24"/>
        </w:rPr>
        <w:t xml:space="preserve">provides </w:t>
      </w:r>
      <w:r w:rsidR="00117F51">
        <w:rPr>
          <w:color w:val="000000"/>
          <w:szCs w:val="24"/>
        </w:rPr>
        <w:t xml:space="preserve">a </w:t>
      </w:r>
      <w:r>
        <w:rPr>
          <w:color w:val="000000"/>
          <w:szCs w:val="24"/>
        </w:rPr>
        <w:t xml:space="preserve">notice only </w:t>
      </w:r>
      <w:r w:rsidR="00117F51">
        <w:rPr>
          <w:color w:val="000000"/>
          <w:szCs w:val="24"/>
        </w:rPr>
        <w:t>ground</w:t>
      </w:r>
      <w:r w:rsidR="00D458BF">
        <w:rPr>
          <w:color w:val="000000"/>
          <w:szCs w:val="24"/>
        </w:rPr>
        <w:t xml:space="preserve"> </w:t>
      </w:r>
      <w:r w:rsidR="009C0689">
        <w:rPr>
          <w:color w:val="000000"/>
          <w:szCs w:val="24"/>
        </w:rPr>
        <w:t>which requires the court to</w:t>
      </w:r>
      <w:r w:rsidR="00117F51">
        <w:rPr>
          <w:color w:val="000000"/>
          <w:szCs w:val="24"/>
        </w:rPr>
        <w:t xml:space="preserve"> order possession </w:t>
      </w:r>
      <w:r w:rsidR="0048456B">
        <w:rPr>
          <w:color w:val="000000"/>
          <w:szCs w:val="24"/>
        </w:rPr>
        <w:t>if</w:t>
      </w:r>
      <w:r w:rsidR="00117F51">
        <w:rPr>
          <w:color w:val="000000"/>
          <w:szCs w:val="24"/>
        </w:rPr>
        <w:t xml:space="preserve"> satisfied that the </w:t>
      </w:r>
      <w:r w:rsidR="008D2847">
        <w:rPr>
          <w:color w:val="000000"/>
          <w:szCs w:val="24"/>
        </w:rPr>
        <w:t>correct</w:t>
      </w:r>
      <w:r w:rsidR="0048456B">
        <w:rPr>
          <w:color w:val="000000"/>
          <w:szCs w:val="24"/>
        </w:rPr>
        <w:t xml:space="preserve"> </w:t>
      </w:r>
      <w:r w:rsidR="00D21035">
        <w:rPr>
          <w:color w:val="000000"/>
          <w:szCs w:val="24"/>
        </w:rPr>
        <w:t>formalities have</w:t>
      </w:r>
      <w:r w:rsidR="0048456B">
        <w:rPr>
          <w:color w:val="000000"/>
          <w:szCs w:val="24"/>
        </w:rPr>
        <w:t xml:space="preserve"> been </w:t>
      </w:r>
      <w:r w:rsidR="00D21035">
        <w:rPr>
          <w:color w:val="000000"/>
          <w:szCs w:val="24"/>
        </w:rPr>
        <w:t>observed</w:t>
      </w:r>
      <w:r w:rsidR="0048456B">
        <w:rPr>
          <w:color w:val="000000"/>
          <w:szCs w:val="24"/>
        </w:rPr>
        <w:t xml:space="preserve">:  </w:t>
      </w:r>
      <w:r w:rsidR="008D2847">
        <w:rPr>
          <w:color w:val="000000"/>
          <w:szCs w:val="24"/>
        </w:rPr>
        <w:t>there is</w:t>
      </w:r>
      <w:r w:rsidR="00117F51">
        <w:rPr>
          <w:color w:val="000000"/>
          <w:szCs w:val="24"/>
        </w:rPr>
        <w:t xml:space="preserve"> no statutory discretion to consider proportionality. </w:t>
      </w:r>
      <w:r w:rsidR="009C0689">
        <w:rPr>
          <w:color w:val="000000"/>
          <w:szCs w:val="24"/>
        </w:rPr>
        <w:t>This</w:t>
      </w:r>
      <w:r w:rsidR="002B5ED8">
        <w:rPr>
          <w:color w:val="000000"/>
          <w:szCs w:val="24"/>
        </w:rPr>
        <w:t xml:space="preserve"> </w:t>
      </w:r>
      <w:r w:rsidR="00215D39">
        <w:rPr>
          <w:color w:val="000000"/>
          <w:szCs w:val="24"/>
        </w:rPr>
        <w:t>no-fault process</w:t>
      </w:r>
      <w:r w:rsidR="00390B57">
        <w:rPr>
          <w:color w:val="000000"/>
          <w:szCs w:val="24"/>
        </w:rPr>
        <w:t>, which includes a paper-based accelerated procedure,</w:t>
      </w:r>
      <w:r w:rsidR="00390B57">
        <w:rPr>
          <w:rStyle w:val="FootnoteReference"/>
          <w:color w:val="000000"/>
          <w:szCs w:val="24"/>
        </w:rPr>
        <w:footnoteReference w:id="18"/>
      </w:r>
      <w:r w:rsidR="00390B57">
        <w:rPr>
          <w:color w:val="000000"/>
          <w:szCs w:val="24"/>
        </w:rPr>
        <w:t xml:space="preserve"> </w:t>
      </w:r>
      <w:r w:rsidR="00215D39">
        <w:rPr>
          <w:color w:val="000000"/>
          <w:szCs w:val="24"/>
        </w:rPr>
        <w:t>exists alongside other grounds available to the landlord during the term of the tenancy</w:t>
      </w:r>
      <w:r w:rsidR="00C8178F">
        <w:rPr>
          <w:color w:val="000000"/>
          <w:szCs w:val="24"/>
        </w:rPr>
        <w:t>.</w:t>
      </w:r>
      <w:r w:rsidR="00387A06">
        <w:rPr>
          <w:rStyle w:val="FootnoteReference"/>
          <w:color w:val="000000"/>
          <w:szCs w:val="24"/>
        </w:rPr>
        <w:footnoteReference w:id="19"/>
      </w:r>
      <w:r w:rsidR="00C8178F">
        <w:rPr>
          <w:color w:val="000000"/>
          <w:szCs w:val="24"/>
        </w:rPr>
        <w:t xml:space="preserve"> These </w:t>
      </w:r>
      <w:r w:rsidR="00387A06">
        <w:rPr>
          <w:color w:val="000000"/>
          <w:szCs w:val="24"/>
        </w:rPr>
        <w:t>are divided into</w:t>
      </w:r>
      <w:r w:rsidR="00C8178F">
        <w:rPr>
          <w:color w:val="000000"/>
          <w:szCs w:val="24"/>
        </w:rPr>
        <w:t xml:space="preserve"> mandatory </w:t>
      </w:r>
      <w:r w:rsidR="00387A06">
        <w:rPr>
          <w:color w:val="000000"/>
          <w:szCs w:val="24"/>
        </w:rPr>
        <w:t>grounds</w:t>
      </w:r>
      <w:r w:rsidR="00884E53">
        <w:rPr>
          <w:color w:val="000000"/>
          <w:szCs w:val="24"/>
        </w:rPr>
        <w:t>,</w:t>
      </w:r>
      <w:r w:rsidR="00387A06">
        <w:rPr>
          <w:color w:val="000000"/>
          <w:szCs w:val="24"/>
        </w:rPr>
        <w:t xml:space="preserve"> where the court must order possession, for example if 8 weeks rent is in arrears,</w:t>
      </w:r>
      <w:r w:rsidR="00387A06">
        <w:rPr>
          <w:rStyle w:val="FootnoteReference"/>
          <w:color w:val="000000"/>
          <w:szCs w:val="24"/>
        </w:rPr>
        <w:footnoteReference w:id="20"/>
      </w:r>
      <w:r w:rsidR="00387A06">
        <w:rPr>
          <w:color w:val="000000"/>
          <w:szCs w:val="24"/>
        </w:rPr>
        <w:t xml:space="preserve"> and discretionary grounds, where the court may order possession if it is reasonable to do so</w:t>
      </w:r>
      <w:r w:rsidR="00215D39">
        <w:rPr>
          <w:color w:val="000000"/>
          <w:szCs w:val="24"/>
        </w:rPr>
        <w:t xml:space="preserve">; for example, </w:t>
      </w:r>
      <w:r w:rsidR="00387A06">
        <w:rPr>
          <w:color w:val="000000"/>
          <w:szCs w:val="24"/>
        </w:rPr>
        <w:t xml:space="preserve">breach of a tenancy </w:t>
      </w:r>
      <w:r w:rsidR="00387A06">
        <w:rPr>
          <w:color w:val="000000"/>
          <w:szCs w:val="24"/>
        </w:rPr>
        <w:lastRenderedPageBreak/>
        <w:t>obligation</w:t>
      </w:r>
      <w:r w:rsidR="00215D39">
        <w:rPr>
          <w:color w:val="000000"/>
          <w:szCs w:val="24"/>
        </w:rPr>
        <w:t>.</w:t>
      </w:r>
      <w:r w:rsidR="002D2ABA">
        <w:rPr>
          <w:rStyle w:val="FootnoteReference"/>
          <w:color w:val="000000"/>
          <w:szCs w:val="24"/>
        </w:rPr>
        <w:footnoteReference w:id="21"/>
      </w:r>
      <w:r w:rsidR="00215D39">
        <w:rPr>
          <w:color w:val="000000"/>
          <w:szCs w:val="24"/>
        </w:rPr>
        <w:t xml:space="preserve"> </w:t>
      </w:r>
      <w:r w:rsidR="00387A06">
        <w:rPr>
          <w:color w:val="000000"/>
          <w:szCs w:val="24"/>
        </w:rPr>
        <w:t xml:space="preserve">However, it is </w:t>
      </w:r>
      <w:r w:rsidR="006F31D5">
        <w:rPr>
          <w:color w:val="000000"/>
          <w:szCs w:val="24"/>
        </w:rPr>
        <w:t xml:space="preserve">often </w:t>
      </w:r>
      <w:r w:rsidR="00387A06">
        <w:rPr>
          <w:color w:val="000000"/>
          <w:szCs w:val="24"/>
        </w:rPr>
        <w:t>simpler for a landlord to use section 21(4) th</w:t>
      </w:r>
      <w:r w:rsidR="00884E53">
        <w:rPr>
          <w:color w:val="000000"/>
          <w:szCs w:val="24"/>
        </w:rPr>
        <w:t>a</w:t>
      </w:r>
      <w:r w:rsidR="00387A06">
        <w:rPr>
          <w:color w:val="000000"/>
          <w:szCs w:val="24"/>
        </w:rPr>
        <w:t>n rely on these alternative proof</w:t>
      </w:r>
      <w:r w:rsidR="00884E53">
        <w:rPr>
          <w:color w:val="000000"/>
          <w:szCs w:val="24"/>
        </w:rPr>
        <w:t>-</w:t>
      </w:r>
      <w:r w:rsidR="00387A06">
        <w:rPr>
          <w:color w:val="000000"/>
          <w:szCs w:val="24"/>
        </w:rPr>
        <w:t>based grounds.</w:t>
      </w:r>
      <w:r w:rsidR="00482794">
        <w:rPr>
          <w:rStyle w:val="FootnoteReference"/>
          <w:color w:val="000000"/>
          <w:szCs w:val="24"/>
        </w:rPr>
        <w:footnoteReference w:id="22"/>
      </w:r>
      <w:r w:rsidR="00215D39">
        <w:rPr>
          <w:color w:val="000000"/>
          <w:szCs w:val="24"/>
        </w:rPr>
        <w:t xml:space="preserve"> </w:t>
      </w:r>
    </w:p>
    <w:p w14:paraId="2BE86B10" w14:textId="77777777" w:rsidR="00117F51" w:rsidRDefault="00117F51" w:rsidP="005D235B">
      <w:pPr>
        <w:autoSpaceDE w:val="0"/>
        <w:autoSpaceDN w:val="0"/>
        <w:adjustRightInd w:val="0"/>
        <w:spacing w:after="0" w:line="360" w:lineRule="auto"/>
        <w:rPr>
          <w:color w:val="000000"/>
          <w:szCs w:val="24"/>
        </w:rPr>
      </w:pPr>
    </w:p>
    <w:p w14:paraId="0E60046E" w14:textId="77777777" w:rsidR="0048456B" w:rsidRDefault="0048456B" w:rsidP="005D235B">
      <w:pPr>
        <w:autoSpaceDE w:val="0"/>
        <w:autoSpaceDN w:val="0"/>
        <w:adjustRightInd w:val="0"/>
        <w:spacing w:after="0" w:line="360" w:lineRule="auto"/>
        <w:rPr>
          <w:szCs w:val="24"/>
        </w:rPr>
      </w:pPr>
      <w:r>
        <w:rPr>
          <w:szCs w:val="24"/>
        </w:rPr>
        <w:t>The essence of the Supreme Court’s denial of proportionality is expressed as follows:</w:t>
      </w:r>
    </w:p>
    <w:p w14:paraId="1496AB9B" w14:textId="77777777" w:rsidR="0048456B" w:rsidRDefault="0048456B" w:rsidP="005D235B">
      <w:pPr>
        <w:autoSpaceDE w:val="0"/>
        <w:autoSpaceDN w:val="0"/>
        <w:adjustRightInd w:val="0"/>
        <w:spacing w:after="0" w:line="360" w:lineRule="auto"/>
        <w:rPr>
          <w:szCs w:val="24"/>
        </w:rPr>
      </w:pPr>
    </w:p>
    <w:p w14:paraId="73422343" w14:textId="77777777" w:rsidR="0048456B" w:rsidRPr="00C21723" w:rsidRDefault="00E1367A" w:rsidP="005D235B">
      <w:pPr>
        <w:autoSpaceDE w:val="0"/>
        <w:autoSpaceDN w:val="0"/>
        <w:adjustRightInd w:val="0"/>
        <w:spacing w:after="0" w:line="360" w:lineRule="auto"/>
        <w:ind w:left="720"/>
        <w:rPr>
          <w:color w:val="000000"/>
          <w:szCs w:val="24"/>
        </w:rPr>
      </w:pPr>
      <w:r>
        <w:rPr>
          <w:szCs w:val="24"/>
        </w:rPr>
        <w:t xml:space="preserve">In the absence of any clear and </w:t>
      </w:r>
      <w:r w:rsidR="00197E5C">
        <w:rPr>
          <w:szCs w:val="24"/>
        </w:rPr>
        <w:t>authoritative</w:t>
      </w:r>
      <w:r>
        <w:rPr>
          <w:szCs w:val="24"/>
        </w:rPr>
        <w:t xml:space="preserve"> guidance from the Strasbourg court to the contrary, </w:t>
      </w:r>
      <w:r w:rsidR="0048456B">
        <w:rPr>
          <w:szCs w:val="24"/>
        </w:rPr>
        <w:t>we would take the view that although it may well be that article 8 is engaged when a judge makes an order for possession of a tenant’s home at the suit of a private sector landlord, it is not open to the tenant to contend that article 8 could justify a different order from that which is mandated by the contractual relationship between the parties, at least</w:t>
      </w:r>
      <w:r w:rsidR="006262CD">
        <w:rPr>
          <w:szCs w:val="24"/>
        </w:rPr>
        <w:t xml:space="preserve"> where</w:t>
      </w:r>
      <w:r w:rsidR="0048456B">
        <w:rPr>
          <w:szCs w:val="24"/>
        </w:rPr>
        <w:t>, as here there are legislative provisions which the democratically elected legislature has decided properly balance the competing interest of private sector landlords and residential tenants</w:t>
      </w:r>
      <w:r w:rsidR="003070A1">
        <w:rPr>
          <w:szCs w:val="24"/>
        </w:rPr>
        <w:t>.</w:t>
      </w:r>
      <w:r w:rsidR="003070A1">
        <w:rPr>
          <w:rStyle w:val="FootnoteReference"/>
          <w:szCs w:val="24"/>
        </w:rPr>
        <w:footnoteReference w:id="23"/>
      </w:r>
    </w:p>
    <w:p w14:paraId="0B34DA3B" w14:textId="2D41AC00" w:rsidR="004E26AC" w:rsidRDefault="004E26AC" w:rsidP="005D235B">
      <w:pPr>
        <w:spacing w:line="360" w:lineRule="auto"/>
        <w:rPr>
          <w:color w:val="000000"/>
          <w:szCs w:val="24"/>
        </w:rPr>
      </w:pPr>
    </w:p>
    <w:p w14:paraId="4B705683" w14:textId="2BC2F5CD" w:rsidR="00887631" w:rsidRDefault="00887631" w:rsidP="005D235B">
      <w:pPr>
        <w:spacing w:line="360" w:lineRule="auto"/>
        <w:rPr>
          <w:color w:val="000000"/>
          <w:szCs w:val="24"/>
        </w:rPr>
      </w:pPr>
      <w:r>
        <w:rPr>
          <w:color w:val="000000"/>
          <w:szCs w:val="24"/>
        </w:rPr>
        <w:t xml:space="preserve">The ECtHR endorsed this approach </w:t>
      </w:r>
      <w:r w:rsidR="00A935D1">
        <w:rPr>
          <w:color w:val="000000"/>
          <w:szCs w:val="24"/>
        </w:rPr>
        <w:t xml:space="preserve">in </w:t>
      </w:r>
      <w:r w:rsidR="00A935D1">
        <w:rPr>
          <w:i/>
          <w:color w:val="000000"/>
          <w:szCs w:val="24"/>
        </w:rPr>
        <w:t xml:space="preserve">FJM </w:t>
      </w:r>
      <w:r>
        <w:rPr>
          <w:color w:val="000000"/>
          <w:szCs w:val="24"/>
        </w:rPr>
        <w:t>stating that:</w:t>
      </w:r>
    </w:p>
    <w:p w14:paraId="207DC48B" w14:textId="6F864227" w:rsidR="002961B9" w:rsidRDefault="00887631" w:rsidP="00AB53C1">
      <w:pPr>
        <w:spacing w:line="360" w:lineRule="auto"/>
        <w:ind w:left="720"/>
        <w:rPr>
          <w:color w:val="000000"/>
          <w:szCs w:val="24"/>
        </w:rPr>
      </w:pPr>
      <w:r>
        <w:rPr>
          <w:color w:val="000000"/>
          <w:szCs w:val="24"/>
        </w:rPr>
        <w:t xml:space="preserve">What sets claims for possession by private sector owners against residential occupiers apart is that the two private individuals or entities have </w:t>
      </w:r>
      <w:r w:rsidR="00A935D1">
        <w:rPr>
          <w:color w:val="000000"/>
          <w:szCs w:val="24"/>
        </w:rPr>
        <w:t xml:space="preserve">entered </w:t>
      </w:r>
      <w:r>
        <w:rPr>
          <w:color w:val="000000"/>
          <w:szCs w:val="24"/>
        </w:rPr>
        <w:t>voluntarily</w:t>
      </w:r>
      <w:r w:rsidR="00A935D1">
        <w:rPr>
          <w:color w:val="000000"/>
          <w:szCs w:val="24"/>
        </w:rPr>
        <w:t xml:space="preserve"> into a contractual relationship in respect of which the legislature has prescribed how their respective Convention rights are to be respected</w:t>
      </w:r>
      <w:r>
        <w:rPr>
          <w:color w:val="000000"/>
          <w:szCs w:val="24"/>
        </w:rPr>
        <w:t xml:space="preserve"> </w:t>
      </w:r>
      <w:r w:rsidR="00A935D1">
        <w:rPr>
          <w:color w:val="000000"/>
          <w:szCs w:val="24"/>
        </w:rPr>
        <w:t>….</w:t>
      </w:r>
      <w:r w:rsidR="00A935D1">
        <w:rPr>
          <w:rStyle w:val="FootnoteReference"/>
          <w:color w:val="000000"/>
          <w:szCs w:val="24"/>
        </w:rPr>
        <w:footnoteReference w:id="24"/>
      </w:r>
    </w:p>
    <w:p w14:paraId="383CDF55" w14:textId="266CCC39" w:rsidR="009D22A2" w:rsidRDefault="00225FA9" w:rsidP="00AB53C1">
      <w:pPr>
        <w:spacing w:line="360" w:lineRule="auto"/>
        <w:rPr>
          <w:szCs w:val="24"/>
        </w:rPr>
      </w:pPr>
      <w:r>
        <w:rPr>
          <w:color w:val="000000"/>
          <w:szCs w:val="24"/>
        </w:rPr>
        <w:t>Thus,</w:t>
      </w:r>
      <w:r w:rsidR="0048456B">
        <w:rPr>
          <w:color w:val="000000"/>
          <w:szCs w:val="24"/>
        </w:rPr>
        <w:t xml:space="preserve"> the private contractual relationship between the parties</w:t>
      </w:r>
      <w:r w:rsidR="008852EB">
        <w:rPr>
          <w:color w:val="000000"/>
          <w:szCs w:val="24"/>
        </w:rPr>
        <w:t>,</w:t>
      </w:r>
      <w:r w:rsidR="0048456B">
        <w:rPr>
          <w:color w:val="000000"/>
          <w:szCs w:val="24"/>
        </w:rPr>
        <w:t xml:space="preserve"> coupled with its legislative regulation, was central to </w:t>
      </w:r>
      <w:r w:rsidR="007E547E">
        <w:rPr>
          <w:color w:val="000000"/>
          <w:szCs w:val="24"/>
        </w:rPr>
        <w:t xml:space="preserve">the </w:t>
      </w:r>
      <w:r w:rsidR="0048456B">
        <w:rPr>
          <w:color w:val="000000"/>
          <w:szCs w:val="24"/>
        </w:rPr>
        <w:t xml:space="preserve"> rejection of proportionality. </w:t>
      </w:r>
      <w:r w:rsidR="007442D2">
        <w:rPr>
          <w:color w:val="000000"/>
          <w:szCs w:val="24"/>
        </w:rPr>
        <w:t xml:space="preserve"> </w:t>
      </w:r>
      <w:r w:rsidR="005B014B">
        <w:rPr>
          <w:color w:val="000000"/>
          <w:szCs w:val="24"/>
        </w:rPr>
        <w:t>Both</w:t>
      </w:r>
      <w:r w:rsidR="00FF247B">
        <w:rPr>
          <w:color w:val="000000"/>
          <w:szCs w:val="24"/>
        </w:rPr>
        <w:t xml:space="preserve"> </w:t>
      </w:r>
      <w:r w:rsidR="005B014B">
        <w:rPr>
          <w:color w:val="000000"/>
          <w:szCs w:val="24"/>
        </w:rPr>
        <w:t>courts</w:t>
      </w:r>
      <w:r w:rsidR="00A91760">
        <w:rPr>
          <w:color w:val="000000"/>
          <w:szCs w:val="24"/>
        </w:rPr>
        <w:t xml:space="preserve"> </w:t>
      </w:r>
      <w:r w:rsidR="00FF247B">
        <w:rPr>
          <w:color w:val="000000"/>
          <w:szCs w:val="24"/>
        </w:rPr>
        <w:t xml:space="preserve">emphasised the importance of the voluntary nature of the parties’ relationship.  </w:t>
      </w:r>
      <w:r w:rsidR="005B014B">
        <w:rPr>
          <w:color w:val="000000"/>
          <w:szCs w:val="24"/>
        </w:rPr>
        <w:t xml:space="preserve">However, </w:t>
      </w:r>
      <w:r w:rsidR="005B014B">
        <w:rPr>
          <w:szCs w:val="24"/>
        </w:rPr>
        <w:t>a</w:t>
      </w:r>
      <w:r w:rsidR="002A1576" w:rsidRPr="002C1E84">
        <w:rPr>
          <w:szCs w:val="24"/>
        </w:rPr>
        <w:t xml:space="preserve">s we develop below, the private, </w:t>
      </w:r>
      <w:r w:rsidR="00FF247B">
        <w:rPr>
          <w:szCs w:val="24"/>
        </w:rPr>
        <w:t>consensual</w:t>
      </w:r>
      <w:r w:rsidR="00FF247B" w:rsidRPr="002C1E84">
        <w:rPr>
          <w:szCs w:val="24"/>
        </w:rPr>
        <w:t xml:space="preserve"> </w:t>
      </w:r>
      <w:r w:rsidR="002A1576" w:rsidRPr="002C1E84">
        <w:rPr>
          <w:szCs w:val="24"/>
        </w:rPr>
        <w:t xml:space="preserve">nature of the </w:t>
      </w:r>
      <w:r w:rsidR="00B123AA">
        <w:rPr>
          <w:szCs w:val="24"/>
        </w:rPr>
        <w:t xml:space="preserve">assured shorthold </w:t>
      </w:r>
      <w:r w:rsidR="002A1576" w:rsidRPr="002C1E84">
        <w:rPr>
          <w:szCs w:val="24"/>
        </w:rPr>
        <w:t xml:space="preserve">agreement is </w:t>
      </w:r>
      <w:r w:rsidR="006D0FEB">
        <w:rPr>
          <w:szCs w:val="24"/>
        </w:rPr>
        <w:t>often</w:t>
      </w:r>
      <w:r w:rsidR="006D0FEB" w:rsidRPr="002C1E84">
        <w:rPr>
          <w:szCs w:val="24"/>
        </w:rPr>
        <w:t xml:space="preserve"> </w:t>
      </w:r>
      <w:r w:rsidR="002A1576" w:rsidRPr="002C1E84">
        <w:rPr>
          <w:szCs w:val="24"/>
        </w:rPr>
        <w:t xml:space="preserve">illusory and consequently the state’s intervention in </w:t>
      </w:r>
      <w:r w:rsidR="004D1591">
        <w:rPr>
          <w:szCs w:val="24"/>
        </w:rPr>
        <w:t xml:space="preserve">determining </w:t>
      </w:r>
      <w:r w:rsidR="002A1576" w:rsidRPr="002C1E84">
        <w:rPr>
          <w:szCs w:val="24"/>
        </w:rPr>
        <w:t xml:space="preserve">how the tenancy may be ended is </w:t>
      </w:r>
      <w:r w:rsidR="00693EEC" w:rsidRPr="002C1E84">
        <w:rPr>
          <w:szCs w:val="24"/>
        </w:rPr>
        <w:t>paramount</w:t>
      </w:r>
      <w:r w:rsidR="002A1576" w:rsidRPr="002C1E84">
        <w:rPr>
          <w:szCs w:val="24"/>
        </w:rPr>
        <w:t xml:space="preserve">.  </w:t>
      </w:r>
      <w:r w:rsidR="005B014B">
        <w:rPr>
          <w:szCs w:val="24"/>
        </w:rPr>
        <w:t>We argue that t</w:t>
      </w:r>
      <w:r w:rsidR="009D22A2">
        <w:rPr>
          <w:szCs w:val="24"/>
        </w:rPr>
        <w:t>he</w:t>
      </w:r>
      <w:r w:rsidR="009D22A2">
        <w:rPr>
          <w:rFonts w:eastAsia="Calibri"/>
          <w:szCs w:val="24"/>
        </w:rPr>
        <w:t xml:space="preserve"> </w:t>
      </w:r>
      <w:r w:rsidR="005B014B">
        <w:rPr>
          <w:rFonts w:eastAsia="Calibri"/>
          <w:szCs w:val="24"/>
        </w:rPr>
        <w:t xml:space="preserve">Supreme Court’s </w:t>
      </w:r>
      <w:r w:rsidR="009D22A2">
        <w:rPr>
          <w:rFonts w:eastAsia="Calibri"/>
          <w:szCs w:val="24"/>
        </w:rPr>
        <w:t xml:space="preserve">deference, in not admitting even the possibility of a proportionality assessment, was misplaced: </w:t>
      </w:r>
      <w:r w:rsidR="009D22A2">
        <w:rPr>
          <w:szCs w:val="24"/>
        </w:rPr>
        <w:t>lack of parliamentary action should not be equated with a proper consideration of the parties’ respective interests in light of the role now played by the AST and the court’s own responsibilities under the HRA 1998.</w:t>
      </w:r>
      <w:r w:rsidR="009D22A2">
        <w:rPr>
          <w:rStyle w:val="FootnoteReference"/>
          <w:szCs w:val="24"/>
        </w:rPr>
        <w:footnoteReference w:id="25"/>
      </w:r>
      <w:r w:rsidR="009D22A2">
        <w:rPr>
          <w:szCs w:val="24"/>
        </w:rPr>
        <w:t xml:space="preserve"> It is noteworthy that parliamentary inaction has been used to justify the courts’ application of Convention rights to resolve private, tortious disputes.</w:t>
      </w:r>
      <w:r w:rsidR="00A15296">
        <w:rPr>
          <w:rStyle w:val="FootnoteReference"/>
          <w:szCs w:val="24"/>
        </w:rPr>
        <w:footnoteReference w:id="26"/>
      </w:r>
      <w:r w:rsidR="009D22A2">
        <w:rPr>
          <w:szCs w:val="24"/>
        </w:rPr>
        <w:t xml:space="preserve">  The court’s stance </w:t>
      </w:r>
      <w:r w:rsidR="002768D7">
        <w:rPr>
          <w:szCs w:val="24"/>
        </w:rPr>
        <w:t xml:space="preserve">in  </w:t>
      </w:r>
      <w:r w:rsidR="002768D7">
        <w:rPr>
          <w:i/>
          <w:szCs w:val="24"/>
        </w:rPr>
        <w:t xml:space="preserve">McDonald </w:t>
      </w:r>
      <w:r w:rsidR="009D22A2">
        <w:rPr>
          <w:szCs w:val="24"/>
        </w:rPr>
        <w:t>reflects a state limiting concept of proportionality criticised by Rivers,</w:t>
      </w:r>
      <w:r w:rsidR="009D22A2">
        <w:rPr>
          <w:rStyle w:val="FootnoteReference"/>
          <w:szCs w:val="24"/>
        </w:rPr>
        <w:footnoteReference w:id="27"/>
      </w:r>
      <w:r w:rsidR="009D22A2">
        <w:rPr>
          <w:szCs w:val="24"/>
        </w:rPr>
        <w:t xml:space="preserve"> rather than an optimising utilisation of proportionality which, as Young suggests, could assist in a more transparent engagement with the parameters of respect for the home.</w:t>
      </w:r>
      <w:r w:rsidR="009D22A2">
        <w:rPr>
          <w:rStyle w:val="FootnoteReference"/>
          <w:szCs w:val="24"/>
        </w:rPr>
        <w:footnoteReference w:id="28"/>
      </w:r>
      <w:r w:rsidR="009D22A2">
        <w:rPr>
          <w:szCs w:val="24"/>
        </w:rPr>
        <w:t xml:space="preserve">  </w:t>
      </w:r>
      <w:r w:rsidR="009D22A2" w:rsidRPr="00471E72">
        <w:rPr>
          <w:szCs w:val="24"/>
        </w:rPr>
        <w:t xml:space="preserve">We </w:t>
      </w:r>
      <w:r w:rsidR="009D22A2">
        <w:rPr>
          <w:szCs w:val="24"/>
        </w:rPr>
        <w:t xml:space="preserve">argue that </w:t>
      </w:r>
      <w:r w:rsidR="009D22A2" w:rsidRPr="00471E72">
        <w:rPr>
          <w:szCs w:val="24"/>
        </w:rPr>
        <w:t xml:space="preserve"> a simplistic either/or understanding of the public-private spheres </w:t>
      </w:r>
      <w:r w:rsidR="009D22A2">
        <w:rPr>
          <w:szCs w:val="24"/>
        </w:rPr>
        <w:t xml:space="preserve">is flawed and should be abandoned </w:t>
      </w:r>
      <w:r w:rsidR="009D22A2" w:rsidRPr="00471E72">
        <w:rPr>
          <w:szCs w:val="24"/>
        </w:rPr>
        <w:t>to provide “a more complex view of the transformations of each sphere, of their continually negotiated content and contours”</w:t>
      </w:r>
      <w:r w:rsidR="009D22A2" w:rsidRPr="00471E72">
        <w:rPr>
          <w:rStyle w:val="FootnoteReference"/>
          <w:szCs w:val="24"/>
        </w:rPr>
        <w:footnoteReference w:id="29"/>
      </w:r>
      <w:r w:rsidR="009D22A2" w:rsidRPr="00471E72">
        <w:rPr>
          <w:szCs w:val="24"/>
        </w:rPr>
        <w:t xml:space="preserve"> which better reflects the reality of the housing market.</w:t>
      </w:r>
      <w:r w:rsidR="009D22A2">
        <w:rPr>
          <w:szCs w:val="24"/>
        </w:rPr>
        <w:t xml:space="preserve"> </w:t>
      </w:r>
    </w:p>
    <w:p w14:paraId="1BD9095A" w14:textId="77777777" w:rsidR="004E26AC" w:rsidRPr="002C1E84" w:rsidRDefault="004E26AC" w:rsidP="005D235B">
      <w:pPr>
        <w:spacing w:line="360" w:lineRule="auto"/>
        <w:rPr>
          <w:szCs w:val="24"/>
        </w:rPr>
      </w:pPr>
    </w:p>
    <w:p w14:paraId="0393401A" w14:textId="704895B0" w:rsidR="008D2847" w:rsidRDefault="00471E72" w:rsidP="005D235B">
      <w:pPr>
        <w:spacing w:line="360" w:lineRule="auto"/>
        <w:rPr>
          <w:szCs w:val="24"/>
        </w:rPr>
      </w:pPr>
      <w:r w:rsidRPr="00471E72">
        <w:rPr>
          <w:szCs w:val="24"/>
        </w:rPr>
        <w:t xml:space="preserve">The next section locates the AST within the housing market to question the </w:t>
      </w:r>
      <w:r w:rsidR="00EF63A1">
        <w:rPr>
          <w:szCs w:val="24"/>
        </w:rPr>
        <w:t>c</w:t>
      </w:r>
      <w:r w:rsidRPr="00471E72">
        <w:rPr>
          <w:szCs w:val="24"/>
        </w:rPr>
        <w:t>ourt’s emphasis on freedom of contract and</w:t>
      </w:r>
      <w:r w:rsidR="004F36EF">
        <w:rPr>
          <w:szCs w:val="24"/>
        </w:rPr>
        <w:t xml:space="preserve"> </w:t>
      </w:r>
      <w:r w:rsidRPr="00471E72">
        <w:rPr>
          <w:szCs w:val="24"/>
        </w:rPr>
        <w:t xml:space="preserve">to challenge </w:t>
      </w:r>
      <w:r w:rsidR="00B25C84">
        <w:rPr>
          <w:szCs w:val="24"/>
        </w:rPr>
        <w:t>its</w:t>
      </w:r>
      <w:r w:rsidRPr="00471E72">
        <w:rPr>
          <w:szCs w:val="24"/>
        </w:rPr>
        <w:t xml:space="preserve"> dichotomising of the public and private spheres of housing provision.</w:t>
      </w:r>
    </w:p>
    <w:p w14:paraId="2BA37288" w14:textId="77777777" w:rsidR="004E26AC" w:rsidRPr="00064689" w:rsidRDefault="004E26AC" w:rsidP="005D235B">
      <w:pPr>
        <w:spacing w:line="360" w:lineRule="auto"/>
        <w:rPr>
          <w:szCs w:val="24"/>
        </w:rPr>
      </w:pPr>
    </w:p>
    <w:p w14:paraId="2CC1028D" w14:textId="77777777" w:rsidR="004E26AC" w:rsidRDefault="00F070A0" w:rsidP="005D235B">
      <w:pPr>
        <w:spacing w:line="360" w:lineRule="auto"/>
        <w:rPr>
          <w:b/>
          <w:szCs w:val="24"/>
        </w:rPr>
      </w:pPr>
      <w:r>
        <w:rPr>
          <w:b/>
          <w:szCs w:val="24"/>
        </w:rPr>
        <w:t>The</w:t>
      </w:r>
      <w:r w:rsidR="008D5173" w:rsidRPr="00064689">
        <w:rPr>
          <w:b/>
          <w:szCs w:val="24"/>
        </w:rPr>
        <w:t xml:space="preserve"> English housing</w:t>
      </w:r>
      <w:r w:rsidR="00884E53">
        <w:rPr>
          <w:b/>
          <w:szCs w:val="24"/>
        </w:rPr>
        <w:t xml:space="preserve"> </w:t>
      </w:r>
      <w:r w:rsidR="00387A06">
        <w:rPr>
          <w:b/>
          <w:szCs w:val="24"/>
        </w:rPr>
        <w:t xml:space="preserve">rental </w:t>
      </w:r>
      <w:r w:rsidR="008D5173" w:rsidRPr="00064689">
        <w:rPr>
          <w:b/>
          <w:szCs w:val="24"/>
        </w:rPr>
        <w:t>market</w:t>
      </w:r>
      <w:r w:rsidR="0048456B" w:rsidRPr="00064689">
        <w:rPr>
          <w:b/>
          <w:szCs w:val="24"/>
        </w:rPr>
        <w:t xml:space="preserve"> </w:t>
      </w:r>
    </w:p>
    <w:p w14:paraId="3BCC96F2" w14:textId="77777777" w:rsidR="001F214B" w:rsidRDefault="00474F70" w:rsidP="005D235B">
      <w:pPr>
        <w:spacing w:line="360" w:lineRule="auto"/>
        <w:rPr>
          <w:szCs w:val="24"/>
        </w:rPr>
      </w:pPr>
      <w:r>
        <w:rPr>
          <w:szCs w:val="24"/>
        </w:rPr>
        <w:t>The</w:t>
      </w:r>
      <w:r w:rsidR="00CB4680" w:rsidRPr="00064689">
        <w:rPr>
          <w:szCs w:val="24"/>
        </w:rPr>
        <w:t xml:space="preserve"> fundamental purpose</w:t>
      </w:r>
      <w:r w:rsidR="00B12F9A" w:rsidRPr="00064689">
        <w:rPr>
          <w:szCs w:val="24"/>
        </w:rPr>
        <w:t xml:space="preserve"> of the </w:t>
      </w:r>
      <w:r w:rsidR="00027E4B" w:rsidRPr="00064689">
        <w:rPr>
          <w:szCs w:val="24"/>
        </w:rPr>
        <w:t>AST</w:t>
      </w:r>
      <w:r w:rsidR="00B12F9A" w:rsidRPr="00064689">
        <w:rPr>
          <w:szCs w:val="24"/>
        </w:rPr>
        <w:t xml:space="preserve">, created by the Housing Act 1988, was to deregulate the private sector, </w:t>
      </w:r>
      <w:r w:rsidR="0008740D" w:rsidRPr="00064689">
        <w:rPr>
          <w:szCs w:val="24"/>
        </w:rPr>
        <w:t>with the aim of reversing</w:t>
      </w:r>
      <w:r w:rsidR="00E561CD" w:rsidRPr="00064689">
        <w:rPr>
          <w:szCs w:val="24"/>
        </w:rPr>
        <w:t xml:space="preserve"> </w:t>
      </w:r>
      <w:r w:rsidR="0008740D" w:rsidRPr="00064689">
        <w:rPr>
          <w:szCs w:val="24"/>
        </w:rPr>
        <w:t>“</w:t>
      </w:r>
      <w:r w:rsidR="00E561CD" w:rsidRPr="00064689">
        <w:rPr>
          <w:szCs w:val="24"/>
        </w:rPr>
        <w:t xml:space="preserve">the decline of rented housing and </w:t>
      </w:r>
      <w:r w:rsidR="00B12F9A" w:rsidRPr="00064689">
        <w:rPr>
          <w:szCs w:val="24"/>
        </w:rPr>
        <w:t>[improving]</w:t>
      </w:r>
      <w:r w:rsidR="00E561CD" w:rsidRPr="00064689">
        <w:rPr>
          <w:szCs w:val="24"/>
        </w:rPr>
        <w:t xml:space="preserve"> its quality”.</w:t>
      </w:r>
      <w:r w:rsidR="00E561CD" w:rsidRPr="00064689">
        <w:rPr>
          <w:rStyle w:val="FootnoteReference"/>
          <w:szCs w:val="24"/>
        </w:rPr>
        <w:footnoteReference w:id="30"/>
      </w:r>
      <w:r w:rsidR="00265E8F" w:rsidRPr="00064689">
        <w:rPr>
          <w:szCs w:val="24"/>
        </w:rPr>
        <w:t xml:space="preserve">  </w:t>
      </w:r>
      <w:r w:rsidR="00064689">
        <w:rPr>
          <w:szCs w:val="24"/>
        </w:rPr>
        <w:t>T</w:t>
      </w:r>
      <w:r w:rsidR="00265E8F" w:rsidRPr="00064689">
        <w:rPr>
          <w:szCs w:val="24"/>
        </w:rPr>
        <w:t>he substantial security of tenure afforded under the</w:t>
      </w:r>
      <w:r w:rsidR="0008740D" w:rsidRPr="00064689">
        <w:rPr>
          <w:szCs w:val="24"/>
        </w:rPr>
        <w:t xml:space="preserve"> predecessor scheme</w:t>
      </w:r>
      <w:r w:rsidR="0008740D" w:rsidRPr="00064689">
        <w:rPr>
          <w:rStyle w:val="FootnoteReference"/>
          <w:szCs w:val="24"/>
        </w:rPr>
        <w:footnoteReference w:id="31"/>
      </w:r>
      <w:r w:rsidR="00265E8F" w:rsidRPr="00064689">
        <w:rPr>
          <w:szCs w:val="24"/>
        </w:rPr>
        <w:t xml:space="preserve"> </w:t>
      </w:r>
      <w:r w:rsidR="00277706">
        <w:rPr>
          <w:szCs w:val="24"/>
        </w:rPr>
        <w:t>was one of many reasons contributing to</w:t>
      </w:r>
      <w:r w:rsidR="00265E8F" w:rsidRPr="00064689">
        <w:rPr>
          <w:szCs w:val="24"/>
        </w:rPr>
        <w:t xml:space="preserve"> landlords</w:t>
      </w:r>
      <w:r w:rsidR="00277706">
        <w:rPr>
          <w:szCs w:val="24"/>
        </w:rPr>
        <w:t>’</w:t>
      </w:r>
      <w:r w:rsidR="00265E8F" w:rsidRPr="00064689">
        <w:rPr>
          <w:szCs w:val="24"/>
        </w:rPr>
        <w:t xml:space="preserve"> withdraw</w:t>
      </w:r>
      <w:r w:rsidR="00277706">
        <w:rPr>
          <w:szCs w:val="24"/>
        </w:rPr>
        <w:t>al</w:t>
      </w:r>
      <w:r w:rsidR="00265E8F" w:rsidRPr="00064689">
        <w:rPr>
          <w:szCs w:val="24"/>
        </w:rPr>
        <w:t xml:space="preserve"> from the market</w:t>
      </w:r>
      <w:r>
        <w:rPr>
          <w:szCs w:val="24"/>
        </w:rPr>
        <w:t>.</w:t>
      </w:r>
      <w:r w:rsidR="00277706">
        <w:rPr>
          <w:rStyle w:val="FootnoteReference"/>
          <w:szCs w:val="24"/>
        </w:rPr>
        <w:footnoteReference w:id="32"/>
      </w:r>
      <w:r w:rsidR="00106250" w:rsidRPr="00064689">
        <w:rPr>
          <w:szCs w:val="24"/>
        </w:rPr>
        <w:t xml:space="preserve"> </w:t>
      </w:r>
      <w:r w:rsidR="00AB3667">
        <w:rPr>
          <w:szCs w:val="24"/>
        </w:rPr>
        <w:t>In effectively abolishing security of tenure, t</w:t>
      </w:r>
      <w:r w:rsidR="00825A5C" w:rsidRPr="00064689">
        <w:rPr>
          <w:szCs w:val="24"/>
        </w:rPr>
        <w:t xml:space="preserve">he </w:t>
      </w:r>
      <w:r w:rsidR="004F36EF">
        <w:rPr>
          <w:szCs w:val="24"/>
        </w:rPr>
        <w:t xml:space="preserve">AST </w:t>
      </w:r>
      <w:r w:rsidR="00825A5C" w:rsidRPr="00064689">
        <w:rPr>
          <w:szCs w:val="24"/>
        </w:rPr>
        <w:t>was contr</w:t>
      </w:r>
      <w:r w:rsidR="003B7B3A" w:rsidRPr="00064689">
        <w:rPr>
          <w:szCs w:val="24"/>
        </w:rPr>
        <w:t>oversial when it was introduced</w:t>
      </w:r>
      <w:r w:rsidR="00592AFD" w:rsidRPr="00064689">
        <w:rPr>
          <w:szCs w:val="24"/>
        </w:rPr>
        <w:t xml:space="preserve"> </w:t>
      </w:r>
      <w:r w:rsidR="00825A5C" w:rsidRPr="00064689">
        <w:rPr>
          <w:szCs w:val="24"/>
        </w:rPr>
        <w:t>but</w:t>
      </w:r>
      <w:r w:rsidR="00E14528">
        <w:rPr>
          <w:szCs w:val="24"/>
        </w:rPr>
        <w:t xml:space="preserve"> at a</w:t>
      </w:r>
      <w:r w:rsidR="00AB3667">
        <w:rPr>
          <w:szCs w:val="24"/>
        </w:rPr>
        <w:t xml:space="preserve"> </w:t>
      </w:r>
      <w:r w:rsidR="00E14528">
        <w:rPr>
          <w:color w:val="000000"/>
        </w:rPr>
        <w:t>time of growing home ownership</w:t>
      </w:r>
      <w:r w:rsidR="00522591">
        <w:rPr>
          <w:color w:val="000000"/>
        </w:rPr>
        <w:t>,</w:t>
      </w:r>
      <w:r w:rsidR="00E14528">
        <w:rPr>
          <w:color w:val="000000"/>
        </w:rPr>
        <w:t xml:space="preserve"> facilitated by the Right to Buy and the deregulation of mortgage finance</w:t>
      </w:r>
      <w:r w:rsidR="00522591">
        <w:rPr>
          <w:color w:val="000000"/>
        </w:rPr>
        <w:t>,</w:t>
      </w:r>
      <w:r w:rsidR="00E14528" w:rsidDel="00AB3667">
        <w:rPr>
          <w:szCs w:val="24"/>
        </w:rPr>
        <w:t xml:space="preserve"> </w:t>
      </w:r>
      <w:r w:rsidR="00AB3667" w:rsidRPr="00064689">
        <w:rPr>
          <w:szCs w:val="24"/>
        </w:rPr>
        <w:t xml:space="preserve">it </w:t>
      </w:r>
      <w:r w:rsidR="00AB3667">
        <w:rPr>
          <w:szCs w:val="24"/>
        </w:rPr>
        <w:t xml:space="preserve">was primarily </w:t>
      </w:r>
      <w:r w:rsidR="00AB3667" w:rsidRPr="00064689">
        <w:rPr>
          <w:szCs w:val="24"/>
        </w:rPr>
        <w:t>viewed</w:t>
      </w:r>
      <w:r w:rsidR="00E14528">
        <w:rPr>
          <w:szCs w:val="24"/>
        </w:rPr>
        <w:t>, at least</w:t>
      </w:r>
      <w:r w:rsidR="00AB3667" w:rsidRPr="00064689">
        <w:rPr>
          <w:szCs w:val="24"/>
        </w:rPr>
        <w:t xml:space="preserve"> </w:t>
      </w:r>
      <w:r w:rsidR="00E14528" w:rsidRPr="00064689">
        <w:rPr>
          <w:szCs w:val="24"/>
        </w:rPr>
        <w:t>in England</w:t>
      </w:r>
      <w:r w:rsidR="00E14528">
        <w:rPr>
          <w:szCs w:val="24"/>
        </w:rPr>
        <w:t>,</w:t>
      </w:r>
      <w:r w:rsidR="00E14528" w:rsidRPr="00064689">
        <w:rPr>
          <w:szCs w:val="24"/>
        </w:rPr>
        <w:t xml:space="preserve"> </w:t>
      </w:r>
      <w:r w:rsidR="00AB3667" w:rsidRPr="00064689">
        <w:rPr>
          <w:szCs w:val="24"/>
        </w:rPr>
        <w:t>as a transitory tenure for students and young professionals; the young and (upwardly) mobile who benefit from its flexibility as much as landlords.</w:t>
      </w:r>
      <w:r w:rsidR="00AB3667" w:rsidRPr="00064689">
        <w:rPr>
          <w:rStyle w:val="FootnoteReference"/>
          <w:szCs w:val="24"/>
        </w:rPr>
        <w:footnoteReference w:id="33"/>
      </w:r>
      <w:r w:rsidR="00825A5C" w:rsidRPr="00064689">
        <w:rPr>
          <w:szCs w:val="24"/>
        </w:rPr>
        <w:t xml:space="preserve"> </w:t>
      </w:r>
    </w:p>
    <w:p w14:paraId="2B61F2CF" w14:textId="77777777" w:rsidR="001F214B" w:rsidRDefault="001F214B" w:rsidP="005D235B">
      <w:pPr>
        <w:spacing w:line="360" w:lineRule="auto"/>
        <w:rPr>
          <w:szCs w:val="24"/>
        </w:rPr>
      </w:pPr>
    </w:p>
    <w:p w14:paraId="2AF26F6D" w14:textId="6DA3D095" w:rsidR="008270AD" w:rsidRPr="00064689" w:rsidRDefault="004B2C1C" w:rsidP="005D235B">
      <w:pPr>
        <w:spacing w:line="360" w:lineRule="auto"/>
        <w:rPr>
          <w:szCs w:val="24"/>
        </w:rPr>
      </w:pPr>
      <w:r>
        <w:rPr>
          <w:szCs w:val="24"/>
        </w:rPr>
        <w:t>T</w:t>
      </w:r>
      <w:r w:rsidRPr="00D51406">
        <w:rPr>
          <w:szCs w:val="24"/>
        </w:rPr>
        <w:t>he Supreme Court concluded that government reports since 2000 (ie, after the enactment of the HRA 1998) approving the existing provisions, coupled with parliamentary inaction, justified the assessment that “the democratically elected legislature” had properly balanced “the competing interests of private sector landlords and residential tenants.”</w:t>
      </w:r>
      <w:r w:rsidRPr="00D51406">
        <w:rPr>
          <w:rStyle w:val="FootnoteReference"/>
          <w:szCs w:val="24"/>
        </w:rPr>
        <w:footnoteReference w:id="34"/>
      </w:r>
      <w:r w:rsidRPr="00D51406">
        <w:rPr>
          <w:szCs w:val="24"/>
        </w:rPr>
        <w:t xml:space="preserve">  </w:t>
      </w:r>
      <w:r>
        <w:rPr>
          <w:szCs w:val="24"/>
        </w:rPr>
        <w:t>We argue that t</w:t>
      </w:r>
      <w:r w:rsidRPr="00D51406">
        <w:rPr>
          <w:szCs w:val="24"/>
        </w:rPr>
        <w:t xml:space="preserve">he </w:t>
      </w:r>
      <w:r>
        <w:rPr>
          <w:szCs w:val="24"/>
        </w:rPr>
        <w:t>c</w:t>
      </w:r>
      <w:r w:rsidRPr="00D51406">
        <w:rPr>
          <w:szCs w:val="24"/>
        </w:rPr>
        <w:t>ourt’s consideration was narrow and historically frozen</w:t>
      </w:r>
      <w:r>
        <w:rPr>
          <w:szCs w:val="24"/>
        </w:rPr>
        <w:t>.</w:t>
      </w:r>
      <w:r>
        <w:rPr>
          <w:rStyle w:val="FootnoteReference"/>
          <w:szCs w:val="24"/>
        </w:rPr>
        <w:footnoteReference w:id="35"/>
      </w:r>
      <w:r w:rsidRPr="00D51406">
        <w:rPr>
          <w:szCs w:val="24"/>
        </w:rPr>
        <w:t xml:space="preserve"> </w:t>
      </w:r>
      <w:r>
        <w:rPr>
          <w:szCs w:val="24"/>
        </w:rPr>
        <w:t>It failed to engage fully with either the meaning and significance of respect for the home, or the effect of government policies which have constrained – or eliminated – available housing options and so blurred the court’s neat public-private division and undermined its categorisation of the agreement as voluntary.</w:t>
      </w:r>
      <w:r w:rsidRPr="00E95AF0">
        <w:rPr>
          <w:rStyle w:val="FootnoteReference"/>
          <w:rFonts w:eastAsia="Calibri"/>
          <w:szCs w:val="24"/>
        </w:rPr>
        <w:footnoteReference w:id="36"/>
      </w:r>
      <w:r>
        <w:rPr>
          <w:rFonts w:eastAsia="Calibri"/>
          <w:szCs w:val="24"/>
        </w:rPr>
        <w:t xml:space="preserve"> </w:t>
      </w:r>
      <w:r w:rsidR="001F214B">
        <w:rPr>
          <w:szCs w:val="24"/>
        </w:rPr>
        <w:t>As</w:t>
      </w:r>
      <w:r w:rsidR="00E14528">
        <w:rPr>
          <w:szCs w:val="24"/>
        </w:rPr>
        <w:t xml:space="preserve"> we explore below, </w:t>
      </w:r>
      <w:r w:rsidR="001F214B">
        <w:rPr>
          <w:szCs w:val="24"/>
        </w:rPr>
        <w:t>t</w:t>
      </w:r>
      <w:r w:rsidR="00770CF8" w:rsidRPr="00064689">
        <w:rPr>
          <w:szCs w:val="24"/>
        </w:rPr>
        <w:t xml:space="preserve">he private rental sector has </w:t>
      </w:r>
      <w:r w:rsidR="00AE6F90">
        <w:rPr>
          <w:szCs w:val="24"/>
        </w:rPr>
        <w:t>doubl</w:t>
      </w:r>
      <w:r w:rsidR="00D413D5">
        <w:rPr>
          <w:szCs w:val="24"/>
        </w:rPr>
        <w:t>ed</w:t>
      </w:r>
      <w:r w:rsidR="00AE6F90">
        <w:rPr>
          <w:szCs w:val="24"/>
        </w:rPr>
        <w:t xml:space="preserve"> in size since 2002</w:t>
      </w:r>
      <w:r w:rsidR="00D413D5">
        <w:rPr>
          <w:szCs w:val="24"/>
        </w:rPr>
        <w:t>.</w:t>
      </w:r>
      <w:r w:rsidR="004E26AC">
        <w:rPr>
          <w:szCs w:val="24"/>
        </w:rPr>
        <w:t xml:space="preserve"> </w:t>
      </w:r>
      <w:r w:rsidR="00AE6F90">
        <w:rPr>
          <w:szCs w:val="24"/>
        </w:rPr>
        <w:t xml:space="preserve"> </w:t>
      </w:r>
      <w:r w:rsidR="00D413D5">
        <w:rPr>
          <w:szCs w:val="24"/>
        </w:rPr>
        <w:t xml:space="preserve">It </w:t>
      </w:r>
      <w:r w:rsidR="00770CF8">
        <w:rPr>
          <w:szCs w:val="24"/>
        </w:rPr>
        <w:t>is now the second largest tenure, accommodating 20 per cent of households</w:t>
      </w:r>
      <w:r w:rsidR="00770CF8">
        <w:rPr>
          <w:rStyle w:val="FootnoteReference"/>
          <w:szCs w:val="24"/>
        </w:rPr>
        <w:footnoteReference w:id="37"/>
      </w:r>
      <w:r w:rsidR="00770CF8" w:rsidRPr="00064689">
        <w:rPr>
          <w:szCs w:val="24"/>
        </w:rPr>
        <w:t xml:space="preserve"> </w:t>
      </w:r>
      <w:r w:rsidR="00E14528">
        <w:rPr>
          <w:szCs w:val="24"/>
        </w:rPr>
        <w:t xml:space="preserve">with an increasingly </w:t>
      </w:r>
      <w:r w:rsidR="00E14528" w:rsidRPr="00064689">
        <w:rPr>
          <w:szCs w:val="24"/>
        </w:rPr>
        <w:t xml:space="preserve">heterogeneous </w:t>
      </w:r>
      <w:r w:rsidR="004C3EC9">
        <w:rPr>
          <w:szCs w:val="24"/>
        </w:rPr>
        <w:t xml:space="preserve">tenant </w:t>
      </w:r>
      <w:r w:rsidR="00E14528">
        <w:rPr>
          <w:szCs w:val="24"/>
        </w:rPr>
        <w:t>profile.</w:t>
      </w:r>
      <w:r w:rsidR="00E14528" w:rsidRPr="00064689">
        <w:rPr>
          <w:rStyle w:val="FootnoteReference"/>
          <w:szCs w:val="24"/>
        </w:rPr>
        <w:footnoteReference w:id="38"/>
      </w:r>
      <w:r w:rsidR="00E14528">
        <w:rPr>
          <w:szCs w:val="24"/>
        </w:rPr>
        <w:t xml:space="preserve"> </w:t>
      </w:r>
    </w:p>
    <w:p w14:paraId="31A974F3" w14:textId="77777777" w:rsidR="009168EE" w:rsidRPr="00E37BBC" w:rsidRDefault="009168EE" w:rsidP="005D235B">
      <w:pPr>
        <w:spacing w:after="0" w:line="360" w:lineRule="auto"/>
        <w:rPr>
          <w:rFonts w:ascii="Arial" w:hAnsi="Arial" w:cs="Arial"/>
          <w:color w:val="7030A0"/>
          <w:sz w:val="22"/>
          <w:szCs w:val="22"/>
        </w:rPr>
      </w:pPr>
    </w:p>
    <w:p w14:paraId="4CF86BA3" w14:textId="77777777" w:rsidR="00BF5577" w:rsidRDefault="00BF5577" w:rsidP="005D235B">
      <w:pPr>
        <w:spacing w:after="0" w:line="360" w:lineRule="auto"/>
        <w:rPr>
          <w:i/>
          <w:szCs w:val="24"/>
        </w:rPr>
      </w:pPr>
      <w:r>
        <w:rPr>
          <w:i/>
          <w:szCs w:val="24"/>
        </w:rPr>
        <w:t>The AST: A Private Consensual Relationship?</w:t>
      </w:r>
    </w:p>
    <w:p w14:paraId="3C1B6DB7" w14:textId="37FB9B64" w:rsidR="00234379" w:rsidRDefault="0002602E" w:rsidP="005D235B">
      <w:pPr>
        <w:spacing w:line="360" w:lineRule="auto"/>
        <w:rPr>
          <w:szCs w:val="24"/>
        </w:rPr>
      </w:pPr>
      <w:r>
        <w:rPr>
          <w:szCs w:val="24"/>
        </w:rPr>
        <w:t xml:space="preserve">Autonomy </w:t>
      </w:r>
      <w:r w:rsidR="004F36EF">
        <w:rPr>
          <w:szCs w:val="24"/>
        </w:rPr>
        <w:t xml:space="preserve">and </w:t>
      </w:r>
      <w:r>
        <w:rPr>
          <w:szCs w:val="24"/>
        </w:rPr>
        <w:t>c</w:t>
      </w:r>
      <w:r w:rsidR="00FF6AA1">
        <w:rPr>
          <w:szCs w:val="24"/>
        </w:rPr>
        <w:t xml:space="preserve">onsent </w:t>
      </w:r>
      <w:r w:rsidR="002A79DA">
        <w:rPr>
          <w:szCs w:val="24"/>
        </w:rPr>
        <w:t>are</w:t>
      </w:r>
      <w:r w:rsidR="00FF6AA1">
        <w:rPr>
          <w:szCs w:val="24"/>
        </w:rPr>
        <w:t xml:space="preserve"> the basis of contract </w:t>
      </w:r>
      <w:r w:rsidR="004F36EF">
        <w:rPr>
          <w:szCs w:val="24"/>
        </w:rPr>
        <w:t xml:space="preserve">within which </w:t>
      </w:r>
      <w:r w:rsidR="00FF6AA1">
        <w:rPr>
          <w:szCs w:val="24"/>
        </w:rPr>
        <w:t xml:space="preserve">choice </w:t>
      </w:r>
      <w:r w:rsidR="00EC7BB9">
        <w:rPr>
          <w:szCs w:val="24"/>
        </w:rPr>
        <w:t xml:space="preserve">is </w:t>
      </w:r>
      <w:r w:rsidR="00FF6AA1">
        <w:rPr>
          <w:szCs w:val="24"/>
        </w:rPr>
        <w:t xml:space="preserve">inherent.  </w:t>
      </w:r>
      <w:r w:rsidR="004F36EF">
        <w:rPr>
          <w:szCs w:val="24"/>
        </w:rPr>
        <w:t>T</w:t>
      </w:r>
      <w:r w:rsidR="00FF6AA1">
        <w:rPr>
          <w:szCs w:val="24"/>
        </w:rPr>
        <w:t xml:space="preserve">he objective </w:t>
      </w:r>
      <w:r w:rsidR="004F36EF">
        <w:rPr>
          <w:szCs w:val="24"/>
        </w:rPr>
        <w:t xml:space="preserve">of the neo-liberal market model </w:t>
      </w:r>
      <w:r w:rsidR="00FF6AA1">
        <w:rPr>
          <w:szCs w:val="24"/>
        </w:rPr>
        <w:t>is to facilitate choice by promoting a competitive market</w:t>
      </w:r>
      <w:r w:rsidR="00B96B3C">
        <w:rPr>
          <w:szCs w:val="24"/>
        </w:rPr>
        <w:t>,</w:t>
      </w:r>
      <w:r w:rsidR="00FF6AA1">
        <w:rPr>
          <w:szCs w:val="24"/>
        </w:rPr>
        <w:t xml:space="preserve"> </w:t>
      </w:r>
      <w:r w:rsidR="00B96B3C">
        <w:rPr>
          <w:szCs w:val="24"/>
        </w:rPr>
        <w:t xml:space="preserve">offering a </w:t>
      </w:r>
      <w:r w:rsidR="0061473F">
        <w:rPr>
          <w:szCs w:val="24"/>
        </w:rPr>
        <w:t xml:space="preserve">range </w:t>
      </w:r>
      <w:r w:rsidR="00B96B3C">
        <w:rPr>
          <w:szCs w:val="24"/>
        </w:rPr>
        <w:t xml:space="preserve">of products, </w:t>
      </w:r>
      <w:r w:rsidR="00917AD8">
        <w:rPr>
          <w:szCs w:val="24"/>
        </w:rPr>
        <w:t>and address</w:t>
      </w:r>
      <w:r w:rsidR="00332562">
        <w:rPr>
          <w:szCs w:val="24"/>
        </w:rPr>
        <w:t>ing</w:t>
      </w:r>
      <w:r w:rsidR="00FF6AA1">
        <w:rPr>
          <w:szCs w:val="24"/>
        </w:rPr>
        <w:t xml:space="preserve"> informational and experiential asymmetries </w:t>
      </w:r>
      <w:r w:rsidR="00917AD8">
        <w:rPr>
          <w:szCs w:val="24"/>
        </w:rPr>
        <w:t xml:space="preserve">between supplier and consumer </w:t>
      </w:r>
      <w:r w:rsidR="00FF6AA1">
        <w:rPr>
          <w:szCs w:val="24"/>
        </w:rPr>
        <w:t xml:space="preserve">by information disclosure, consumer education and product safety </w:t>
      </w:r>
      <w:r w:rsidR="00917AD8">
        <w:rPr>
          <w:szCs w:val="24"/>
        </w:rPr>
        <w:t>standards</w:t>
      </w:r>
      <w:r w:rsidR="00FF6AA1">
        <w:rPr>
          <w:szCs w:val="24"/>
        </w:rPr>
        <w:t>.</w:t>
      </w:r>
      <w:r w:rsidR="00917AD8">
        <w:rPr>
          <w:szCs w:val="24"/>
        </w:rPr>
        <w:t xml:space="preserve"> </w:t>
      </w:r>
      <w:r w:rsidR="002961B9">
        <w:rPr>
          <w:szCs w:val="24"/>
        </w:rPr>
        <w:t xml:space="preserve"> </w:t>
      </w:r>
      <w:r w:rsidR="00AE6F90">
        <w:rPr>
          <w:szCs w:val="24"/>
        </w:rPr>
        <w:t>The crux of the problem with the market model</w:t>
      </w:r>
      <w:r w:rsidR="003B1DD8">
        <w:rPr>
          <w:szCs w:val="24"/>
        </w:rPr>
        <w:t xml:space="preserve"> in the private rental sector</w:t>
      </w:r>
      <w:r w:rsidR="00AE6F90">
        <w:rPr>
          <w:szCs w:val="24"/>
        </w:rPr>
        <w:t>, however, is that there is no effective choice in the type of tenure on offer. It is the AST or nothing.</w:t>
      </w:r>
      <w:r w:rsidR="00AE6F90" w:rsidRPr="004025E6">
        <w:rPr>
          <w:rFonts w:ascii="Lucida Sans" w:hAnsi="Lucida Sans"/>
          <w:sz w:val="22"/>
          <w:szCs w:val="22"/>
        </w:rPr>
        <w:t xml:space="preserve"> </w:t>
      </w:r>
      <w:r w:rsidR="00AE6F90">
        <w:rPr>
          <w:color w:val="000000"/>
          <w:szCs w:val="24"/>
        </w:rPr>
        <w:t xml:space="preserve">The minimum term of an AST is just 6 months and although </w:t>
      </w:r>
      <w:r w:rsidR="00AE6F90" w:rsidRPr="004025E6">
        <w:rPr>
          <w:color w:val="000000"/>
          <w:szCs w:val="24"/>
        </w:rPr>
        <w:t xml:space="preserve">parties </w:t>
      </w:r>
      <w:r w:rsidR="00AE6F90">
        <w:rPr>
          <w:color w:val="000000"/>
          <w:szCs w:val="24"/>
        </w:rPr>
        <w:t xml:space="preserve">can </w:t>
      </w:r>
      <w:r w:rsidR="00AE6F90" w:rsidRPr="004025E6">
        <w:rPr>
          <w:color w:val="000000"/>
          <w:szCs w:val="24"/>
        </w:rPr>
        <w:t xml:space="preserve">agree longer terms, </w:t>
      </w:r>
      <w:r w:rsidR="00AE6F90" w:rsidRPr="004025E6">
        <w:rPr>
          <w:szCs w:val="24"/>
        </w:rPr>
        <w:t>in practice it is rare</w:t>
      </w:r>
      <w:r w:rsidR="007D16BF">
        <w:rPr>
          <w:szCs w:val="24"/>
        </w:rPr>
        <w:t>,</w:t>
      </w:r>
      <w:r w:rsidR="00AE6F90" w:rsidRPr="004025E6">
        <w:rPr>
          <w:rStyle w:val="FootnoteReference"/>
          <w:szCs w:val="24"/>
        </w:rPr>
        <w:footnoteReference w:id="39"/>
      </w:r>
      <w:r w:rsidR="00AE6F90" w:rsidRPr="00A842EA">
        <w:rPr>
          <w:rFonts w:ascii="Lucida Sans" w:hAnsi="Lucida Sans"/>
          <w:sz w:val="22"/>
          <w:szCs w:val="22"/>
        </w:rPr>
        <w:t xml:space="preserve"> </w:t>
      </w:r>
      <w:r w:rsidR="007D16BF" w:rsidRPr="00AB53C1">
        <w:rPr>
          <w:szCs w:val="24"/>
        </w:rPr>
        <w:t>reflecting the failure of the market</w:t>
      </w:r>
      <w:r w:rsidR="007D16BF">
        <w:rPr>
          <w:szCs w:val="24"/>
        </w:rPr>
        <w:t xml:space="preserve"> </w:t>
      </w:r>
      <w:r w:rsidR="007D16BF" w:rsidRPr="00AB53C1">
        <w:rPr>
          <w:szCs w:val="24"/>
        </w:rPr>
        <w:t xml:space="preserve">for </w:t>
      </w:r>
      <w:r w:rsidR="007D16BF">
        <w:rPr>
          <w:szCs w:val="24"/>
        </w:rPr>
        <w:t>those</w:t>
      </w:r>
      <w:r w:rsidR="007D16BF" w:rsidRPr="00AB53C1">
        <w:rPr>
          <w:szCs w:val="24"/>
        </w:rPr>
        <w:t xml:space="preserve"> </w:t>
      </w:r>
      <w:r w:rsidR="007D16BF">
        <w:rPr>
          <w:szCs w:val="24"/>
        </w:rPr>
        <w:t>unable to</w:t>
      </w:r>
      <w:r w:rsidR="007D16BF" w:rsidRPr="00AB53C1">
        <w:rPr>
          <w:szCs w:val="24"/>
        </w:rPr>
        <w:t xml:space="preserve"> ‘shop around’ for a better deal.</w:t>
      </w:r>
      <w:r w:rsidR="007D16BF">
        <w:rPr>
          <w:sz w:val="22"/>
          <w:szCs w:val="22"/>
        </w:rPr>
        <w:t xml:space="preserve">  </w:t>
      </w:r>
      <w:r w:rsidR="00AE6F90" w:rsidRPr="00D26028">
        <w:rPr>
          <w:szCs w:val="24"/>
        </w:rPr>
        <w:t>There</w:t>
      </w:r>
      <w:r w:rsidR="00AE6F90" w:rsidRPr="00D26028">
        <w:rPr>
          <w:color w:val="000000"/>
          <w:szCs w:val="24"/>
        </w:rPr>
        <w:t>a</w:t>
      </w:r>
      <w:r w:rsidR="00AE6F90">
        <w:rPr>
          <w:color w:val="000000"/>
          <w:szCs w:val="24"/>
        </w:rPr>
        <w:t>fter a landlord can terminate the tenancy, regardless of the tenant’s default, on a two month notice to quit.</w:t>
      </w:r>
      <w:r w:rsidR="00AE6F90">
        <w:rPr>
          <w:rStyle w:val="FootnoteReference"/>
          <w:color w:val="000000"/>
          <w:szCs w:val="24"/>
        </w:rPr>
        <w:footnoteReference w:id="40"/>
      </w:r>
      <w:r w:rsidR="00AE6F90">
        <w:rPr>
          <w:color w:val="000000"/>
          <w:szCs w:val="24"/>
        </w:rPr>
        <w:t xml:space="preserve"> </w:t>
      </w:r>
      <w:r w:rsidR="00AE6F90">
        <w:rPr>
          <w:szCs w:val="24"/>
        </w:rPr>
        <w:t xml:space="preserve">Therefore, in sharp contrast </w:t>
      </w:r>
      <w:r w:rsidR="00AE6F90" w:rsidRPr="008346F0">
        <w:rPr>
          <w:szCs w:val="24"/>
        </w:rPr>
        <w:t>with the</w:t>
      </w:r>
      <w:r w:rsidR="00AE6F90" w:rsidRPr="00064689">
        <w:rPr>
          <w:szCs w:val="24"/>
        </w:rPr>
        <w:t xml:space="preserve"> </w:t>
      </w:r>
      <w:r w:rsidR="00AE6F90">
        <w:rPr>
          <w:szCs w:val="24"/>
        </w:rPr>
        <w:t>position</w:t>
      </w:r>
      <w:r w:rsidR="00AE6F90" w:rsidRPr="00064689">
        <w:rPr>
          <w:szCs w:val="24"/>
        </w:rPr>
        <w:t xml:space="preserve"> in other countries within the UK</w:t>
      </w:r>
      <w:r w:rsidR="00AE6F90" w:rsidRPr="00064689">
        <w:rPr>
          <w:rStyle w:val="FootnoteReference"/>
          <w:szCs w:val="24"/>
        </w:rPr>
        <w:footnoteReference w:id="41"/>
      </w:r>
      <w:r w:rsidR="00AE6F90" w:rsidRPr="00064689">
        <w:rPr>
          <w:szCs w:val="24"/>
        </w:rPr>
        <w:t xml:space="preserve"> and Europe</w:t>
      </w:r>
      <w:r w:rsidR="00AE6F90">
        <w:rPr>
          <w:szCs w:val="24"/>
        </w:rPr>
        <w:t>,</w:t>
      </w:r>
      <w:r w:rsidR="00AE6F90" w:rsidRPr="00064689">
        <w:rPr>
          <w:rStyle w:val="FootnoteReference"/>
          <w:szCs w:val="24"/>
        </w:rPr>
        <w:footnoteReference w:id="42"/>
      </w:r>
      <w:r w:rsidR="00AE6F90">
        <w:rPr>
          <w:color w:val="000000"/>
          <w:szCs w:val="24"/>
        </w:rPr>
        <w:t xml:space="preserve"> </w:t>
      </w:r>
      <w:r w:rsidR="00AE6F90" w:rsidRPr="000F5B02">
        <w:rPr>
          <w:szCs w:val="24"/>
        </w:rPr>
        <w:t xml:space="preserve">security of tenure </w:t>
      </w:r>
      <w:r w:rsidR="00AE6F90">
        <w:rPr>
          <w:szCs w:val="24"/>
        </w:rPr>
        <w:t xml:space="preserve">is minimal.  </w:t>
      </w:r>
      <w:r w:rsidR="008140EF">
        <w:rPr>
          <w:szCs w:val="24"/>
        </w:rPr>
        <w:t xml:space="preserve">The </w:t>
      </w:r>
      <w:r w:rsidR="009C5171">
        <w:rPr>
          <w:szCs w:val="24"/>
        </w:rPr>
        <w:t>c</w:t>
      </w:r>
      <w:r w:rsidR="008140EF">
        <w:rPr>
          <w:szCs w:val="24"/>
        </w:rPr>
        <w:t xml:space="preserve">ourt in </w:t>
      </w:r>
      <w:r w:rsidR="008140EF">
        <w:rPr>
          <w:i/>
          <w:szCs w:val="24"/>
        </w:rPr>
        <w:t xml:space="preserve">McDonald </w:t>
      </w:r>
      <w:r w:rsidR="008140EF" w:rsidRPr="00D718E1">
        <w:rPr>
          <w:szCs w:val="24"/>
        </w:rPr>
        <w:t>characterised</w:t>
      </w:r>
      <w:r w:rsidR="008140EF">
        <w:rPr>
          <w:i/>
          <w:szCs w:val="24"/>
        </w:rPr>
        <w:t xml:space="preserve"> </w:t>
      </w:r>
      <w:r w:rsidR="008140EF">
        <w:rPr>
          <w:szCs w:val="24"/>
        </w:rPr>
        <w:t xml:space="preserve">the Housing Act 1988 as offering consumer protection but </w:t>
      </w:r>
      <w:r w:rsidR="00C33231">
        <w:rPr>
          <w:szCs w:val="24"/>
        </w:rPr>
        <w:t>its extent is minimal</w:t>
      </w:r>
      <w:r w:rsidR="008140EF" w:rsidRPr="00804DDA">
        <w:rPr>
          <w:szCs w:val="24"/>
        </w:rPr>
        <w:t>.</w:t>
      </w:r>
      <w:r w:rsidR="008140EF">
        <w:rPr>
          <w:szCs w:val="24"/>
        </w:rPr>
        <w:t xml:space="preserve"> There </w:t>
      </w:r>
      <w:r w:rsidR="00BE61FA">
        <w:rPr>
          <w:szCs w:val="24"/>
        </w:rPr>
        <w:t xml:space="preserve">is </w:t>
      </w:r>
      <w:r w:rsidR="0031759D">
        <w:rPr>
          <w:szCs w:val="24"/>
        </w:rPr>
        <w:t>a plethora of</w:t>
      </w:r>
      <w:r w:rsidR="0031759D" w:rsidRPr="00BF5577">
        <w:rPr>
          <w:szCs w:val="24"/>
        </w:rPr>
        <w:t xml:space="preserve"> </w:t>
      </w:r>
      <w:r w:rsidR="008140EF" w:rsidRPr="00BF5577">
        <w:rPr>
          <w:szCs w:val="24"/>
        </w:rPr>
        <w:t xml:space="preserve">statutory provisions </w:t>
      </w:r>
      <w:r w:rsidR="008140EF">
        <w:rPr>
          <w:szCs w:val="24"/>
        </w:rPr>
        <w:t xml:space="preserve">which </w:t>
      </w:r>
      <w:r w:rsidR="008140EF" w:rsidRPr="00BF5577">
        <w:rPr>
          <w:szCs w:val="24"/>
        </w:rPr>
        <w:t xml:space="preserve">acknowledge the vulnerability of </w:t>
      </w:r>
      <w:r w:rsidR="008140EF">
        <w:rPr>
          <w:szCs w:val="24"/>
        </w:rPr>
        <w:t xml:space="preserve">private </w:t>
      </w:r>
      <w:r w:rsidR="008140EF" w:rsidRPr="00BF5577">
        <w:rPr>
          <w:szCs w:val="24"/>
        </w:rPr>
        <w:t>tenants as consumers</w:t>
      </w:r>
      <w:r w:rsidR="008140EF">
        <w:rPr>
          <w:rStyle w:val="FootnoteReference"/>
          <w:szCs w:val="24"/>
        </w:rPr>
        <w:footnoteReference w:id="43"/>
      </w:r>
      <w:r>
        <w:rPr>
          <w:szCs w:val="24"/>
        </w:rPr>
        <w:t xml:space="preserve"> </w:t>
      </w:r>
      <w:r w:rsidR="00BE300C">
        <w:rPr>
          <w:szCs w:val="24"/>
        </w:rPr>
        <w:t xml:space="preserve">but </w:t>
      </w:r>
      <w:r w:rsidR="00C33231">
        <w:rPr>
          <w:szCs w:val="24"/>
        </w:rPr>
        <w:t>they</w:t>
      </w:r>
      <w:r w:rsidR="008140EF" w:rsidRPr="00BF5577">
        <w:rPr>
          <w:szCs w:val="24"/>
        </w:rPr>
        <w:t xml:space="preserve"> are characterised by their ad hoc and reactive nature; a pervading feature of housing law.</w:t>
      </w:r>
      <w:r w:rsidR="008140EF" w:rsidRPr="00BF5577">
        <w:rPr>
          <w:rStyle w:val="FootnoteReference"/>
          <w:szCs w:val="24"/>
        </w:rPr>
        <w:footnoteReference w:id="44"/>
      </w:r>
      <w:r w:rsidR="008140EF" w:rsidRPr="00BF5577">
        <w:rPr>
          <w:szCs w:val="24"/>
        </w:rPr>
        <w:t xml:space="preserve"> </w:t>
      </w:r>
      <w:r w:rsidR="0061473F">
        <w:rPr>
          <w:szCs w:val="24"/>
        </w:rPr>
        <w:t xml:space="preserve"> </w:t>
      </w:r>
      <w:r w:rsidR="00AA7196">
        <w:rPr>
          <w:szCs w:val="24"/>
        </w:rPr>
        <w:t>Rugg and Rhodes have recently confirmed tenants’ lack of awareness of these rights</w:t>
      </w:r>
      <w:r w:rsidR="00AA7196">
        <w:rPr>
          <w:rStyle w:val="FootnoteReference"/>
          <w:szCs w:val="24"/>
        </w:rPr>
        <w:footnoteReference w:id="45"/>
      </w:r>
      <w:r w:rsidR="00AA7196">
        <w:rPr>
          <w:szCs w:val="24"/>
        </w:rPr>
        <w:t xml:space="preserve"> </w:t>
      </w:r>
      <w:r w:rsidR="000704CD">
        <w:rPr>
          <w:szCs w:val="24"/>
        </w:rPr>
        <w:t xml:space="preserve">and, even where tenants have some knowledge of their consumer rights, </w:t>
      </w:r>
      <w:r w:rsidR="0061473F">
        <w:rPr>
          <w:szCs w:val="24"/>
        </w:rPr>
        <w:t xml:space="preserve">the Select Committee </w:t>
      </w:r>
      <w:r w:rsidR="000704CD">
        <w:rPr>
          <w:szCs w:val="24"/>
        </w:rPr>
        <w:t xml:space="preserve">has </w:t>
      </w:r>
      <w:r w:rsidR="00B16533">
        <w:rPr>
          <w:szCs w:val="24"/>
        </w:rPr>
        <w:t>identified</w:t>
      </w:r>
      <w:r w:rsidR="0061473F">
        <w:rPr>
          <w:szCs w:val="24"/>
        </w:rPr>
        <w:t xml:space="preserve"> a “clear power imbalance” in the sector</w:t>
      </w:r>
      <w:r w:rsidR="00B16533">
        <w:rPr>
          <w:szCs w:val="24"/>
        </w:rPr>
        <w:t>,</w:t>
      </w:r>
      <w:r w:rsidR="0061473F">
        <w:rPr>
          <w:szCs w:val="24"/>
        </w:rPr>
        <w:t xml:space="preserve"> leading tenants to fear exercising their rights, making them “meaningless”.</w:t>
      </w:r>
      <w:r w:rsidR="0061473F">
        <w:rPr>
          <w:rStyle w:val="FootnoteReference"/>
          <w:szCs w:val="24"/>
        </w:rPr>
        <w:footnoteReference w:id="46"/>
      </w:r>
      <w:r w:rsidR="0061473F">
        <w:rPr>
          <w:szCs w:val="24"/>
        </w:rPr>
        <w:t xml:space="preserve"> In any case, t</w:t>
      </w:r>
      <w:r w:rsidR="00BE300C">
        <w:rPr>
          <w:szCs w:val="24"/>
        </w:rPr>
        <w:t>he</w:t>
      </w:r>
      <w:r w:rsidR="008140EF" w:rsidRPr="00BF5577">
        <w:rPr>
          <w:szCs w:val="24"/>
        </w:rPr>
        <w:t xml:space="preserve"> two most contentious features</w:t>
      </w:r>
      <w:r w:rsidR="008140EF">
        <w:rPr>
          <w:szCs w:val="24"/>
        </w:rPr>
        <w:t xml:space="preserve"> of the agreement</w:t>
      </w:r>
      <w:r w:rsidR="008140EF" w:rsidRPr="00BF5577">
        <w:rPr>
          <w:szCs w:val="24"/>
        </w:rPr>
        <w:t xml:space="preserve"> – the duration and the rent – c</w:t>
      </w:r>
      <w:r w:rsidR="008140EF">
        <w:rPr>
          <w:szCs w:val="24"/>
        </w:rPr>
        <w:t>an</w:t>
      </w:r>
      <w:r w:rsidR="008140EF" w:rsidRPr="00BF5577">
        <w:rPr>
          <w:szCs w:val="24"/>
        </w:rPr>
        <w:t xml:space="preserve">not be challenged under </w:t>
      </w:r>
      <w:r w:rsidR="008140EF">
        <w:rPr>
          <w:szCs w:val="24"/>
        </w:rPr>
        <w:t>consumer legislation</w:t>
      </w:r>
      <w:r w:rsidR="008140EF" w:rsidRPr="00BF5577">
        <w:rPr>
          <w:szCs w:val="24"/>
        </w:rPr>
        <w:t>.</w:t>
      </w:r>
      <w:r w:rsidR="008140EF" w:rsidRPr="00BF5577">
        <w:rPr>
          <w:rStyle w:val="FootnoteReference"/>
          <w:szCs w:val="24"/>
        </w:rPr>
        <w:footnoteReference w:id="47"/>
      </w:r>
      <w:r w:rsidR="008140EF" w:rsidRPr="00BF5577">
        <w:rPr>
          <w:szCs w:val="24"/>
        </w:rPr>
        <w:t xml:space="preserve">  </w:t>
      </w:r>
      <w:r w:rsidR="00A32258">
        <w:rPr>
          <w:szCs w:val="24"/>
        </w:rPr>
        <w:t>The</w:t>
      </w:r>
      <w:r w:rsidR="00FF247B">
        <w:rPr>
          <w:szCs w:val="24"/>
        </w:rPr>
        <w:t xml:space="preserve"> lack of real choice is brought into sharp relief </w:t>
      </w:r>
      <w:r w:rsidR="005B014B">
        <w:rPr>
          <w:szCs w:val="24"/>
        </w:rPr>
        <w:t xml:space="preserve">by </w:t>
      </w:r>
      <w:r w:rsidR="00632CB3">
        <w:rPr>
          <w:szCs w:val="24"/>
        </w:rPr>
        <w:t>the role now played by the AST</w:t>
      </w:r>
      <w:r w:rsidR="00FF247B">
        <w:rPr>
          <w:szCs w:val="24"/>
        </w:rPr>
        <w:t xml:space="preserve"> within the broader housing market.</w:t>
      </w:r>
    </w:p>
    <w:p w14:paraId="67A587A9" w14:textId="77777777" w:rsidR="004E26AC" w:rsidRPr="00CB5538" w:rsidRDefault="004E26AC" w:rsidP="005D235B">
      <w:pPr>
        <w:spacing w:line="360" w:lineRule="auto"/>
        <w:rPr>
          <w:szCs w:val="24"/>
        </w:rPr>
      </w:pPr>
    </w:p>
    <w:p w14:paraId="034CEB89" w14:textId="77777777" w:rsidR="004214B2" w:rsidRPr="004214B2" w:rsidRDefault="004214B2" w:rsidP="005D235B">
      <w:pPr>
        <w:spacing w:after="0" w:line="360" w:lineRule="auto"/>
        <w:rPr>
          <w:i/>
          <w:szCs w:val="24"/>
        </w:rPr>
      </w:pPr>
      <w:r w:rsidRPr="004214B2">
        <w:rPr>
          <w:i/>
          <w:szCs w:val="24"/>
        </w:rPr>
        <w:t>The Changing Role of the AST</w:t>
      </w:r>
    </w:p>
    <w:p w14:paraId="4CE9F51E" w14:textId="53F5C752" w:rsidR="001F214B" w:rsidRDefault="001F214B" w:rsidP="001F214B">
      <w:pPr>
        <w:spacing w:after="0" w:line="360" w:lineRule="auto"/>
        <w:rPr>
          <w:szCs w:val="24"/>
        </w:rPr>
      </w:pPr>
      <w:r>
        <w:rPr>
          <w:szCs w:val="24"/>
        </w:rPr>
        <w:t>A</w:t>
      </w:r>
      <w:r w:rsidRPr="0051782C">
        <w:rPr>
          <w:szCs w:val="24"/>
        </w:rPr>
        <w:t>n increasingly diverse range of people now live in privately rented housing</w:t>
      </w:r>
      <w:r>
        <w:rPr>
          <w:szCs w:val="24"/>
        </w:rPr>
        <w:t xml:space="preserve"> beyond the young and transient</w:t>
      </w:r>
      <w:r w:rsidRPr="0051782C">
        <w:rPr>
          <w:szCs w:val="24"/>
        </w:rPr>
        <w:t>, including a greater proportion of families with children</w:t>
      </w:r>
      <w:r>
        <w:rPr>
          <w:szCs w:val="24"/>
        </w:rPr>
        <w:t xml:space="preserve"> and the retired</w:t>
      </w:r>
      <w:r w:rsidRPr="0051782C">
        <w:rPr>
          <w:szCs w:val="24"/>
        </w:rPr>
        <w:t>.</w:t>
      </w:r>
      <w:r w:rsidRPr="0051782C">
        <w:rPr>
          <w:rStyle w:val="FootnoteReference"/>
          <w:szCs w:val="24"/>
        </w:rPr>
        <w:footnoteReference w:id="48"/>
      </w:r>
      <w:r w:rsidRPr="0051782C">
        <w:rPr>
          <w:szCs w:val="24"/>
        </w:rPr>
        <w:t xml:space="preserve"> The continued increases in house prices, combined with more stringent mortgage lending practices</w:t>
      </w:r>
      <w:r w:rsidRPr="0051782C">
        <w:rPr>
          <w:rStyle w:val="FootnoteReference"/>
          <w:szCs w:val="24"/>
        </w:rPr>
        <w:footnoteReference w:id="49"/>
      </w:r>
      <w:r w:rsidRPr="0051782C">
        <w:rPr>
          <w:szCs w:val="24"/>
        </w:rPr>
        <w:t xml:space="preserve"> are locking aspirant home-owners out of the market.</w:t>
      </w:r>
      <w:r w:rsidRPr="0051782C">
        <w:rPr>
          <w:rStyle w:val="FootnoteReference"/>
          <w:szCs w:val="24"/>
        </w:rPr>
        <w:footnoteReference w:id="50"/>
      </w:r>
      <w:r w:rsidRPr="0051782C">
        <w:rPr>
          <w:szCs w:val="24"/>
        </w:rPr>
        <w:t xml:space="preserve"> It is also apparent that these renters anticipate remaining in the sector for longer.</w:t>
      </w:r>
      <w:r w:rsidRPr="0051782C">
        <w:rPr>
          <w:rStyle w:val="FootnoteReference"/>
          <w:szCs w:val="24"/>
        </w:rPr>
        <w:footnoteReference w:id="51"/>
      </w:r>
      <w:r w:rsidRPr="0051782C">
        <w:rPr>
          <w:szCs w:val="24"/>
        </w:rPr>
        <w:t xml:space="preserve"> At the other end of the spectrum, the scarcity of </w:t>
      </w:r>
      <w:r>
        <w:rPr>
          <w:szCs w:val="24"/>
        </w:rPr>
        <w:t xml:space="preserve">public or </w:t>
      </w:r>
      <w:r w:rsidRPr="0051782C">
        <w:rPr>
          <w:szCs w:val="24"/>
        </w:rPr>
        <w:t>social housing in many areas of the country means that a significant number of pe</w:t>
      </w:r>
      <w:r>
        <w:rPr>
          <w:szCs w:val="24"/>
        </w:rPr>
        <w:t>ople</w:t>
      </w:r>
      <w:r w:rsidRPr="0051782C">
        <w:rPr>
          <w:szCs w:val="24"/>
        </w:rPr>
        <w:t xml:space="preserve"> must resort to renting in the private sector,</w:t>
      </w:r>
      <w:r w:rsidRPr="0051782C">
        <w:rPr>
          <w:rStyle w:val="FootnoteReference"/>
          <w:szCs w:val="24"/>
        </w:rPr>
        <w:footnoteReference w:id="52"/>
      </w:r>
      <w:r w:rsidRPr="0051782C">
        <w:rPr>
          <w:szCs w:val="24"/>
        </w:rPr>
        <w:t xml:space="preserve"> and remain there for the long term.</w:t>
      </w:r>
      <w:r w:rsidRPr="0051782C">
        <w:rPr>
          <w:rStyle w:val="FootnoteReference"/>
          <w:szCs w:val="24"/>
        </w:rPr>
        <w:footnoteReference w:id="53"/>
      </w:r>
      <w:r>
        <w:rPr>
          <w:szCs w:val="24"/>
        </w:rPr>
        <w:t xml:space="preserve">  Successive government policies have led to the current paucity of social housing, starkly illustrated by the 60 per cent increase in homeless households living in temporary accommodation since March 2011.</w:t>
      </w:r>
      <w:r>
        <w:rPr>
          <w:rStyle w:val="FootnoteReference"/>
          <w:szCs w:val="24"/>
        </w:rPr>
        <w:footnoteReference w:id="54"/>
      </w:r>
      <w:r>
        <w:rPr>
          <w:szCs w:val="24"/>
        </w:rPr>
        <w:t xml:space="preserve">  </w:t>
      </w:r>
    </w:p>
    <w:p w14:paraId="16EC8615" w14:textId="77777777" w:rsidR="001F214B" w:rsidRDefault="001F214B" w:rsidP="001F214B">
      <w:pPr>
        <w:spacing w:after="0" w:line="360" w:lineRule="auto"/>
        <w:rPr>
          <w:szCs w:val="24"/>
        </w:rPr>
      </w:pPr>
    </w:p>
    <w:p w14:paraId="748A8B11" w14:textId="41B912E3" w:rsidR="001F214B" w:rsidRDefault="001F214B" w:rsidP="001F214B">
      <w:pPr>
        <w:spacing w:after="0" w:line="360" w:lineRule="auto"/>
        <w:rPr>
          <w:szCs w:val="24"/>
        </w:rPr>
      </w:pPr>
      <w:r>
        <w:rPr>
          <w:szCs w:val="24"/>
        </w:rPr>
        <w:t>The</w:t>
      </w:r>
      <w:r w:rsidRPr="0051782C">
        <w:rPr>
          <w:szCs w:val="24"/>
        </w:rPr>
        <w:t xml:space="preserve"> </w:t>
      </w:r>
      <w:r>
        <w:rPr>
          <w:szCs w:val="24"/>
        </w:rPr>
        <w:t xml:space="preserve">private </w:t>
      </w:r>
      <w:r w:rsidRPr="0051782C">
        <w:rPr>
          <w:szCs w:val="24"/>
        </w:rPr>
        <w:t xml:space="preserve">sector is used as a social tenancy substitute in </w:t>
      </w:r>
      <w:r>
        <w:rPr>
          <w:szCs w:val="24"/>
        </w:rPr>
        <w:t xml:space="preserve">even </w:t>
      </w:r>
      <w:r w:rsidRPr="0051782C">
        <w:rPr>
          <w:szCs w:val="24"/>
        </w:rPr>
        <w:t xml:space="preserve">more direct ways.  First, it accommodates </w:t>
      </w:r>
      <w:r>
        <w:rPr>
          <w:szCs w:val="24"/>
        </w:rPr>
        <w:t xml:space="preserve">vulnerable </w:t>
      </w:r>
      <w:r w:rsidRPr="0051782C">
        <w:rPr>
          <w:szCs w:val="24"/>
        </w:rPr>
        <w:t>people, like Fiona McDonald, who have been evicted from social housing because of unacceptable behaviour.</w:t>
      </w:r>
      <w:r w:rsidRPr="0051782C">
        <w:rPr>
          <w:rStyle w:val="FootnoteReference"/>
          <w:szCs w:val="24"/>
        </w:rPr>
        <w:footnoteReference w:id="55"/>
      </w:r>
      <w:r w:rsidRPr="0051782C">
        <w:rPr>
          <w:szCs w:val="24"/>
        </w:rPr>
        <w:t xml:space="preserve">  Secondly, since 2011 local authorities are able to discharge </w:t>
      </w:r>
      <w:r>
        <w:rPr>
          <w:szCs w:val="24"/>
        </w:rPr>
        <w:t>their duty to homeless households</w:t>
      </w:r>
      <w:r w:rsidRPr="0051782C">
        <w:rPr>
          <w:szCs w:val="24"/>
        </w:rPr>
        <w:t xml:space="preserve"> by offering </w:t>
      </w:r>
      <w:r>
        <w:rPr>
          <w:szCs w:val="24"/>
        </w:rPr>
        <w:t>a 12 month AST</w:t>
      </w:r>
      <w:r w:rsidRPr="0051782C">
        <w:rPr>
          <w:szCs w:val="24"/>
        </w:rPr>
        <w:t>.</w:t>
      </w:r>
      <w:r w:rsidRPr="0051782C">
        <w:rPr>
          <w:rStyle w:val="FootnoteReference"/>
          <w:szCs w:val="24"/>
        </w:rPr>
        <w:footnoteReference w:id="56"/>
      </w:r>
      <w:r w:rsidRPr="0051782C">
        <w:rPr>
          <w:szCs w:val="24"/>
        </w:rPr>
        <w:t xml:space="preserve">  Given that the ending of </w:t>
      </w:r>
      <w:r>
        <w:rPr>
          <w:szCs w:val="24"/>
        </w:rPr>
        <w:t>an AST</w:t>
      </w:r>
      <w:r w:rsidRPr="0051782C">
        <w:rPr>
          <w:szCs w:val="24"/>
        </w:rPr>
        <w:t xml:space="preserve"> has been the principal cause of households being accepted as unintentionally homeless </w:t>
      </w:r>
      <w:r>
        <w:rPr>
          <w:szCs w:val="24"/>
        </w:rPr>
        <w:t>since 2012</w:t>
      </w:r>
      <w:r w:rsidRPr="0051782C">
        <w:rPr>
          <w:szCs w:val="24"/>
        </w:rPr>
        <w:t>,</w:t>
      </w:r>
      <w:r w:rsidRPr="0051782C">
        <w:rPr>
          <w:rStyle w:val="FootnoteReference"/>
          <w:szCs w:val="24"/>
        </w:rPr>
        <w:footnoteReference w:id="57"/>
      </w:r>
      <w:r w:rsidRPr="0051782C">
        <w:rPr>
          <w:szCs w:val="24"/>
        </w:rPr>
        <w:t xml:space="preserve"> this development is highly contentious.  </w:t>
      </w:r>
      <w:r>
        <w:rPr>
          <w:szCs w:val="24"/>
        </w:rPr>
        <w:t>Homeless applicants who refuse the offer have no further recourse to the local authority.</w:t>
      </w:r>
      <w:r w:rsidRPr="0051782C">
        <w:rPr>
          <w:szCs w:val="24"/>
        </w:rPr>
        <w:t xml:space="preserve"> </w:t>
      </w:r>
      <w:r>
        <w:rPr>
          <w:szCs w:val="24"/>
        </w:rPr>
        <w:t xml:space="preserve">They must therefore take what is offered or risk rooflessness. These </w:t>
      </w:r>
      <w:r w:rsidRPr="0051782C">
        <w:rPr>
          <w:szCs w:val="24"/>
        </w:rPr>
        <w:t>groups are vulnerable and on low incomes</w:t>
      </w:r>
      <w:r>
        <w:rPr>
          <w:szCs w:val="24"/>
        </w:rPr>
        <w:t xml:space="preserve"> and it is untenable to characterise them as consumers entering into a negotiated, consensual private agreement and accepting limited security of tenure as part of that deal. </w:t>
      </w:r>
      <w:r w:rsidR="00232649">
        <w:rPr>
          <w:szCs w:val="24"/>
        </w:rPr>
        <w:t xml:space="preserve"> There is </w:t>
      </w:r>
      <w:r w:rsidR="002768D7">
        <w:rPr>
          <w:szCs w:val="24"/>
        </w:rPr>
        <w:t xml:space="preserve">also </w:t>
      </w:r>
      <w:r w:rsidR="00232649">
        <w:rPr>
          <w:szCs w:val="24"/>
        </w:rPr>
        <w:t xml:space="preserve">growing evidence that tenants in receipt of </w:t>
      </w:r>
      <w:r w:rsidR="002768D7">
        <w:rPr>
          <w:szCs w:val="24"/>
        </w:rPr>
        <w:t>housing</w:t>
      </w:r>
      <w:r w:rsidR="00232649">
        <w:rPr>
          <w:szCs w:val="24"/>
        </w:rPr>
        <w:t xml:space="preserve"> benefit are automatically rejected by landlords and letting agents, further constraining their already limited options.</w:t>
      </w:r>
      <w:r w:rsidR="00A32258">
        <w:rPr>
          <w:rStyle w:val="FootnoteReference"/>
          <w:szCs w:val="24"/>
        </w:rPr>
        <w:footnoteReference w:id="58"/>
      </w:r>
      <w:r w:rsidR="00232649">
        <w:rPr>
          <w:szCs w:val="24"/>
        </w:rPr>
        <w:t xml:space="preserve"> </w:t>
      </w:r>
      <w:r>
        <w:rPr>
          <w:szCs w:val="24"/>
        </w:rPr>
        <w:t>Thus, whilst successive parliaments have failed to adjust the balance of rights between landlords and tenants, their actions in other areas of housing policy have resulted in ASTs being used as quasi-social tenancies,</w:t>
      </w:r>
      <w:r>
        <w:rPr>
          <w:rStyle w:val="FootnoteReference"/>
          <w:szCs w:val="24"/>
        </w:rPr>
        <w:footnoteReference w:id="59"/>
      </w:r>
      <w:r>
        <w:rPr>
          <w:szCs w:val="24"/>
        </w:rPr>
        <w:t xml:space="preserve"> as well as a longer term housing resource, in a process memorably characterised by Morgan as the “casualization of housing”.</w:t>
      </w:r>
      <w:r>
        <w:rPr>
          <w:rStyle w:val="FootnoteReference"/>
          <w:szCs w:val="24"/>
        </w:rPr>
        <w:footnoteReference w:id="60"/>
      </w:r>
      <w:r>
        <w:rPr>
          <w:szCs w:val="24"/>
        </w:rPr>
        <w:t xml:space="preserve">  </w:t>
      </w:r>
    </w:p>
    <w:p w14:paraId="02060803" w14:textId="77777777" w:rsidR="001F214B" w:rsidRDefault="001F214B" w:rsidP="001F214B">
      <w:pPr>
        <w:spacing w:after="0" w:line="360" w:lineRule="auto"/>
        <w:rPr>
          <w:szCs w:val="24"/>
        </w:rPr>
      </w:pPr>
    </w:p>
    <w:p w14:paraId="3C6DFFE1" w14:textId="4EEF0FB6" w:rsidR="001F214B" w:rsidRPr="00F15039" w:rsidRDefault="001F214B" w:rsidP="001F214B">
      <w:pPr>
        <w:spacing w:after="0" w:line="360" w:lineRule="auto"/>
      </w:pPr>
      <w:r>
        <w:rPr>
          <w:szCs w:val="24"/>
        </w:rPr>
        <w:t xml:space="preserve">A further factor militating against a clear distinction between public and private provision is </w:t>
      </w:r>
      <w:r w:rsidRPr="0051782C">
        <w:rPr>
          <w:szCs w:val="24"/>
        </w:rPr>
        <w:t xml:space="preserve">the </w:t>
      </w:r>
      <w:r>
        <w:rPr>
          <w:szCs w:val="24"/>
        </w:rPr>
        <w:t xml:space="preserve">increase in the </w:t>
      </w:r>
      <w:r w:rsidRPr="0051782C">
        <w:rPr>
          <w:szCs w:val="24"/>
        </w:rPr>
        <w:t>proportion of private renters receiving financial assistance from the state to help meet rent costs</w:t>
      </w:r>
      <w:r>
        <w:rPr>
          <w:szCs w:val="24"/>
        </w:rPr>
        <w:t>, including Fiona McDonald</w:t>
      </w:r>
      <w:r w:rsidRPr="0051782C">
        <w:rPr>
          <w:szCs w:val="24"/>
        </w:rPr>
        <w:t>.</w:t>
      </w:r>
      <w:r w:rsidRPr="0051782C">
        <w:rPr>
          <w:rStyle w:val="FootnoteReference"/>
          <w:szCs w:val="24"/>
        </w:rPr>
        <w:footnoteReference w:id="61"/>
      </w:r>
      <w:r w:rsidRPr="0051782C">
        <w:rPr>
          <w:szCs w:val="24"/>
        </w:rPr>
        <w:t xml:space="preserve">  </w:t>
      </w:r>
      <w:r>
        <w:rPr>
          <w:szCs w:val="24"/>
        </w:rPr>
        <w:t>Consequently</w:t>
      </w:r>
      <w:r w:rsidRPr="0051782C">
        <w:rPr>
          <w:szCs w:val="24"/>
        </w:rPr>
        <w:t xml:space="preserve">, a growing proportion of private landlords are paid, at least partly – directly or indirectly – by the </w:t>
      </w:r>
      <w:r>
        <w:rPr>
          <w:szCs w:val="24"/>
        </w:rPr>
        <w:t>S</w:t>
      </w:r>
      <w:r w:rsidRPr="0051782C">
        <w:rPr>
          <w:szCs w:val="24"/>
        </w:rPr>
        <w:t xml:space="preserve">tate.  </w:t>
      </w:r>
      <w:r>
        <w:t>Even where a private landlord lets to a tenant who is not entitled to housing benefit, he or she has enjoyed favourable tax treatment. They have been able to offset the interest element of mortgage repayments, as well as generous wear and tear allowances, against rental income which helped spawned an increase in investors within the private rental sector supported by specific Buy to Let mortgage products. Prompted by fears of unfair competition with first time buyers,</w:t>
      </w:r>
      <w:r w:rsidDel="001756AF">
        <w:t xml:space="preserve"> </w:t>
      </w:r>
      <w:r>
        <w:t>the Government has taken steps to limit the attraction of the Buy to Let sector to investors by reducing these financial advantages.</w:t>
      </w:r>
      <w:r>
        <w:rPr>
          <w:rStyle w:val="FootnoteReference"/>
        </w:rPr>
        <w:footnoteReference w:id="62"/>
      </w:r>
      <w:r>
        <w:t xml:space="preserve"> </w:t>
      </w:r>
    </w:p>
    <w:p w14:paraId="4C666789" w14:textId="77777777" w:rsidR="008B43B2" w:rsidRDefault="008B43B2" w:rsidP="005D235B">
      <w:pPr>
        <w:spacing w:after="0" w:line="360" w:lineRule="auto"/>
        <w:rPr>
          <w:szCs w:val="24"/>
        </w:rPr>
      </w:pPr>
    </w:p>
    <w:p w14:paraId="3CBC87FF" w14:textId="15D10711" w:rsidR="00A44916" w:rsidRDefault="00A35C00" w:rsidP="005D235B">
      <w:pPr>
        <w:spacing w:after="0" w:line="360" w:lineRule="auto"/>
        <w:rPr>
          <w:rFonts w:eastAsia="Calibri"/>
          <w:szCs w:val="24"/>
        </w:rPr>
      </w:pPr>
      <w:r w:rsidRPr="0051782C">
        <w:rPr>
          <w:szCs w:val="24"/>
        </w:rPr>
        <w:t xml:space="preserve">In summary, </w:t>
      </w:r>
      <w:r w:rsidR="00B068DF">
        <w:rPr>
          <w:szCs w:val="24"/>
        </w:rPr>
        <w:t xml:space="preserve">the </w:t>
      </w:r>
      <w:r w:rsidR="00373F83">
        <w:rPr>
          <w:szCs w:val="24"/>
        </w:rPr>
        <w:t xml:space="preserve">Supreme Court’s </w:t>
      </w:r>
      <w:r w:rsidR="00A97200">
        <w:rPr>
          <w:szCs w:val="24"/>
        </w:rPr>
        <w:t xml:space="preserve">decision in </w:t>
      </w:r>
      <w:r w:rsidR="00A97200">
        <w:rPr>
          <w:i/>
          <w:szCs w:val="24"/>
        </w:rPr>
        <w:t>McDonald</w:t>
      </w:r>
      <w:r w:rsidR="009D22A2">
        <w:rPr>
          <w:szCs w:val="24"/>
        </w:rPr>
        <w:t>, endorsed by the ECtHR,</w:t>
      </w:r>
      <w:r w:rsidR="00A97200">
        <w:rPr>
          <w:szCs w:val="24"/>
        </w:rPr>
        <w:t xml:space="preserve"> shuts off the possibility of an article 8 defence through a simplistic </w:t>
      </w:r>
      <w:r w:rsidR="00C80F7B">
        <w:rPr>
          <w:szCs w:val="24"/>
        </w:rPr>
        <w:t>identification</w:t>
      </w:r>
      <w:r w:rsidR="00A97200">
        <w:rPr>
          <w:szCs w:val="24"/>
        </w:rPr>
        <w:t xml:space="preserve"> of </w:t>
      </w:r>
      <w:r w:rsidR="00373F83">
        <w:rPr>
          <w:szCs w:val="24"/>
        </w:rPr>
        <w:t xml:space="preserve">distinct </w:t>
      </w:r>
      <w:r w:rsidR="00B068DF">
        <w:rPr>
          <w:szCs w:val="24"/>
        </w:rPr>
        <w:t xml:space="preserve">private and public sectors </w:t>
      </w:r>
      <w:r w:rsidR="00A97200">
        <w:rPr>
          <w:szCs w:val="24"/>
        </w:rPr>
        <w:t xml:space="preserve">which </w:t>
      </w:r>
      <w:r w:rsidR="00B068DF">
        <w:rPr>
          <w:szCs w:val="24"/>
        </w:rPr>
        <w:t>fails to accord with the reality of housing provision</w:t>
      </w:r>
      <w:r w:rsidR="00A97200">
        <w:rPr>
          <w:szCs w:val="24"/>
        </w:rPr>
        <w:t xml:space="preserve">.  It </w:t>
      </w:r>
      <w:r w:rsidR="00B068DF">
        <w:rPr>
          <w:szCs w:val="24"/>
        </w:rPr>
        <w:t xml:space="preserve">ignores </w:t>
      </w:r>
      <w:r w:rsidR="00A97200">
        <w:rPr>
          <w:color w:val="000000"/>
          <w:szCs w:val="24"/>
        </w:rPr>
        <w:t xml:space="preserve">the subtlety and complexity of the contexts in which the AST operates and </w:t>
      </w:r>
      <w:r w:rsidR="00087900">
        <w:rPr>
          <w:color w:val="000000"/>
          <w:szCs w:val="24"/>
        </w:rPr>
        <w:t>makes the public</w:t>
      </w:r>
      <w:r w:rsidR="00AA396C">
        <w:rPr>
          <w:color w:val="000000"/>
          <w:szCs w:val="24"/>
        </w:rPr>
        <w:t>-</w:t>
      </w:r>
      <w:r w:rsidR="00087900">
        <w:rPr>
          <w:color w:val="000000"/>
          <w:szCs w:val="24"/>
        </w:rPr>
        <w:t xml:space="preserve">private divide critical.  </w:t>
      </w:r>
      <w:r w:rsidR="00E85C03">
        <w:rPr>
          <w:color w:val="000000"/>
          <w:szCs w:val="24"/>
        </w:rPr>
        <w:t>Clearly, not all ASTs are being used as quasi-social housing</w:t>
      </w:r>
      <w:r w:rsidR="000C34BF">
        <w:rPr>
          <w:color w:val="000000"/>
          <w:szCs w:val="24"/>
        </w:rPr>
        <w:t xml:space="preserve"> and </w:t>
      </w:r>
      <w:r w:rsidR="000C34BF">
        <w:rPr>
          <w:rFonts w:eastAsia="Calibri"/>
          <w:szCs w:val="24"/>
        </w:rPr>
        <w:t>t</w:t>
      </w:r>
      <w:r w:rsidR="005D5A2F" w:rsidRPr="00E95AF0">
        <w:rPr>
          <w:rFonts w:eastAsia="Calibri"/>
          <w:szCs w:val="24"/>
        </w:rPr>
        <w:t xml:space="preserve">here </w:t>
      </w:r>
      <w:r w:rsidR="00AE357A">
        <w:rPr>
          <w:rFonts w:eastAsia="Calibri"/>
          <w:szCs w:val="24"/>
        </w:rPr>
        <w:t xml:space="preserve">are </w:t>
      </w:r>
      <w:r w:rsidR="005D5A2F" w:rsidRPr="00E95AF0">
        <w:rPr>
          <w:rFonts w:eastAsia="Calibri"/>
          <w:szCs w:val="24"/>
        </w:rPr>
        <w:t>undoubtedly a po</w:t>
      </w:r>
      <w:r w:rsidR="00022F4D">
        <w:rPr>
          <w:rFonts w:eastAsia="Calibri"/>
          <w:szCs w:val="24"/>
        </w:rPr>
        <w:t>rtion</w:t>
      </w:r>
      <w:r w:rsidR="005D5A2F" w:rsidRPr="00E95AF0">
        <w:rPr>
          <w:rFonts w:eastAsia="Calibri"/>
          <w:szCs w:val="24"/>
        </w:rPr>
        <w:t xml:space="preserve"> which exemplify the freely negotiated consensual bargain </w:t>
      </w:r>
      <w:r w:rsidR="009D22A2">
        <w:rPr>
          <w:rFonts w:eastAsia="Calibri"/>
          <w:szCs w:val="24"/>
        </w:rPr>
        <w:t>model</w:t>
      </w:r>
      <w:r w:rsidR="005D5A2F">
        <w:rPr>
          <w:rFonts w:eastAsia="Calibri"/>
          <w:szCs w:val="24"/>
        </w:rPr>
        <w:t>.</w:t>
      </w:r>
      <w:r w:rsidR="00876836">
        <w:rPr>
          <w:rStyle w:val="FootnoteReference"/>
          <w:rFonts w:eastAsia="Calibri"/>
          <w:szCs w:val="24"/>
        </w:rPr>
        <w:footnoteReference w:id="63"/>
      </w:r>
      <w:r w:rsidR="005D5A2F">
        <w:rPr>
          <w:rFonts w:eastAsia="Calibri"/>
          <w:szCs w:val="24"/>
        </w:rPr>
        <w:t xml:space="preserve">  The challenge is to recognise and accommodate the spectrum of contexts and to determine</w:t>
      </w:r>
      <w:r w:rsidR="002D0BBC" w:rsidRPr="00E95AF0">
        <w:rPr>
          <w:rFonts w:eastAsia="Calibri"/>
          <w:szCs w:val="24"/>
        </w:rPr>
        <w:t xml:space="preserve"> “the degree to which public law values should be extended into the sphere of privatised power.”</w:t>
      </w:r>
      <w:r w:rsidR="002D0BBC" w:rsidRPr="00E95AF0">
        <w:rPr>
          <w:rFonts w:eastAsia="Calibri"/>
          <w:szCs w:val="24"/>
          <w:vertAlign w:val="superscript"/>
        </w:rPr>
        <w:footnoteReference w:id="64"/>
      </w:r>
    </w:p>
    <w:p w14:paraId="27BA07C5" w14:textId="77777777" w:rsidR="009448FC" w:rsidRDefault="009448FC" w:rsidP="005D235B">
      <w:pPr>
        <w:spacing w:after="0" w:line="360" w:lineRule="auto"/>
        <w:rPr>
          <w:rFonts w:eastAsia="Calibri"/>
          <w:szCs w:val="24"/>
        </w:rPr>
      </w:pPr>
    </w:p>
    <w:p w14:paraId="26C8EB02" w14:textId="77777777" w:rsidR="009448FC" w:rsidRDefault="009448FC" w:rsidP="005D235B">
      <w:pPr>
        <w:spacing w:line="360" w:lineRule="auto"/>
        <w:rPr>
          <w:rFonts w:eastAsia="Calibri"/>
          <w:i/>
          <w:szCs w:val="24"/>
        </w:rPr>
      </w:pPr>
      <w:r>
        <w:rPr>
          <w:rFonts w:eastAsia="Calibri"/>
          <w:i/>
          <w:szCs w:val="24"/>
        </w:rPr>
        <w:t xml:space="preserve">A Contextual Spectrum </w:t>
      </w:r>
    </w:p>
    <w:p w14:paraId="04EC686C" w14:textId="77777777" w:rsidR="00204632" w:rsidRDefault="009448FC" w:rsidP="005D235B">
      <w:pPr>
        <w:spacing w:line="360" w:lineRule="auto"/>
      </w:pPr>
      <w:r>
        <w:t>As readers of this journal are well aware, the public-private ‘divide’ is hardly a new topic of debate.  In 1980, Harlow argued against the creation of general immunities for public authorities against legal action,</w:t>
      </w:r>
      <w:r>
        <w:rPr>
          <w:rStyle w:val="FootnoteReference"/>
        </w:rPr>
        <w:footnoteReference w:id="65"/>
      </w:r>
      <w:r>
        <w:t xml:space="preserve">  describing a jurisdictional division between public and private law cases as “old fashioned and undesirable in principle”.</w:t>
      </w:r>
      <w:r>
        <w:rPr>
          <w:rStyle w:val="FootnoteReference"/>
        </w:rPr>
        <w:footnoteReference w:id="66"/>
      </w:r>
      <w:r>
        <w:t xml:space="preserve">  The argument has subsequently played out in the susceptibility of various quasi-public bodies to judicial review,</w:t>
      </w:r>
      <w:r w:rsidR="00B26F37">
        <w:rPr>
          <w:rStyle w:val="FootnoteReference"/>
        </w:rPr>
        <w:footnoteReference w:id="67"/>
      </w:r>
      <w:r>
        <w:t xml:space="preserve"> and, more recently, to human rights challenges under section 6 of the HRA.</w:t>
      </w:r>
      <w:r>
        <w:rPr>
          <w:rStyle w:val="FootnoteReference"/>
        </w:rPr>
        <w:footnoteReference w:id="68"/>
      </w:r>
      <w:r>
        <w:t xml:space="preserve">  </w:t>
      </w:r>
      <w:r>
        <w:rPr>
          <w:rFonts w:eastAsia="Calibri"/>
          <w:szCs w:val="24"/>
        </w:rPr>
        <w:t xml:space="preserve">The difficulty of establishing </w:t>
      </w:r>
      <w:r w:rsidR="009C3950">
        <w:rPr>
          <w:rFonts w:eastAsia="Calibri"/>
          <w:szCs w:val="24"/>
        </w:rPr>
        <w:t xml:space="preserve">clear parameters is </w:t>
      </w:r>
      <w:r>
        <w:rPr>
          <w:rFonts w:eastAsia="Calibri"/>
          <w:szCs w:val="24"/>
        </w:rPr>
        <w:t xml:space="preserve">illustrated by the divergent judicial opinions that pepper </w:t>
      </w:r>
      <w:r w:rsidR="0032622C">
        <w:rPr>
          <w:rFonts w:eastAsia="Calibri"/>
          <w:szCs w:val="24"/>
        </w:rPr>
        <w:t>those</w:t>
      </w:r>
      <w:r>
        <w:rPr>
          <w:rFonts w:eastAsia="Calibri"/>
          <w:szCs w:val="24"/>
        </w:rPr>
        <w:t xml:space="preserve"> cases.</w:t>
      </w:r>
      <w:r w:rsidR="007A3C66" w:rsidRPr="007A3C66">
        <w:rPr>
          <w:rStyle w:val="FootnoteReference"/>
          <w:iCs/>
          <w:szCs w:val="24"/>
        </w:rPr>
        <w:footnoteReference w:id="69"/>
      </w:r>
      <w:r w:rsidR="007A3C66" w:rsidRPr="007A3C66">
        <w:rPr>
          <w:szCs w:val="24"/>
        </w:rPr>
        <w:t xml:space="preserve"> </w:t>
      </w:r>
      <w:r>
        <w:rPr>
          <w:rFonts w:eastAsia="Calibri"/>
          <w:szCs w:val="24"/>
        </w:rPr>
        <w:t xml:space="preserve"> </w:t>
      </w:r>
      <w:r w:rsidR="00204632">
        <w:rPr>
          <w:rFonts w:eastAsia="Calibri"/>
          <w:szCs w:val="24"/>
        </w:rPr>
        <w:t>T</w:t>
      </w:r>
      <w:r w:rsidR="00204632">
        <w:t xml:space="preserve">here is thus ample evidence that a clear and principled dividing line is increasingly elusive, both in practice and </w:t>
      </w:r>
      <w:r w:rsidR="00022F4D">
        <w:t>conceptually,</w:t>
      </w:r>
      <w:r w:rsidR="00204632" w:rsidRPr="00F80BF3">
        <w:rPr>
          <w:vertAlign w:val="superscript"/>
        </w:rPr>
        <w:footnoteReference w:id="70"/>
      </w:r>
      <w:r w:rsidR="00204632" w:rsidRPr="00F80BF3">
        <w:t xml:space="preserve"> </w:t>
      </w:r>
      <w:r w:rsidR="00204632">
        <w:t>and we argue that it is time to shift the focus to accommodate the reality of the “hollowed out” state.</w:t>
      </w:r>
      <w:r w:rsidR="00204632">
        <w:rPr>
          <w:rStyle w:val="FootnoteReference"/>
        </w:rPr>
        <w:footnoteReference w:id="71"/>
      </w:r>
      <w:r w:rsidR="00204632">
        <w:t xml:space="preserve">  </w:t>
      </w:r>
    </w:p>
    <w:p w14:paraId="7C6EAFA7" w14:textId="77777777" w:rsidR="00CE0BC4" w:rsidRDefault="009448FC" w:rsidP="005D235B">
      <w:pPr>
        <w:autoSpaceDE w:val="0"/>
        <w:autoSpaceDN w:val="0"/>
        <w:adjustRightInd w:val="0"/>
        <w:spacing w:after="0" w:line="360" w:lineRule="auto"/>
      </w:pPr>
      <w:r w:rsidRPr="00E95AF0">
        <w:rPr>
          <w:iCs/>
          <w:szCs w:val="24"/>
        </w:rPr>
        <w:t xml:space="preserve"> </w:t>
      </w:r>
    </w:p>
    <w:p w14:paraId="3D559141" w14:textId="5ADE40C8" w:rsidR="009448FC" w:rsidRDefault="009448FC" w:rsidP="005D235B">
      <w:pPr>
        <w:spacing w:line="360" w:lineRule="auto"/>
        <w:rPr>
          <w:rFonts w:eastAsia="Calibri"/>
          <w:szCs w:val="24"/>
        </w:rPr>
      </w:pPr>
      <w:r>
        <w:t xml:space="preserve">Oliver posited common values to support the case for </w:t>
      </w:r>
      <w:r w:rsidR="00C16640">
        <w:t xml:space="preserve">abandoning the distinction between public and private law in favour of </w:t>
      </w:r>
      <w:r>
        <w:t>an “integrated approach”.</w:t>
      </w:r>
      <w:r>
        <w:rPr>
          <w:rStyle w:val="FootnoteReference"/>
        </w:rPr>
        <w:footnoteReference w:id="72"/>
      </w:r>
      <w:r>
        <w:t xml:space="preserve"> </w:t>
      </w:r>
      <w:r w:rsidRPr="00E95AF0">
        <w:rPr>
          <w:rFonts w:eastAsia="Calibri"/>
          <w:szCs w:val="24"/>
        </w:rPr>
        <w:t>Teubner’s influential work on polycontexturality</w:t>
      </w:r>
      <w:r w:rsidRPr="00E95AF0">
        <w:rPr>
          <w:rFonts w:eastAsia="Calibri"/>
          <w:szCs w:val="24"/>
          <w:vertAlign w:val="superscript"/>
        </w:rPr>
        <w:footnoteReference w:id="73"/>
      </w:r>
      <w:r w:rsidRPr="00E95AF0">
        <w:rPr>
          <w:rFonts w:eastAsia="Calibri"/>
          <w:szCs w:val="24"/>
        </w:rPr>
        <w:t xml:space="preserve"> </w:t>
      </w:r>
      <w:r w:rsidR="00C16640">
        <w:rPr>
          <w:rFonts w:eastAsia="Calibri"/>
          <w:szCs w:val="24"/>
        </w:rPr>
        <w:t xml:space="preserve">also </w:t>
      </w:r>
      <w:r w:rsidRPr="00E95AF0">
        <w:rPr>
          <w:rFonts w:eastAsia="Calibri"/>
          <w:szCs w:val="24"/>
        </w:rPr>
        <w:t xml:space="preserve">rejects rigid, binary divides and attempts to capture the multi-dimensional complexity of law in its </w:t>
      </w:r>
      <w:r w:rsidR="00D00F81">
        <w:rPr>
          <w:rFonts w:eastAsia="Calibri"/>
          <w:szCs w:val="24"/>
        </w:rPr>
        <w:t>varied social contexts,</w:t>
      </w:r>
      <w:r w:rsidRPr="00E95AF0">
        <w:rPr>
          <w:rFonts w:eastAsia="Calibri"/>
          <w:szCs w:val="24"/>
          <w:vertAlign w:val="superscript"/>
        </w:rPr>
        <w:footnoteReference w:id="74"/>
      </w:r>
      <w:r w:rsidRPr="00E95AF0">
        <w:rPr>
          <w:rFonts w:eastAsia="Calibri"/>
          <w:szCs w:val="24"/>
        </w:rPr>
        <w:t xml:space="preserve"> </w:t>
      </w:r>
      <w:r w:rsidR="00D00F81">
        <w:rPr>
          <w:rFonts w:eastAsia="Calibri"/>
          <w:szCs w:val="24"/>
        </w:rPr>
        <w:t xml:space="preserve">while </w:t>
      </w:r>
      <w:r>
        <w:rPr>
          <w:rFonts w:eastAsia="Calibri"/>
          <w:szCs w:val="24"/>
        </w:rPr>
        <w:t xml:space="preserve">Shamir </w:t>
      </w:r>
      <w:r w:rsidR="00D00F81">
        <w:rPr>
          <w:rFonts w:eastAsia="Calibri"/>
          <w:szCs w:val="24"/>
        </w:rPr>
        <w:t>has emphasised</w:t>
      </w:r>
      <w:r>
        <w:rPr>
          <w:rFonts w:eastAsia="Calibri"/>
          <w:szCs w:val="24"/>
        </w:rPr>
        <w:t xml:space="preserve"> the dynamic</w:t>
      </w:r>
      <w:r w:rsidR="00C759A4">
        <w:rPr>
          <w:rFonts w:eastAsia="Calibri"/>
          <w:szCs w:val="24"/>
        </w:rPr>
        <w:t xml:space="preserve"> and fluid</w:t>
      </w:r>
      <w:r>
        <w:rPr>
          <w:rFonts w:eastAsia="Calibri"/>
          <w:szCs w:val="24"/>
        </w:rPr>
        <w:t xml:space="preserve"> nature of the position.</w:t>
      </w:r>
      <w:r>
        <w:rPr>
          <w:rStyle w:val="FootnoteReference"/>
          <w:rFonts w:eastAsia="Calibri"/>
          <w:szCs w:val="24"/>
        </w:rPr>
        <w:footnoteReference w:id="75"/>
      </w:r>
      <w:r>
        <w:rPr>
          <w:rFonts w:eastAsia="Calibri"/>
          <w:szCs w:val="24"/>
        </w:rPr>
        <w:t xml:space="preserve"> </w:t>
      </w:r>
      <w:r w:rsidRPr="00E95AF0">
        <w:rPr>
          <w:rFonts w:eastAsia="Calibri"/>
          <w:szCs w:val="24"/>
        </w:rPr>
        <w:t xml:space="preserve"> To accommodate the variety of circumstances in which the law operates, Grear builds on Teubner’s work to posit a spectrum, along which “the public and private emerge to differing degrees in different contexts.”</w:t>
      </w:r>
      <w:r w:rsidRPr="00E95AF0">
        <w:rPr>
          <w:rStyle w:val="FootnoteReference"/>
          <w:rFonts w:eastAsia="Calibri"/>
          <w:szCs w:val="24"/>
        </w:rPr>
        <w:footnoteReference w:id="76"/>
      </w:r>
      <w:r w:rsidRPr="00E95AF0">
        <w:rPr>
          <w:rFonts w:eastAsia="Calibri"/>
          <w:szCs w:val="24"/>
        </w:rPr>
        <w:t xml:space="preserve">  </w:t>
      </w:r>
      <w:r w:rsidR="00CE0BC4">
        <w:rPr>
          <w:rFonts w:eastAsia="Calibri"/>
          <w:szCs w:val="24"/>
        </w:rPr>
        <w:t>As Hedley observes, the incoherence does not make the distinction between public and private meaningless,</w:t>
      </w:r>
      <w:r w:rsidR="00CE0BC4">
        <w:rPr>
          <w:rStyle w:val="FootnoteReference"/>
          <w:rFonts w:eastAsia="Calibri"/>
          <w:szCs w:val="24"/>
        </w:rPr>
        <w:footnoteReference w:id="77"/>
      </w:r>
      <w:r w:rsidR="00CE0BC4">
        <w:rPr>
          <w:rFonts w:eastAsia="Calibri"/>
          <w:szCs w:val="24"/>
        </w:rPr>
        <w:t xml:space="preserve"> and in some cases one will “shout louder” than the other.</w:t>
      </w:r>
      <w:r w:rsidR="00CE0BC4">
        <w:rPr>
          <w:rStyle w:val="FootnoteReference"/>
          <w:rFonts w:eastAsia="Calibri"/>
          <w:szCs w:val="24"/>
        </w:rPr>
        <w:footnoteReference w:id="78"/>
      </w:r>
      <w:r w:rsidR="00CE0BC4">
        <w:rPr>
          <w:rFonts w:eastAsia="Calibri"/>
          <w:szCs w:val="24"/>
        </w:rPr>
        <w:t xml:space="preserve"> </w:t>
      </w:r>
      <w:r w:rsidR="00C759A4" w:rsidRPr="00E95AF0">
        <w:rPr>
          <w:rFonts w:eastAsia="Calibri"/>
          <w:szCs w:val="24"/>
        </w:rPr>
        <w:t xml:space="preserve">This model </w:t>
      </w:r>
      <w:r w:rsidR="00454618">
        <w:rPr>
          <w:rFonts w:eastAsia="Calibri"/>
          <w:szCs w:val="24"/>
        </w:rPr>
        <w:t xml:space="preserve">thus </w:t>
      </w:r>
      <w:r w:rsidR="00C759A4" w:rsidRPr="00E95AF0">
        <w:rPr>
          <w:rFonts w:eastAsia="Calibri"/>
          <w:szCs w:val="24"/>
        </w:rPr>
        <w:t xml:space="preserve">recognises the lack of binary divide </w:t>
      </w:r>
      <w:r w:rsidR="000D0BF1">
        <w:rPr>
          <w:rFonts w:eastAsia="Calibri"/>
          <w:szCs w:val="24"/>
        </w:rPr>
        <w:t xml:space="preserve">but respects the “archetypal conceptual paradigms” of private and public law, to avoid </w:t>
      </w:r>
      <w:r w:rsidR="00C759A4" w:rsidRPr="00E95AF0">
        <w:rPr>
          <w:rFonts w:eastAsia="Calibri"/>
          <w:szCs w:val="24"/>
        </w:rPr>
        <w:t>subsuming private law within a branch of public law.</w:t>
      </w:r>
      <w:r w:rsidR="000D0BF1">
        <w:rPr>
          <w:rStyle w:val="FootnoteReference"/>
          <w:rFonts w:eastAsia="Calibri"/>
          <w:szCs w:val="24"/>
        </w:rPr>
        <w:footnoteReference w:id="79"/>
      </w:r>
      <w:r w:rsidR="00C759A4" w:rsidRPr="00E95AF0">
        <w:rPr>
          <w:rFonts w:eastAsia="Calibri"/>
          <w:szCs w:val="24"/>
        </w:rPr>
        <w:t xml:space="preserve">  </w:t>
      </w:r>
      <w:r w:rsidR="00C16640" w:rsidRPr="00E95AF0">
        <w:rPr>
          <w:rFonts w:eastAsia="Calibri"/>
          <w:szCs w:val="24"/>
        </w:rPr>
        <w:t>Grear juxtaposes contract law – with its archetypal facilitative, obligation-generating effect, and consensual bargaining of self-regarding individuals</w:t>
      </w:r>
      <w:r w:rsidR="00C16640" w:rsidRPr="00E95AF0">
        <w:rPr>
          <w:rFonts w:eastAsia="Calibri"/>
          <w:szCs w:val="24"/>
          <w:vertAlign w:val="superscript"/>
        </w:rPr>
        <w:footnoteReference w:id="80"/>
      </w:r>
      <w:r w:rsidR="00C16640" w:rsidRPr="00E95AF0">
        <w:rPr>
          <w:rFonts w:eastAsia="Calibri"/>
          <w:szCs w:val="24"/>
        </w:rPr>
        <w:t xml:space="preserve"> – with public law’s ‘other-regarding’ focus on the judicial control of governmental power.</w:t>
      </w:r>
      <w:r w:rsidR="00C16640" w:rsidRPr="00E95AF0">
        <w:rPr>
          <w:rFonts w:eastAsia="Calibri"/>
          <w:szCs w:val="24"/>
          <w:vertAlign w:val="superscript"/>
        </w:rPr>
        <w:footnoteReference w:id="81"/>
      </w:r>
      <w:r w:rsidR="00C16640" w:rsidRPr="00E95AF0">
        <w:rPr>
          <w:rFonts w:eastAsia="Calibri"/>
          <w:szCs w:val="24"/>
        </w:rPr>
        <w:t xml:space="preserve"> </w:t>
      </w:r>
      <w:r w:rsidRPr="00E95AF0">
        <w:rPr>
          <w:rFonts w:eastAsia="Calibri"/>
          <w:szCs w:val="24"/>
        </w:rPr>
        <w:t xml:space="preserve">It is </w:t>
      </w:r>
      <w:r w:rsidR="00AB5880">
        <w:rPr>
          <w:rFonts w:eastAsia="Calibri"/>
          <w:szCs w:val="24"/>
        </w:rPr>
        <w:t xml:space="preserve">therefore </w:t>
      </w:r>
      <w:r w:rsidRPr="00E95AF0">
        <w:rPr>
          <w:rFonts w:eastAsia="Calibri"/>
          <w:szCs w:val="24"/>
        </w:rPr>
        <w:t>sufficiently sophisticated to address the concern that imposing public law values on private arrangements disrupts the ways in which private law has sought to balance competing interests.</w:t>
      </w:r>
      <w:r w:rsidRPr="00E95AF0">
        <w:rPr>
          <w:rStyle w:val="FootnoteReference"/>
          <w:rFonts w:eastAsia="Calibri"/>
          <w:szCs w:val="24"/>
        </w:rPr>
        <w:footnoteReference w:id="82"/>
      </w:r>
      <w:r w:rsidR="00C759A4">
        <w:rPr>
          <w:rFonts w:eastAsia="Calibri"/>
          <w:szCs w:val="24"/>
        </w:rPr>
        <w:t xml:space="preserve">  </w:t>
      </w:r>
      <w:r w:rsidR="00EA28EA">
        <w:rPr>
          <w:rFonts w:eastAsia="Calibri"/>
          <w:szCs w:val="24"/>
        </w:rPr>
        <w:t>We explain below why we believe that the</w:t>
      </w:r>
      <w:r w:rsidR="00C759A4">
        <w:rPr>
          <w:rFonts w:eastAsia="Calibri"/>
          <w:szCs w:val="24"/>
        </w:rPr>
        <w:t xml:space="preserve"> proportionality assessment is capable of giving effect to this dynamic, </w:t>
      </w:r>
      <w:r w:rsidR="00A356CA">
        <w:rPr>
          <w:rFonts w:eastAsia="Calibri"/>
          <w:szCs w:val="24"/>
        </w:rPr>
        <w:t>contextual</w:t>
      </w:r>
      <w:r w:rsidR="00C759A4">
        <w:rPr>
          <w:rFonts w:eastAsia="Calibri"/>
          <w:szCs w:val="24"/>
        </w:rPr>
        <w:t xml:space="preserve"> approach.</w:t>
      </w:r>
    </w:p>
    <w:p w14:paraId="1B681605" w14:textId="77777777" w:rsidR="008D63A4" w:rsidRPr="00E95AF0" w:rsidRDefault="008D63A4" w:rsidP="005D235B">
      <w:pPr>
        <w:spacing w:line="360" w:lineRule="auto"/>
        <w:rPr>
          <w:rFonts w:eastAsia="Calibri"/>
          <w:szCs w:val="24"/>
        </w:rPr>
      </w:pPr>
    </w:p>
    <w:p w14:paraId="16B2408F" w14:textId="77777777" w:rsidR="007A42EA" w:rsidRPr="00F93FF0" w:rsidRDefault="00952B30" w:rsidP="005D235B">
      <w:pPr>
        <w:spacing w:line="360" w:lineRule="auto"/>
        <w:rPr>
          <w:b/>
          <w:color w:val="000000"/>
          <w:szCs w:val="24"/>
        </w:rPr>
      </w:pPr>
      <w:r>
        <w:rPr>
          <w:b/>
          <w:color w:val="000000"/>
          <w:szCs w:val="24"/>
        </w:rPr>
        <w:t xml:space="preserve">The Contested Dimensions of </w:t>
      </w:r>
      <w:r w:rsidR="00D718E1" w:rsidRPr="00D718E1">
        <w:rPr>
          <w:b/>
          <w:color w:val="000000"/>
          <w:szCs w:val="24"/>
        </w:rPr>
        <w:t xml:space="preserve">Horizontal Effect </w:t>
      </w:r>
    </w:p>
    <w:p w14:paraId="4F636E89" w14:textId="576C4B17" w:rsidR="008D54B3" w:rsidRDefault="007A42EA" w:rsidP="005D235B">
      <w:pPr>
        <w:autoSpaceDE w:val="0"/>
        <w:autoSpaceDN w:val="0"/>
        <w:adjustRightInd w:val="0"/>
        <w:spacing w:after="0" w:line="360" w:lineRule="auto"/>
        <w:rPr>
          <w:color w:val="000000"/>
          <w:szCs w:val="24"/>
        </w:rPr>
      </w:pPr>
      <w:r w:rsidRPr="00A302DC">
        <w:rPr>
          <w:color w:val="000000"/>
          <w:szCs w:val="24"/>
        </w:rPr>
        <w:t xml:space="preserve">As outlined at the start of this paper, the </w:t>
      </w:r>
      <w:r w:rsidR="008D54B3">
        <w:rPr>
          <w:color w:val="000000"/>
          <w:szCs w:val="24"/>
        </w:rPr>
        <w:t>HRA 1998</w:t>
      </w:r>
      <w:r w:rsidR="00516357">
        <w:rPr>
          <w:color w:val="000000"/>
          <w:szCs w:val="24"/>
        </w:rPr>
        <w:t>’s</w:t>
      </w:r>
      <w:r w:rsidR="008D54B3">
        <w:rPr>
          <w:color w:val="000000"/>
          <w:szCs w:val="24"/>
        </w:rPr>
        <w:t xml:space="preserve"> </w:t>
      </w:r>
      <w:r w:rsidRPr="00A302DC">
        <w:rPr>
          <w:color w:val="000000"/>
          <w:szCs w:val="24"/>
        </w:rPr>
        <w:t xml:space="preserve">potential </w:t>
      </w:r>
      <w:r w:rsidR="008D54B3">
        <w:rPr>
          <w:color w:val="000000"/>
          <w:szCs w:val="24"/>
        </w:rPr>
        <w:t xml:space="preserve">to create </w:t>
      </w:r>
      <w:r w:rsidRPr="00A302DC">
        <w:rPr>
          <w:color w:val="000000"/>
          <w:szCs w:val="24"/>
        </w:rPr>
        <w:t>horizontal effect of Convention rights is a controversial topic which the courts have appeared reluctant to address in a systematic or principled way.</w:t>
      </w:r>
      <w:r w:rsidRPr="00A302DC">
        <w:rPr>
          <w:rStyle w:val="FootnoteReference"/>
          <w:color w:val="000000"/>
          <w:szCs w:val="24"/>
        </w:rPr>
        <w:footnoteReference w:id="83"/>
      </w:r>
      <w:r w:rsidRPr="00A302DC">
        <w:rPr>
          <w:color w:val="000000"/>
          <w:szCs w:val="24"/>
        </w:rPr>
        <w:t xml:space="preserve">  </w:t>
      </w:r>
      <w:r w:rsidR="008D54B3" w:rsidRPr="00A302DC">
        <w:rPr>
          <w:color w:val="000000"/>
          <w:szCs w:val="24"/>
        </w:rPr>
        <w:t>Writing in 2007, Phillipson concluded that the courts’ avoidance of resolving the issue decisively has been “at least semi-deliberate”.</w:t>
      </w:r>
      <w:r w:rsidR="008D54B3" w:rsidRPr="00A302DC">
        <w:rPr>
          <w:rStyle w:val="FootnoteReference"/>
          <w:color w:val="000000"/>
          <w:szCs w:val="24"/>
        </w:rPr>
        <w:footnoteReference w:id="84"/>
      </w:r>
      <w:r w:rsidR="007322D5" w:rsidRPr="007322D5">
        <w:rPr>
          <w:color w:val="000000"/>
          <w:szCs w:val="24"/>
        </w:rPr>
        <w:t xml:space="preserve"> </w:t>
      </w:r>
      <w:r w:rsidR="00CC6B1E">
        <w:rPr>
          <w:color w:val="000000"/>
          <w:szCs w:val="24"/>
        </w:rPr>
        <w:t>This</w:t>
      </w:r>
      <w:r w:rsidR="007322D5">
        <w:rPr>
          <w:color w:val="000000"/>
          <w:szCs w:val="24"/>
        </w:rPr>
        <w:t xml:space="preserve"> view </w:t>
      </w:r>
      <w:r w:rsidR="005F093B">
        <w:rPr>
          <w:color w:val="000000"/>
          <w:szCs w:val="24"/>
        </w:rPr>
        <w:t xml:space="preserve">reflects the observation of </w:t>
      </w:r>
      <w:r w:rsidR="007322D5" w:rsidRPr="00A302DC">
        <w:rPr>
          <w:color w:val="000000"/>
          <w:szCs w:val="24"/>
        </w:rPr>
        <w:t>Mummery LJ that the judiciary prefer a case-by-case development, rather than “the same high level of abstraction on which the debate has been conducted for the most part in the law books and legal periodicals.”</w:t>
      </w:r>
      <w:r w:rsidR="007322D5" w:rsidRPr="00A302DC">
        <w:rPr>
          <w:rStyle w:val="FootnoteReference"/>
          <w:color w:val="000000"/>
          <w:szCs w:val="24"/>
        </w:rPr>
        <w:footnoteReference w:id="85"/>
      </w:r>
    </w:p>
    <w:p w14:paraId="34946DA3" w14:textId="77777777" w:rsidR="008D54B3" w:rsidRDefault="008D54B3" w:rsidP="005D235B">
      <w:pPr>
        <w:autoSpaceDE w:val="0"/>
        <w:autoSpaceDN w:val="0"/>
        <w:adjustRightInd w:val="0"/>
        <w:spacing w:after="0" w:line="360" w:lineRule="auto"/>
        <w:rPr>
          <w:color w:val="000000"/>
          <w:szCs w:val="24"/>
        </w:rPr>
      </w:pPr>
    </w:p>
    <w:p w14:paraId="3D3EE753" w14:textId="0F08D43F" w:rsidR="00516357" w:rsidRPr="001508DC" w:rsidRDefault="008D54B3" w:rsidP="005D235B">
      <w:pPr>
        <w:autoSpaceDE w:val="0"/>
        <w:autoSpaceDN w:val="0"/>
        <w:adjustRightInd w:val="0"/>
        <w:spacing w:after="0" w:line="360" w:lineRule="auto"/>
        <w:rPr>
          <w:rFonts w:eastAsia="Calibri"/>
          <w:color w:val="FF0000"/>
          <w:szCs w:val="24"/>
        </w:rPr>
      </w:pPr>
      <w:r>
        <w:rPr>
          <w:color w:val="000000"/>
          <w:szCs w:val="24"/>
        </w:rPr>
        <w:t>A</w:t>
      </w:r>
      <w:r w:rsidRPr="00A302DC">
        <w:rPr>
          <w:color w:val="000000"/>
          <w:szCs w:val="24"/>
        </w:rPr>
        <w:t xml:space="preserve">s Young observes, the </w:t>
      </w:r>
      <w:r>
        <w:rPr>
          <w:color w:val="000000"/>
          <w:szCs w:val="24"/>
        </w:rPr>
        <w:t>HRA 1998</w:t>
      </w:r>
      <w:r w:rsidRPr="00A302DC">
        <w:rPr>
          <w:color w:val="000000"/>
          <w:szCs w:val="24"/>
        </w:rPr>
        <w:t xml:space="preserve"> does not clarify what type of horizontal effect is envisaged.</w:t>
      </w:r>
      <w:r w:rsidRPr="00A302DC">
        <w:rPr>
          <w:rStyle w:val="FootnoteReference"/>
          <w:color w:val="000000"/>
          <w:szCs w:val="24"/>
        </w:rPr>
        <w:footnoteReference w:id="86"/>
      </w:r>
      <w:r w:rsidRPr="00A302DC">
        <w:rPr>
          <w:color w:val="000000"/>
          <w:szCs w:val="24"/>
        </w:rPr>
        <w:t xml:space="preserve">  </w:t>
      </w:r>
      <w:r w:rsidR="00606153">
        <w:rPr>
          <w:color w:val="000000"/>
          <w:szCs w:val="24"/>
        </w:rPr>
        <w:t>Most debate has</w:t>
      </w:r>
      <w:r w:rsidR="001501D1">
        <w:rPr>
          <w:color w:val="000000"/>
          <w:szCs w:val="24"/>
        </w:rPr>
        <w:t xml:space="preserve"> centred</w:t>
      </w:r>
      <w:r w:rsidR="00606153">
        <w:rPr>
          <w:color w:val="000000"/>
          <w:szCs w:val="24"/>
        </w:rPr>
        <w:t xml:space="preserve"> on the court’s role under section 6 to develop the common law in a manner which complies with human rights norms, most notably in the area of privacy</w:t>
      </w:r>
      <w:r w:rsidR="00056507">
        <w:rPr>
          <w:color w:val="000000"/>
          <w:szCs w:val="24"/>
        </w:rPr>
        <w:t>.</w:t>
      </w:r>
      <w:r w:rsidR="00606153">
        <w:rPr>
          <w:rStyle w:val="FootnoteReference"/>
          <w:color w:val="000000"/>
          <w:szCs w:val="24"/>
        </w:rPr>
        <w:footnoteReference w:id="87"/>
      </w:r>
      <w:r w:rsidR="00606153">
        <w:rPr>
          <w:color w:val="000000"/>
          <w:szCs w:val="24"/>
        </w:rPr>
        <w:t xml:space="preserve"> Our attention is directed at different horizontality questions</w:t>
      </w:r>
      <w:r w:rsidR="006C1007">
        <w:rPr>
          <w:color w:val="000000"/>
          <w:szCs w:val="24"/>
        </w:rPr>
        <w:t xml:space="preserve"> which the courts in </w:t>
      </w:r>
      <w:r w:rsidR="006C1007">
        <w:rPr>
          <w:i/>
          <w:color w:val="000000"/>
          <w:szCs w:val="24"/>
        </w:rPr>
        <w:t xml:space="preserve">McDonald </w:t>
      </w:r>
      <w:r w:rsidR="00D718E1" w:rsidRPr="00D718E1">
        <w:rPr>
          <w:color w:val="000000"/>
          <w:szCs w:val="24"/>
        </w:rPr>
        <w:t>were</w:t>
      </w:r>
      <w:r w:rsidR="006C1007">
        <w:rPr>
          <w:i/>
          <w:color w:val="000000"/>
          <w:szCs w:val="24"/>
        </w:rPr>
        <w:t xml:space="preserve"> </w:t>
      </w:r>
      <w:r w:rsidR="006C1007">
        <w:rPr>
          <w:color w:val="000000"/>
          <w:szCs w:val="24"/>
        </w:rPr>
        <w:t>required to face head on.</w:t>
      </w:r>
      <w:r w:rsidR="00732A98">
        <w:rPr>
          <w:rStyle w:val="FootnoteReference"/>
          <w:color w:val="000000"/>
          <w:szCs w:val="24"/>
        </w:rPr>
        <w:footnoteReference w:id="88"/>
      </w:r>
      <w:r w:rsidR="006C1007">
        <w:rPr>
          <w:color w:val="000000"/>
          <w:szCs w:val="24"/>
        </w:rPr>
        <w:t xml:space="preserve"> Fiona’s defence in the lower courts focussed upon the compatibility of section 21(4) with </w:t>
      </w:r>
      <w:r w:rsidR="00782252">
        <w:rPr>
          <w:color w:val="000000"/>
          <w:szCs w:val="24"/>
        </w:rPr>
        <w:t>a</w:t>
      </w:r>
      <w:r w:rsidR="006C1007">
        <w:rPr>
          <w:color w:val="000000"/>
          <w:szCs w:val="24"/>
        </w:rPr>
        <w:t xml:space="preserve">rticle 8, ie legislative horizontality </w:t>
      </w:r>
      <w:r w:rsidR="006C1007" w:rsidRPr="007E012C">
        <w:rPr>
          <w:color w:val="000000"/>
          <w:szCs w:val="24"/>
        </w:rPr>
        <w:t xml:space="preserve">under the </w:t>
      </w:r>
      <w:r w:rsidR="00782252">
        <w:rPr>
          <w:color w:val="000000"/>
          <w:szCs w:val="24"/>
        </w:rPr>
        <w:t>c</w:t>
      </w:r>
      <w:r w:rsidR="006C1007" w:rsidRPr="007E012C">
        <w:rPr>
          <w:color w:val="000000"/>
          <w:szCs w:val="24"/>
        </w:rPr>
        <w:t>ourt’s interpretative duty</w:t>
      </w:r>
      <w:r w:rsidR="006C1007">
        <w:rPr>
          <w:rFonts w:ascii="Arial" w:hAnsi="Arial" w:cs="Arial"/>
          <w:color w:val="000000"/>
          <w:szCs w:val="24"/>
        </w:rPr>
        <w:t>.</w:t>
      </w:r>
      <w:r w:rsidR="006C1007" w:rsidRPr="007E012C">
        <w:rPr>
          <w:rStyle w:val="FootnoteReference"/>
          <w:color w:val="000000"/>
          <w:szCs w:val="24"/>
        </w:rPr>
        <w:footnoteReference w:id="89"/>
      </w:r>
      <w:r w:rsidR="006C1007">
        <w:rPr>
          <w:color w:val="000000"/>
          <w:szCs w:val="24"/>
        </w:rPr>
        <w:t xml:space="preserve"> In the Supreme Court her defence changed tack and argued that the court, as a public authority </w:t>
      </w:r>
      <w:r w:rsidR="00732A98">
        <w:rPr>
          <w:color w:val="000000"/>
          <w:szCs w:val="24"/>
        </w:rPr>
        <w:t xml:space="preserve">in pursuance of its duty to act compatibly </w:t>
      </w:r>
      <w:r w:rsidR="006C1007">
        <w:rPr>
          <w:color w:val="000000"/>
          <w:szCs w:val="24"/>
        </w:rPr>
        <w:t xml:space="preserve">under  </w:t>
      </w:r>
      <w:r w:rsidR="003C268A">
        <w:rPr>
          <w:color w:val="000000"/>
          <w:szCs w:val="24"/>
        </w:rPr>
        <w:t>section 6</w:t>
      </w:r>
      <w:r w:rsidR="007810B9">
        <w:rPr>
          <w:color w:val="000000"/>
          <w:szCs w:val="24"/>
        </w:rPr>
        <w:t>,</w:t>
      </w:r>
      <w:r w:rsidR="003C268A">
        <w:rPr>
          <w:color w:val="000000"/>
          <w:szCs w:val="24"/>
        </w:rPr>
        <w:t xml:space="preserve"> </w:t>
      </w:r>
      <w:r w:rsidR="00732A98">
        <w:rPr>
          <w:color w:val="000000"/>
          <w:szCs w:val="24"/>
        </w:rPr>
        <w:t xml:space="preserve">was required  </w:t>
      </w:r>
      <w:r w:rsidR="00D44DF1">
        <w:rPr>
          <w:color w:val="000000"/>
          <w:szCs w:val="24"/>
        </w:rPr>
        <w:t xml:space="preserve">(following </w:t>
      </w:r>
      <w:r w:rsidR="00D44DF1">
        <w:rPr>
          <w:i/>
          <w:color w:val="000000"/>
          <w:szCs w:val="24"/>
        </w:rPr>
        <w:t xml:space="preserve">McCann v UK </w:t>
      </w:r>
      <w:r w:rsidR="00D44DF1">
        <w:rPr>
          <w:color w:val="000000"/>
          <w:szCs w:val="24"/>
        </w:rPr>
        <w:t>et al</w:t>
      </w:r>
      <w:r w:rsidR="00B36014">
        <w:rPr>
          <w:rStyle w:val="FootnoteReference"/>
          <w:color w:val="000000"/>
          <w:szCs w:val="24"/>
        </w:rPr>
        <w:footnoteReference w:id="90"/>
      </w:r>
      <w:r w:rsidR="00D44DF1">
        <w:rPr>
          <w:color w:val="000000"/>
          <w:szCs w:val="24"/>
        </w:rPr>
        <w:t xml:space="preserve">) </w:t>
      </w:r>
      <w:r w:rsidR="00732A98">
        <w:rPr>
          <w:color w:val="000000"/>
          <w:szCs w:val="24"/>
        </w:rPr>
        <w:t>to consider the proportionality of any order for possession of a home</w:t>
      </w:r>
      <w:r w:rsidR="00516357">
        <w:rPr>
          <w:color w:val="000000"/>
          <w:szCs w:val="24"/>
        </w:rPr>
        <w:t>,</w:t>
      </w:r>
      <w:r w:rsidR="00720EF8">
        <w:rPr>
          <w:color w:val="000000"/>
          <w:szCs w:val="24"/>
        </w:rPr>
        <w:t xml:space="preserve"> </w:t>
      </w:r>
      <w:r w:rsidR="006C1007">
        <w:rPr>
          <w:color w:val="000000"/>
          <w:szCs w:val="24"/>
        </w:rPr>
        <w:t xml:space="preserve">ie </w:t>
      </w:r>
      <w:r w:rsidR="00C10FCE">
        <w:rPr>
          <w:color w:val="000000"/>
          <w:szCs w:val="24"/>
        </w:rPr>
        <w:t xml:space="preserve">procedural </w:t>
      </w:r>
      <w:r w:rsidR="006C1007">
        <w:rPr>
          <w:color w:val="000000"/>
          <w:szCs w:val="24"/>
        </w:rPr>
        <w:t xml:space="preserve">horizontality. </w:t>
      </w:r>
      <w:r w:rsidR="00706B28">
        <w:rPr>
          <w:color w:val="000000"/>
          <w:szCs w:val="24"/>
        </w:rPr>
        <w:t>T</w:t>
      </w:r>
      <w:r w:rsidR="0086441A">
        <w:rPr>
          <w:color w:val="000000"/>
          <w:szCs w:val="24"/>
        </w:rPr>
        <w:t>his latter approach formed the subject matter of Fiona’s appeal to the ECtHR</w:t>
      </w:r>
      <w:r w:rsidR="00706B28">
        <w:rPr>
          <w:color w:val="000000"/>
          <w:szCs w:val="24"/>
        </w:rPr>
        <w:t>.</w:t>
      </w:r>
      <w:r w:rsidR="0086441A">
        <w:rPr>
          <w:rStyle w:val="FootnoteReference"/>
          <w:color w:val="000000"/>
          <w:szCs w:val="24"/>
        </w:rPr>
        <w:footnoteReference w:id="91"/>
      </w:r>
      <w:r w:rsidR="0086441A">
        <w:rPr>
          <w:color w:val="000000"/>
          <w:szCs w:val="24"/>
        </w:rPr>
        <w:t xml:space="preserve"> </w:t>
      </w:r>
    </w:p>
    <w:p w14:paraId="313D1E37" w14:textId="77777777" w:rsidR="00952B30" w:rsidRDefault="00952B30" w:rsidP="005D235B">
      <w:pPr>
        <w:autoSpaceDE w:val="0"/>
        <w:autoSpaceDN w:val="0"/>
        <w:adjustRightInd w:val="0"/>
        <w:spacing w:after="0" w:line="360" w:lineRule="auto"/>
        <w:rPr>
          <w:color w:val="000000"/>
          <w:szCs w:val="24"/>
        </w:rPr>
      </w:pPr>
    </w:p>
    <w:p w14:paraId="15B7456E" w14:textId="77777777" w:rsidR="0086441A" w:rsidRDefault="00C10FCE" w:rsidP="005D235B">
      <w:pPr>
        <w:spacing w:line="360" w:lineRule="auto"/>
        <w:rPr>
          <w:i/>
          <w:color w:val="000000"/>
          <w:szCs w:val="24"/>
        </w:rPr>
      </w:pPr>
      <w:r w:rsidRPr="00AB53C1">
        <w:rPr>
          <w:i/>
          <w:color w:val="000000"/>
          <w:szCs w:val="24"/>
        </w:rPr>
        <w:t xml:space="preserve">Legislative horizontality </w:t>
      </w:r>
    </w:p>
    <w:p w14:paraId="6BF865FC" w14:textId="10D6A146" w:rsidR="00877BFE" w:rsidRDefault="00C10FCE" w:rsidP="005D235B">
      <w:pPr>
        <w:spacing w:line="360" w:lineRule="auto"/>
        <w:rPr>
          <w:color w:val="000000"/>
          <w:szCs w:val="24"/>
        </w:rPr>
      </w:pPr>
      <w:r>
        <w:rPr>
          <w:color w:val="000000"/>
          <w:szCs w:val="24"/>
        </w:rPr>
        <w:t xml:space="preserve">It </w:t>
      </w:r>
      <w:r w:rsidR="000A3B4F">
        <w:rPr>
          <w:color w:val="000000"/>
          <w:szCs w:val="24"/>
        </w:rPr>
        <w:t>has</w:t>
      </w:r>
      <w:r>
        <w:rPr>
          <w:color w:val="000000"/>
          <w:szCs w:val="24"/>
        </w:rPr>
        <w:t xml:space="preserve"> not </w:t>
      </w:r>
      <w:r w:rsidR="000A3B4F">
        <w:rPr>
          <w:color w:val="000000"/>
          <w:szCs w:val="24"/>
        </w:rPr>
        <w:t xml:space="preserve">been seriously </w:t>
      </w:r>
      <w:r>
        <w:rPr>
          <w:color w:val="000000"/>
          <w:szCs w:val="24"/>
        </w:rPr>
        <w:t xml:space="preserve">questioned that the court’s interpretative duty under section 3 </w:t>
      </w:r>
      <w:r w:rsidR="00706B28">
        <w:rPr>
          <w:color w:val="000000"/>
          <w:szCs w:val="24"/>
        </w:rPr>
        <w:t xml:space="preserve">HRA 1998 </w:t>
      </w:r>
      <w:r>
        <w:rPr>
          <w:color w:val="000000"/>
          <w:szCs w:val="24"/>
        </w:rPr>
        <w:t>extends to legislation which governs the relations of private parties.</w:t>
      </w:r>
      <w:r w:rsidR="007A42EA" w:rsidRPr="00A302DC">
        <w:rPr>
          <w:rStyle w:val="FootnoteReference"/>
          <w:color w:val="000000"/>
          <w:szCs w:val="24"/>
        </w:rPr>
        <w:footnoteReference w:id="92"/>
      </w:r>
      <w:r w:rsidR="007A42EA" w:rsidRPr="00A302DC">
        <w:rPr>
          <w:color w:val="000000"/>
          <w:szCs w:val="24"/>
        </w:rPr>
        <w:t xml:space="preserve"> </w:t>
      </w:r>
      <w:r w:rsidR="00706B28">
        <w:rPr>
          <w:color w:val="000000"/>
          <w:szCs w:val="24"/>
        </w:rPr>
        <w:t>A</w:t>
      </w:r>
      <w:r w:rsidR="006F7E52">
        <w:rPr>
          <w:color w:val="000000"/>
          <w:szCs w:val="24"/>
        </w:rPr>
        <w:t>lthough the ECtHR w</w:t>
      </w:r>
      <w:r w:rsidR="00951963">
        <w:rPr>
          <w:color w:val="000000"/>
          <w:szCs w:val="24"/>
        </w:rPr>
        <w:t>as</w:t>
      </w:r>
      <w:r w:rsidR="006F7E52">
        <w:rPr>
          <w:color w:val="000000"/>
          <w:szCs w:val="24"/>
        </w:rPr>
        <w:t xml:space="preserve"> not directly asked to consider the compatibility of the relevant legislation, their judgment </w:t>
      </w:r>
      <w:r w:rsidR="00B92644">
        <w:rPr>
          <w:color w:val="000000"/>
          <w:szCs w:val="24"/>
        </w:rPr>
        <w:t xml:space="preserve"> raises some concerns</w:t>
      </w:r>
      <w:r w:rsidR="006F7E52">
        <w:rPr>
          <w:color w:val="000000"/>
          <w:szCs w:val="24"/>
        </w:rPr>
        <w:t xml:space="preserve">.   </w:t>
      </w:r>
      <w:r w:rsidR="00877BFE">
        <w:rPr>
          <w:color w:val="000000"/>
          <w:szCs w:val="24"/>
        </w:rPr>
        <w:t xml:space="preserve">In rejecting </w:t>
      </w:r>
      <w:r w:rsidR="00706B28">
        <w:rPr>
          <w:color w:val="000000"/>
          <w:szCs w:val="24"/>
        </w:rPr>
        <w:t xml:space="preserve">Fiona’s appeal </w:t>
      </w:r>
      <w:r w:rsidR="00877BFE">
        <w:rPr>
          <w:color w:val="000000"/>
          <w:szCs w:val="24"/>
        </w:rPr>
        <w:t>the ECtHR stated:</w:t>
      </w:r>
    </w:p>
    <w:p w14:paraId="24B44B1D" w14:textId="14F5A9A3" w:rsidR="006F7E52" w:rsidRDefault="00B92644" w:rsidP="00AB53C1">
      <w:pPr>
        <w:spacing w:line="360" w:lineRule="auto"/>
        <w:ind w:left="720"/>
        <w:rPr>
          <w:color w:val="000000"/>
          <w:szCs w:val="24"/>
        </w:rPr>
      </w:pPr>
      <w:r>
        <w:rPr>
          <w:color w:val="000000"/>
          <w:szCs w:val="24"/>
        </w:rPr>
        <w:t>…</w:t>
      </w:r>
      <w:r w:rsidR="00877BFE">
        <w:rPr>
          <w:color w:val="000000"/>
          <w:szCs w:val="24"/>
        </w:rPr>
        <w:t xml:space="preserve"> the balance between the interests of the private individual or enterprise and the residential occupier could be struck by legislation which had the purpose of protecting Convention rights of the individuals concerned.</w:t>
      </w:r>
      <w:r w:rsidR="00877BFE">
        <w:rPr>
          <w:rStyle w:val="FootnoteReference"/>
          <w:color w:val="000000"/>
          <w:szCs w:val="24"/>
        </w:rPr>
        <w:footnoteReference w:id="93"/>
      </w:r>
      <w:r w:rsidR="00877BFE">
        <w:rPr>
          <w:color w:val="000000"/>
          <w:szCs w:val="24"/>
        </w:rPr>
        <w:t xml:space="preserve">  </w:t>
      </w:r>
    </w:p>
    <w:p w14:paraId="6C7A854F" w14:textId="7CD307B3" w:rsidR="00877BFE" w:rsidRDefault="00EE6723" w:rsidP="005D235B">
      <w:pPr>
        <w:spacing w:line="360" w:lineRule="auto"/>
        <w:rPr>
          <w:color w:val="000000"/>
          <w:szCs w:val="24"/>
        </w:rPr>
      </w:pPr>
      <w:r>
        <w:rPr>
          <w:color w:val="000000"/>
          <w:szCs w:val="24"/>
        </w:rPr>
        <w:t xml:space="preserve">Taken at face value </w:t>
      </w:r>
      <w:r w:rsidR="00CF7508">
        <w:rPr>
          <w:color w:val="000000"/>
          <w:szCs w:val="24"/>
        </w:rPr>
        <w:t xml:space="preserve"> this statement implies</w:t>
      </w:r>
      <w:r>
        <w:rPr>
          <w:color w:val="000000"/>
          <w:szCs w:val="24"/>
        </w:rPr>
        <w:t xml:space="preserve"> that </w:t>
      </w:r>
      <w:r w:rsidR="00706B28">
        <w:rPr>
          <w:color w:val="000000"/>
          <w:szCs w:val="24"/>
        </w:rPr>
        <w:t xml:space="preserve">it is for </w:t>
      </w:r>
      <w:r>
        <w:rPr>
          <w:color w:val="000000"/>
          <w:szCs w:val="24"/>
        </w:rPr>
        <w:t>a State to determine how the relations between private individuals are to be balanced</w:t>
      </w:r>
      <w:r w:rsidR="00B92644">
        <w:rPr>
          <w:color w:val="000000"/>
          <w:szCs w:val="24"/>
        </w:rPr>
        <w:t>,</w:t>
      </w:r>
      <w:r>
        <w:rPr>
          <w:color w:val="000000"/>
          <w:szCs w:val="24"/>
        </w:rPr>
        <w:t xml:space="preserve"> even where those relations </w:t>
      </w:r>
      <w:r w:rsidR="00AA38FF">
        <w:rPr>
          <w:color w:val="000000"/>
          <w:szCs w:val="24"/>
        </w:rPr>
        <w:t xml:space="preserve">directly and seriously </w:t>
      </w:r>
      <w:r w:rsidR="00A96E3A">
        <w:rPr>
          <w:color w:val="000000"/>
          <w:szCs w:val="24"/>
        </w:rPr>
        <w:t>infringe</w:t>
      </w:r>
      <w:r>
        <w:rPr>
          <w:color w:val="000000"/>
          <w:szCs w:val="24"/>
        </w:rPr>
        <w:t xml:space="preserve"> Convention rights. </w:t>
      </w:r>
      <w:r w:rsidR="00677151">
        <w:rPr>
          <w:color w:val="000000"/>
          <w:szCs w:val="24"/>
        </w:rPr>
        <w:t xml:space="preserve"> </w:t>
      </w:r>
      <w:r w:rsidR="00943D91">
        <w:rPr>
          <w:color w:val="000000"/>
          <w:szCs w:val="24"/>
        </w:rPr>
        <w:t>Surely</w:t>
      </w:r>
      <w:r w:rsidR="007C7127">
        <w:rPr>
          <w:color w:val="000000"/>
          <w:szCs w:val="24"/>
        </w:rPr>
        <w:t>, as a matter of principle, i</w:t>
      </w:r>
      <w:r w:rsidR="002F1590">
        <w:rPr>
          <w:color w:val="000000"/>
          <w:szCs w:val="24"/>
        </w:rPr>
        <w:t xml:space="preserve">t </w:t>
      </w:r>
      <w:r w:rsidR="00D84DEA">
        <w:rPr>
          <w:color w:val="000000"/>
          <w:szCs w:val="24"/>
        </w:rPr>
        <w:t xml:space="preserve">cannot be right that </w:t>
      </w:r>
      <w:r w:rsidR="002F1590">
        <w:rPr>
          <w:color w:val="000000"/>
          <w:szCs w:val="24"/>
        </w:rPr>
        <w:t xml:space="preserve">a State’s assessment of the proper balance between the competing Convention rights of private individuals </w:t>
      </w:r>
      <w:r w:rsidR="00D84DEA">
        <w:rPr>
          <w:color w:val="000000"/>
          <w:szCs w:val="24"/>
        </w:rPr>
        <w:t>i</w:t>
      </w:r>
      <w:r w:rsidR="002F1590">
        <w:rPr>
          <w:color w:val="000000"/>
          <w:szCs w:val="24"/>
        </w:rPr>
        <w:t>s beyond scrutiny</w:t>
      </w:r>
      <w:r w:rsidR="00CF7508">
        <w:rPr>
          <w:color w:val="000000"/>
          <w:szCs w:val="24"/>
        </w:rPr>
        <w:t xml:space="preserve">, while the margin of appreciation concerning possession proceedings by a public landlord </w:t>
      </w:r>
      <w:r w:rsidR="002F1590">
        <w:rPr>
          <w:color w:val="000000"/>
          <w:szCs w:val="24"/>
        </w:rPr>
        <w:t xml:space="preserve">has been described as narrow and </w:t>
      </w:r>
      <w:r w:rsidR="00D84DEA">
        <w:rPr>
          <w:color w:val="000000"/>
          <w:szCs w:val="24"/>
        </w:rPr>
        <w:t>dependent upon robust procedural safeguards.</w:t>
      </w:r>
      <w:r w:rsidR="00706B28">
        <w:rPr>
          <w:rStyle w:val="FootnoteReference"/>
          <w:color w:val="000000"/>
          <w:szCs w:val="24"/>
        </w:rPr>
        <w:footnoteReference w:id="94"/>
      </w:r>
      <w:r w:rsidR="00D84DEA">
        <w:rPr>
          <w:color w:val="000000"/>
          <w:szCs w:val="24"/>
        </w:rPr>
        <w:t xml:space="preserve"> </w:t>
      </w:r>
      <w:r w:rsidR="002F1590">
        <w:rPr>
          <w:color w:val="000000"/>
          <w:szCs w:val="24"/>
        </w:rPr>
        <w:t xml:space="preserve">  </w:t>
      </w:r>
      <w:r>
        <w:rPr>
          <w:color w:val="000000"/>
          <w:szCs w:val="24"/>
        </w:rPr>
        <w:t xml:space="preserve"> </w:t>
      </w:r>
      <w:r w:rsidR="00681DFD">
        <w:rPr>
          <w:color w:val="000000"/>
          <w:szCs w:val="24"/>
        </w:rPr>
        <w:t xml:space="preserve"> </w:t>
      </w:r>
    </w:p>
    <w:p w14:paraId="4A648940" w14:textId="77777777" w:rsidR="00B61721" w:rsidRDefault="00B61721" w:rsidP="005D235B">
      <w:pPr>
        <w:spacing w:line="360" w:lineRule="auto"/>
        <w:rPr>
          <w:color w:val="000000"/>
          <w:szCs w:val="24"/>
        </w:rPr>
      </w:pPr>
    </w:p>
    <w:p w14:paraId="5B25ABF0" w14:textId="5AD59E2E" w:rsidR="00877BFE" w:rsidRPr="00AB53C1" w:rsidRDefault="00470FED" w:rsidP="005D235B">
      <w:pPr>
        <w:spacing w:line="360" w:lineRule="auto"/>
        <w:rPr>
          <w:i/>
          <w:color w:val="000000"/>
          <w:szCs w:val="24"/>
        </w:rPr>
      </w:pPr>
      <w:r>
        <w:rPr>
          <w:i/>
          <w:color w:val="000000"/>
          <w:szCs w:val="24"/>
        </w:rPr>
        <w:t xml:space="preserve">Procedural horizontality </w:t>
      </w:r>
    </w:p>
    <w:p w14:paraId="4D7398BB" w14:textId="66F7838F" w:rsidR="003E4F8D" w:rsidRDefault="008E51E7" w:rsidP="000920ED">
      <w:pPr>
        <w:autoSpaceDE w:val="0"/>
        <w:autoSpaceDN w:val="0"/>
        <w:adjustRightInd w:val="0"/>
        <w:spacing w:after="0" w:line="360" w:lineRule="auto"/>
        <w:rPr>
          <w:color w:val="000000"/>
          <w:szCs w:val="24"/>
        </w:rPr>
      </w:pPr>
      <w:r>
        <w:rPr>
          <w:color w:val="000000"/>
          <w:szCs w:val="24"/>
        </w:rPr>
        <w:t xml:space="preserve">Procedural horizontality focusses upon the court </w:t>
      </w:r>
      <w:r w:rsidR="00B43013">
        <w:rPr>
          <w:color w:val="000000"/>
          <w:szCs w:val="24"/>
        </w:rPr>
        <w:t xml:space="preserve"> and its</w:t>
      </w:r>
      <w:r>
        <w:rPr>
          <w:color w:val="000000"/>
          <w:szCs w:val="24"/>
        </w:rPr>
        <w:t xml:space="preserve"> obligation as a public authority to act compatibl</w:t>
      </w:r>
      <w:r w:rsidR="00944977">
        <w:rPr>
          <w:color w:val="000000"/>
          <w:szCs w:val="24"/>
        </w:rPr>
        <w:t>y</w:t>
      </w:r>
      <w:r w:rsidR="00A96E3A">
        <w:rPr>
          <w:color w:val="000000"/>
          <w:szCs w:val="24"/>
        </w:rPr>
        <w:t xml:space="preserve"> – whether domestically under section 6 HRA </w:t>
      </w:r>
      <w:r w:rsidR="007D0744">
        <w:rPr>
          <w:color w:val="000000"/>
          <w:szCs w:val="24"/>
        </w:rPr>
        <w:t xml:space="preserve">1998 </w:t>
      </w:r>
      <w:r w:rsidR="00A96E3A">
        <w:rPr>
          <w:color w:val="000000"/>
          <w:szCs w:val="24"/>
        </w:rPr>
        <w:t>or as an organ of the State in Convention juri</w:t>
      </w:r>
      <w:r w:rsidR="00252BEB">
        <w:rPr>
          <w:color w:val="000000"/>
          <w:szCs w:val="24"/>
        </w:rPr>
        <w:t>s</w:t>
      </w:r>
      <w:r w:rsidR="00A96E3A">
        <w:rPr>
          <w:color w:val="000000"/>
          <w:szCs w:val="24"/>
        </w:rPr>
        <w:t>prudence</w:t>
      </w:r>
      <w:r>
        <w:rPr>
          <w:color w:val="000000"/>
          <w:szCs w:val="24"/>
        </w:rPr>
        <w:t xml:space="preserve">. </w:t>
      </w:r>
      <w:r w:rsidR="000613CE">
        <w:rPr>
          <w:color w:val="000000"/>
          <w:szCs w:val="24"/>
        </w:rPr>
        <w:t xml:space="preserve">Procedural safeguards </w:t>
      </w:r>
      <w:r w:rsidR="002618F5">
        <w:rPr>
          <w:color w:val="000000"/>
          <w:szCs w:val="24"/>
        </w:rPr>
        <w:t xml:space="preserve">constitute a key feature of </w:t>
      </w:r>
      <w:r w:rsidR="007C2E95">
        <w:rPr>
          <w:color w:val="000000"/>
          <w:szCs w:val="24"/>
        </w:rPr>
        <w:t>hum</w:t>
      </w:r>
      <w:r w:rsidR="000E153E">
        <w:rPr>
          <w:color w:val="000000"/>
          <w:szCs w:val="24"/>
        </w:rPr>
        <w:t xml:space="preserve">an rights </w:t>
      </w:r>
      <w:r w:rsidR="002618F5">
        <w:rPr>
          <w:color w:val="000000"/>
          <w:szCs w:val="24"/>
        </w:rPr>
        <w:t>compatibility</w:t>
      </w:r>
      <w:r w:rsidR="003B16A8">
        <w:rPr>
          <w:color w:val="000000"/>
          <w:szCs w:val="24"/>
        </w:rPr>
        <w:t>.</w:t>
      </w:r>
      <w:r w:rsidR="00B34B45">
        <w:rPr>
          <w:color w:val="000000"/>
          <w:szCs w:val="24"/>
        </w:rPr>
        <w:t xml:space="preserve"> </w:t>
      </w:r>
      <w:r w:rsidR="002437EA">
        <w:rPr>
          <w:color w:val="000000"/>
          <w:szCs w:val="24"/>
        </w:rPr>
        <w:t xml:space="preserve">A human rights challenge is victim focussed: it is the proportionate </w:t>
      </w:r>
      <w:r w:rsidR="007C2E95">
        <w:rPr>
          <w:color w:val="000000"/>
          <w:szCs w:val="24"/>
        </w:rPr>
        <w:t>impact</w:t>
      </w:r>
      <w:r w:rsidR="00400919">
        <w:rPr>
          <w:color w:val="000000"/>
          <w:szCs w:val="24"/>
        </w:rPr>
        <w:t xml:space="preserve"> of an interference </w:t>
      </w:r>
      <w:r w:rsidR="00CB31CE">
        <w:rPr>
          <w:color w:val="000000"/>
          <w:szCs w:val="24"/>
        </w:rPr>
        <w:t>with</w:t>
      </w:r>
      <w:r w:rsidR="00400919">
        <w:rPr>
          <w:color w:val="000000"/>
          <w:szCs w:val="24"/>
        </w:rPr>
        <w:t xml:space="preserve"> a qualified human right upon a </w:t>
      </w:r>
      <w:r w:rsidR="003373F2">
        <w:rPr>
          <w:color w:val="000000"/>
          <w:szCs w:val="24"/>
        </w:rPr>
        <w:t>particular victim that is central</w:t>
      </w:r>
      <w:r w:rsidR="00630C76">
        <w:rPr>
          <w:color w:val="000000"/>
          <w:szCs w:val="24"/>
        </w:rPr>
        <w:t xml:space="preserve">. </w:t>
      </w:r>
      <w:r w:rsidR="003373F2">
        <w:rPr>
          <w:color w:val="000000"/>
          <w:szCs w:val="24"/>
        </w:rPr>
        <w:t xml:space="preserve"> </w:t>
      </w:r>
      <w:r w:rsidR="00A3029E">
        <w:rPr>
          <w:color w:val="000000"/>
          <w:szCs w:val="24"/>
        </w:rPr>
        <w:t>In the context of possession proceedings by a public landlord the seriousness of the infringement coupled with the inherently personal nature of a person’s home demands that “the person concerned must be able to challenge [the eviction] on the ground that it is disproportionate in view of his or her personal circumstances.” It is simply not enough to justify the eviction “under a rule formulated in general and absolute terms.”</w:t>
      </w:r>
      <w:r w:rsidR="00A3029E">
        <w:rPr>
          <w:rStyle w:val="FootnoteReference"/>
          <w:color w:val="000000"/>
          <w:szCs w:val="24"/>
        </w:rPr>
        <w:footnoteReference w:id="95"/>
      </w:r>
    </w:p>
    <w:p w14:paraId="1A17AD18" w14:textId="77777777" w:rsidR="003E4F8D" w:rsidRDefault="003E4F8D" w:rsidP="000920ED">
      <w:pPr>
        <w:autoSpaceDE w:val="0"/>
        <w:autoSpaceDN w:val="0"/>
        <w:adjustRightInd w:val="0"/>
        <w:spacing w:after="0" w:line="360" w:lineRule="auto"/>
        <w:rPr>
          <w:color w:val="000000"/>
          <w:szCs w:val="24"/>
        </w:rPr>
      </w:pPr>
    </w:p>
    <w:p w14:paraId="47016911" w14:textId="4045E7DC" w:rsidR="006A66E4" w:rsidRDefault="007B038C" w:rsidP="000920ED">
      <w:pPr>
        <w:autoSpaceDE w:val="0"/>
        <w:autoSpaceDN w:val="0"/>
        <w:adjustRightInd w:val="0"/>
        <w:spacing w:after="0" w:line="360" w:lineRule="auto"/>
        <w:rPr>
          <w:color w:val="000000"/>
          <w:szCs w:val="24"/>
        </w:rPr>
      </w:pPr>
      <w:r>
        <w:rPr>
          <w:color w:val="000000"/>
          <w:szCs w:val="24"/>
        </w:rPr>
        <w:t>As we have explained, an AST landlord is required to obtain a court order to regain possession of their tenant’s home and it is the court’s act in ordering possession which is the focus.</w:t>
      </w:r>
      <w:r>
        <w:rPr>
          <w:rStyle w:val="FootnoteReference"/>
          <w:color w:val="000000"/>
          <w:szCs w:val="24"/>
        </w:rPr>
        <w:footnoteReference w:id="96"/>
      </w:r>
      <w:r>
        <w:rPr>
          <w:color w:val="000000"/>
          <w:szCs w:val="24"/>
        </w:rPr>
        <w:t xml:space="preserve">  </w:t>
      </w:r>
      <w:r w:rsidR="006E1B0F">
        <w:rPr>
          <w:color w:val="000000"/>
          <w:szCs w:val="24"/>
        </w:rPr>
        <w:t xml:space="preserve">The key question in the </w:t>
      </w:r>
      <w:r w:rsidR="006E1B0F">
        <w:rPr>
          <w:i/>
          <w:color w:val="000000"/>
          <w:szCs w:val="24"/>
        </w:rPr>
        <w:t xml:space="preserve">McDonald </w:t>
      </w:r>
      <w:r w:rsidR="006E1B0F" w:rsidRPr="00DF12B9">
        <w:rPr>
          <w:color w:val="000000"/>
          <w:szCs w:val="24"/>
        </w:rPr>
        <w:t>litigation</w:t>
      </w:r>
      <w:r w:rsidR="006E1B0F" w:rsidRPr="008E51E7">
        <w:rPr>
          <w:color w:val="000000"/>
          <w:szCs w:val="24"/>
        </w:rPr>
        <w:t xml:space="preserve"> </w:t>
      </w:r>
      <w:r w:rsidR="006E1B0F">
        <w:rPr>
          <w:color w:val="000000"/>
          <w:szCs w:val="24"/>
        </w:rPr>
        <w:t xml:space="preserve">was </w:t>
      </w:r>
      <w:r w:rsidR="003B16A8">
        <w:rPr>
          <w:color w:val="000000"/>
          <w:szCs w:val="24"/>
        </w:rPr>
        <w:t>whether similar procedural safeguards</w:t>
      </w:r>
      <w:r>
        <w:rPr>
          <w:color w:val="000000"/>
          <w:szCs w:val="24"/>
        </w:rPr>
        <w:t>, in particular a consideration of proportionality,</w:t>
      </w:r>
      <w:r w:rsidR="003B16A8">
        <w:rPr>
          <w:color w:val="000000"/>
          <w:szCs w:val="24"/>
        </w:rPr>
        <w:t xml:space="preserve"> should </w:t>
      </w:r>
      <w:r w:rsidR="00420029">
        <w:rPr>
          <w:color w:val="000000"/>
          <w:szCs w:val="24"/>
        </w:rPr>
        <w:t>apply</w:t>
      </w:r>
      <w:r w:rsidR="00AC2117">
        <w:rPr>
          <w:color w:val="000000"/>
          <w:szCs w:val="24"/>
        </w:rPr>
        <w:t xml:space="preserve"> </w:t>
      </w:r>
      <w:r w:rsidR="006E1B0F">
        <w:rPr>
          <w:color w:val="000000"/>
          <w:szCs w:val="24"/>
        </w:rPr>
        <w:t>when a home is repossessed by a private party</w:t>
      </w:r>
      <w:r w:rsidR="003B16A8">
        <w:rPr>
          <w:color w:val="000000"/>
          <w:szCs w:val="24"/>
        </w:rPr>
        <w:t xml:space="preserve"> </w:t>
      </w:r>
      <w:r>
        <w:rPr>
          <w:color w:val="000000"/>
          <w:szCs w:val="24"/>
        </w:rPr>
        <w:t xml:space="preserve">to </w:t>
      </w:r>
      <w:r w:rsidR="003B16A8">
        <w:rPr>
          <w:color w:val="000000"/>
          <w:szCs w:val="24"/>
        </w:rPr>
        <w:t>recognise procedural horizontality</w:t>
      </w:r>
      <w:r w:rsidR="000920ED">
        <w:rPr>
          <w:color w:val="000000"/>
          <w:szCs w:val="24"/>
        </w:rPr>
        <w:t xml:space="preserve">. </w:t>
      </w:r>
    </w:p>
    <w:p w14:paraId="59981391" w14:textId="566C0CC6" w:rsidR="006A66E4" w:rsidRDefault="006A66E4" w:rsidP="000920ED">
      <w:pPr>
        <w:autoSpaceDE w:val="0"/>
        <w:autoSpaceDN w:val="0"/>
        <w:adjustRightInd w:val="0"/>
        <w:spacing w:after="0" w:line="360" w:lineRule="auto"/>
        <w:rPr>
          <w:color w:val="000000"/>
          <w:szCs w:val="24"/>
        </w:rPr>
      </w:pPr>
    </w:p>
    <w:p w14:paraId="0D97A3E6" w14:textId="7BBA605F" w:rsidR="003C5988" w:rsidRDefault="003C5988" w:rsidP="003C5988">
      <w:pPr>
        <w:autoSpaceDE w:val="0"/>
        <w:autoSpaceDN w:val="0"/>
        <w:adjustRightInd w:val="0"/>
        <w:spacing w:after="0" w:line="360" w:lineRule="auto"/>
        <w:rPr>
          <w:color w:val="000000"/>
          <w:szCs w:val="24"/>
        </w:rPr>
      </w:pPr>
      <w:r>
        <w:rPr>
          <w:color w:val="000000"/>
          <w:szCs w:val="24"/>
        </w:rPr>
        <w:t>The possibility of a public</w:t>
      </w:r>
      <w:r w:rsidR="00AC2117">
        <w:rPr>
          <w:color w:val="000000"/>
          <w:szCs w:val="24"/>
        </w:rPr>
        <w:t>-</w:t>
      </w:r>
      <w:r>
        <w:rPr>
          <w:color w:val="000000"/>
          <w:szCs w:val="24"/>
        </w:rPr>
        <w:t xml:space="preserve">private divide in the approach to procedural </w:t>
      </w:r>
      <w:r w:rsidR="00A3029E">
        <w:rPr>
          <w:color w:val="000000"/>
          <w:szCs w:val="24"/>
        </w:rPr>
        <w:t xml:space="preserve">safeguards </w:t>
      </w:r>
      <w:r>
        <w:rPr>
          <w:color w:val="000000"/>
          <w:szCs w:val="24"/>
        </w:rPr>
        <w:t>ha</w:t>
      </w:r>
      <w:r w:rsidR="00AC2117">
        <w:rPr>
          <w:color w:val="000000"/>
          <w:szCs w:val="24"/>
        </w:rPr>
        <w:t>s</w:t>
      </w:r>
      <w:r>
        <w:rPr>
          <w:color w:val="000000"/>
          <w:szCs w:val="24"/>
        </w:rPr>
        <w:t xml:space="preserve"> drawn comment by individual judges</w:t>
      </w:r>
      <w:r w:rsidR="00A3029E">
        <w:rPr>
          <w:color w:val="000000"/>
          <w:szCs w:val="24"/>
        </w:rPr>
        <w:t xml:space="preserve"> even before </w:t>
      </w:r>
      <w:r w:rsidR="00A3029E">
        <w:rPr>
          <w:i/>
          <w:color w:val="000000"/>
          <w:szCs w:val="24"/>
        </w:rPr>
        <w:t>Mc</w:t>
      </w:r>
      <w:r w:rsidR="003E4F8D">
        <w:rPr>
          <w:i/>
          <w:color w:val="000000"/>
          <w:szCs w:val="24"/>
        </w:rPr>
        <w:t>D</w:t>
      </w:r>
      <w:r w:rsidR="00A3029E">
        <w:rPr>
          <w:i/>
          <w:color w:val="000000"/>
          <w:szCs w:val="24"/>
        </w:rPr>
        <w:t>onald</w:t>
      </w:r>
      <w:r>
        <w:rPr>
          <w:color w:val="000000"/>
          <w:szCs w:val="24"/>
        </w:rPr>
        <w:t>. For instance</w:t>
      </w:r>
      <w:r w:rsidR="00A3029E">
        <w:rPr>
          <w:color w:val="000000"/>
          <w:szCs w:val="24"/>
        </w:rPr>
        <w:t>,</w:t>
      </w:r>
      <w:r>
        <w:rPr>
          <w:color w:val="000000"/>
          <w:szCs w:val="24"/>
        </w:rPr>
        <w:t xml:space="preserve"> in his separate opinion in </w:t>
      </w:r>
      <w:r>
        <w:rPr>
          <w:i/>
          <w:color w:val="000000"/>
          <w:szCs w:val="24"/>
        </w:rPr>
        <w:t>Buckland v UK</w:t>
      </w:r>
      <w:r>
        <w:rPr>
          <w:rStyle w:val="FootnoteReference"/>
          <w:i/>
          <w:color w:val="000000"/>
          <w:szCs w:val="24"/>
        </w:rPr>
        <w:footnoteReference w:id="97"/>
      </w:r>
      <w:r>
        <w:rPr>
          <w:i/>
          <w:color w:val="000000"/>
          <w:szCs w:val="24"/>
        </w:rPr>
        <w:t xml:space="preserve"> </w:t>
      </w:r>
      <w:r>
        <w:rPr>
          <w:color w:val="000000"/>
          <w:szCs w:val="24"/>
        </w:rPr>
        <w:t>Judge De Gaetano stated:</w:t>
      </w:r>
    </w:p>
    <w:p w14:paraId="4D405CEB" w14:textId="39397CB0" w:rsidR="003C5988" w:rsidRDefault="003C5988" w:rsidP="003C5988">
      <w:pPr>
        <w:autoSpaceDE w:val="0"/>
        <w:autoSpaceDN w:val="0"/>
        <w:adjustRightInd w:val="0"/>
        <w:spacing w:after="0" w:line="360" w:lineRule="auto"/>
        <w:rPr>
          <w:color w:val="000000"/>
          <w:szCs w:val="24"/>
        </w:rPr>
      </w:pPr>
    </w:p>
    <w:p w14:paraId="6D713331" w14:textId="1B2F976A" w:rsidR="003C5988" w:rsidRPr="00AB53C1" w:rsidRDefault="003C5988" w:rsidP="00AB53C1">
      <w:pPr>
        <w:autoSpaceDE w:val="0"/>
        <w:autoSpaceDN w:val="0"/>
        <w:adjustRightInd w:val="0"/>
        <w:spacing w:after="0" w:line="360" w:lineRule="auto"/>
        <w:ind w:left="720"/>
        <w:rPr>
          <w:color w:val="000000"/>
          <w:szCs w:val="24"/>
        </w:rPr>
      </w:pPr>
      <w:r>
        <w:rPr>
          <w:color w:val="000000"/>
          <w:szCs w:val="24"/>
        </w:rPr>
        <w:t>In my view while it is perfectly reasonable to require that an eviction or repossession issued by the Government or by a local authority … or possibly even an entity in receipt of public funds, should be capable of being challenged on the grounds of proportionality, when the landlord is a private individual the tenant’s right should in principle be limited to challenging whether the occupation … has in fact come to an end according to law. In this latter case the proportionality of the eviction or repossession in the light of the relevant principles under Article 8 should not come into the equation.</w:t>
      </w:r>
    </w:p>
    <w:p w14:paraId="360D14B2" w14:textId="60B1438D" w:rsidR="003C5988" w:rsidRDefault="003C5988" w:rsidP="003C5988">
      <w:pPr>
        <w:autoSpaceDE w:val="0"/>
        <w:autoSpaceDN w:val="0"/>
        <w:adjustRightInd w:val="0"/>
        <w:spacing w:after="0" w:line="360" w:lineRule="auto"/>
        <w:rPr>
          <w:color w:val="000000"/>
        </w:rPr>
      </w:pPr>
    </w:p>
    <w:p w14:paraId="0B795DAE" w14:textId="5EA0196A" w:rsidR="003C5988" w:rsidRDefault="003C5988" w:rsidP="003C5988">
      <w:pPr>
        <w:autoSpaceDE w:val="0"/>
        <w:autoSpaceDN w:val="0"/>
        <w:adjustRightInd w:val="0"/>
        <w:spacing w:after="0" w:line="360" w:lineRule="auto"/>
        <w:rPr>
          <w:color w:val="000000"/>
        </w:rPr>
      </w:pPr>
      <w:r>
        <w:rPr>
          <w:color w:val="000000"/>
        </w:rPr>
        <w:t xml:space="preserve">It is pertinent to note that Judge De Gaetano, perhaps unwittingly, </w:t>
      </w:r>
      <w:r w:rsidR="00AC2117">
        <w:rPr>
          <w:color w:val="000000"/>
        </w:rPr>
        <w:t>drew</w:t>
      </w:r>
      <w:r>
        <w:rPr>
          <w:color w:val="000000"/>
        </w:rPr>
        <w:t xml:space="preserve"> attention to the difficulties of </w:t>
      </w:r>
      <w:r w:rsidR="00AC2117">
        <w:rPr>
          <w:color w:val="000000"/>
        </w:rPr>
        <w:t>establishing</w:t>
      </w:r>
      <w:r>
        <w:rPr>
          <w:color w:val="000000"/>
        </w:rPr>
        <w:t xml:space="preserve"> that clear divide where a landlord is in receipt of public funds</w:t>
      </w:r>
      <w:r w:rsidR="00A3029E">
        <w:rPr>
          <w:color w:val="000000"/>
        </w:rPr>
        <w:t>:</w:t>
      </w:r>
      <w:r>
        <w:rPr>
          <w:color w:val="000000"/>
        </w:rPr>
        <w:t xml:space="preserve"> for </w:t>
      </w:r>
      <w:r w:rsidR="00A3029E">
        <w:rPr>
          <w:color w:val="000000"/>
        </w:rPr>
        <w:t>e</w:t>
      </w:r>
      <w:r>
        <w:rPr>
          <w:color w:val="000000"/>
        </w:rPr>
        <w:t xml:space="preserve">xample housing benefit. </w:t>
      </w:r>
      <w:r w:rsidR="00EF5521">
        <w:rPr>
          <w:color w:val="000000"/>
        </w:rPr>
        <w:t xml:space="preserve">These difficulties are </w:t>
      </w:r>
      <w:r w:rsidR="00A3029E">
        <w:rPr>
          <w:color w:val="000000"/>
        </w:rPr>
        <w:t xml:space="preserve">also </w:t>
      </w:r>
      <w:r w:rsidR="00886F2B">
        <w:rPr>
          <w:color w:val="000000"/>
        </w:rPr>
        <w:t>evident</w:t>
      </w:r>
      <w:r w:rsidR="00A3029E">
        <w:rPr>
          <w:color w:val="000000"/>
        </w:rPr>
        <w:t xml:space="preserve"> </w:t>
      </w:r>
      <w:r w:rsidR="00EF5521">
        <w:rPr>
          <w:color w:val="000000"/>
        </w:rPr>
        <w:t xml:space="preserve">in </w:t>
      </w:r>
      <w:r w:rsidR="00EF5521">
        <w:rPr>
          <w:i/>
          <w:color w:val="000000"/>
        </w:rPr>
        <w:t>Brezec v Croatia</w:t>
      </w:r>
      <w:r w:rsidR="00EF5521">
        <w:rPr>
          <w:rStyle w:val="FootnoteReference"/>
          <w:color w:val="000000"/>
        </w:rPr>
        <w:footnoteReference w:id="98"/>
      </w:r>
      <w:r w:rsidR="00EF5521">
        <w:rPr>
          <w:i/>
          <w:color w:val="000000"/>
        </w:rPr>
        <w:t xml:space="preserve"> </w:t>
      </w:r>
      <w:r w:rsidR="00EF5521">
        <w:rPr>
          <w:color w:val="000000"/>
        </w:rPr>
        <w:t xml:space="preserve">where </w:t>
      </w:r>
      <w:r w:rsidR="00886F2B">
        <w:rPr>
          <w:color w:val="000000"/>
        </w:rPr>
        <w:t xml:space="preserve">apparent </w:t>
      </w:r>
      <w:r w:rsidR="00EF5521">
        <w:rPr>
          <w:color w:val="000000"/>
        </w:rPr>
        <w:t>procedural horizontality under article 8 was found when a private company, which had been a former state enterprise</w:t>
      </w:r>
      <w:r w:rsidR="00A3029E">
        <w:rPr>
          <w:color w:val="000000"/>
        </w:rPr>
        <w:t xml:space="preserve"> and remained partly owned by the State</w:t>
      </w:r>
      <w:r w:rsidR="00EF5521">
        <w:rPr>
          <w:color w:val="000000"/>
        </w:rPr>
        <w:t xml:space="preserve">, evicted a former employee from her home. </w:t>
      </w:r>
      <w:r w:rsidR="00C65E2A">
        <w:rPr>
          <w:color w:val="000000"/>
        </w:rPr>
        <w:t xml:space="preserve">In </w:t>
      </w:r>
      <w:r w:rsidR="00C65E2A">
        <w:rPr>
          <w:i/>
          <w:color w:val="000000"/>
        </w:rPr>
        <w:t xml:space="preserve">FJM </w:t>
      </w:r>
      <w:r w:rsidR="00C65E2A">
        <w:rPr>
          <w:color w:val="000000"/>
        </w:rPr>
        <w:t xml:space="preserve">the ECtHR rationalised this decision as falling on the public side of the divide. </w:t>
      </w:r>
      <w:r>
        <w:rPr>
          <w:color w:val="000000"/>
        </w:rPr>
        <w:t xml:space="preserve">  </w:t>
      </w:r>
    </w:p>
    <w:p w14:paraId="12AC3DF9" w14:textId="77777777" w:rsidR="003C5988" w:rsidRDefault="003C5988" w:rsidP="003C5988">
      <w:pPr>
        <w:autoSpaceDE w:val="0"/>
        <w:autoSpaceDN w:val="0"/>
        <w:adjustRightInd w:val="0"/>
        <w:spacing w:after="0" w:line="360" w:lineRule="auto"/>
        <w:rPr>
          <w:color w:val="000000"/>
        </w:rPr>
      </w:pPr>
    </w:p>
    <w:p w14:paraId="1E7587B3" w14:textId="3EFBD937" w:rsidR="007D39F2" w:rsidRDefault="00656180" w:rsidP="00AB53C1">
      <w:pPr>
        <w:autoSpaceDE w:val="0"/>
        <w:autoSpaceDN w:val="0"/>
        <w:adjustRightInd w:val="0"/>
        <w:spacing w:after="0" w:line="360" w:lineRule="auto"/>
        <w:rPr>
          <w:color w:val="000000"/>
        </w:rPr>
      </w:pPr>
      <w:r>
        <w:rPr>
          <w:color w:val="000000"/>
        </w:rPr>
        <w:t>Procedural horizontality</w:t>
      </w:r>
      <w:r w:rsidR="00A07FFA">
        <w:rPr>
          <w:color w:val="000000"/>
        </w:rPr>
        <w:t xml:space="preserve"> </w:t>
      </w:r>
      <w:r w:rsidR="00250562">
        <w:rPr>
          <w:color w:val="000000"/>
        </w:rPr>
        <w:t xml:space="preserve">also </w:t>
      </w:r>
      <w:r w:rsidR="000920ED">
        <w:rPr>
          <w:color w:val="000000"/>
        </w:rPr>
        <w:t xml:space="preserve">raises </w:t>
      </w:r>
      <w:r w:rsidR="00A07FFA">
        <w:rPr>
          <w:color w:val="000000"/>
        </w:rPr>
        <w:t xml:space="preserve">the </w:t>
      </w:r>
      <w:r w:rsidR="000920ED">
        <w:rPr>
          <w:color w:val="000000"/>
        </w:rPr>
        <w:t xml:space="preserve">extent to which States, in pursuance of their obligation to secure Convention rights under Article 1 of the ECHR, owe a positive duty to establish procedural safeguards where private contractual or proprietary </w:t>
      </w:r>
      <w:r w:rsidR="004B0204">
        <w:rPr>
          <w:color w:val="000000"/>
        </w:rPr>
        <w:t>relations</w:t>
      </w:r>
      <w:r w:rsidR="000920ED">
        <w:rPr>
          <w:color w:val="000000"/>
        </w:rPr>
        <w:t xml:space="preserve"> engage Convention rights. </w:t>
      </w:r>
      <w:r w:rsidR="00166228" w:rsidDel="00166228">
        <w:t>The emergence of positive duties is controversial but growing.</w:t>
      </w:r>
      <w:r w:rsidR="00166228" w:rsidDel="00166228">
        <w:rPr>
          <w:rStyle w:val="FootnoteReference"/>
        </w:rPr>
        <w:footnoteReference w:id="99"/>
      </w:r>
      <w:r w:rsidR="00166228" w:rsidDel="00166228">
        <w:t xml:space="preserve"> </w:t>
      </w:r>
      <w:r w:rsidR="007D39F2" w:rsidRPr="00DF05CF">
        <w:rPr>
          <w:color w:val="000000"/>
        </w:rPr>
        <w:t xml:space="preserve">To enforce or adjudicate upon a private contract, a party may need the assistance of a court, </w:t>
      </w:r>
      <w:r w:rsidR="007D39F2">
        <w:rPr>
          <w:color w:val="000000"/>
        </w:rPr>
        <w:t xml:space="preserve">a public body </w:t>
      </w:r>
      <w:r w:rsidR="007D39F2" w:rsidRPr="00DF05CF">
        <w:rPr>
          <w:color w:val="000000"/>
        </w:rPr>
        <w:t xml:space="preserve">for whom the </w:t>
      </w:r>
      <w:r w:rsidR="007D39F2">
        <w:rPr>
          <w:color w:val="000000"/>
        </w:rPr>
        <w:t>S</w:t>
      </w:r>
      <w:r w:rsidR="007D39F2" w:rsidRPr="00DF05CF">
        <w:rPr>
          <w:color w:val="000000"/>
        </w:rPr>
        <w:t>tate is clearly responsible in articulating its powers and responsibilities</w:t>
      </w:r>
      <w:r w:rsidR="007D39F2">
        <w:rPr>
          <w:color w:val="000000"/>
        </w:rPr>
        <w:t xml:space="preserve">. Thus, there is yet another interface between the public and private spheres. </w:t>
      </w:r>
    </w:p>
    <w:p w14:paraId="0222E21B" w14:textId="77777777" w:rsidR="008A4FD7" w:rsidRDefault="008A4FD7" w:rsidP="000920ED">
      <w:pPr>
        <w:autoSpaceDE w:val="0"/>
        <w:autoSpaceDN w:val="0"/>
        <w:adjustRightInd w:val="0"/>
        <w:spacing w:after="0" w:line="360" w:lineRule="auto"/>
        <w:rPr>
          <w:color w:val="000000"/>
          <w:szCs w:val="24"/>
        </w:rPr>
      </w:pPr>
    </w:p>
    <w:p w14:paraId="69C27051" w14:textId="5C630F45" w:rsidR="00886F2B" w:rsidRPr="006C77B2" w:rsidRDefault="007D39F2" w:rsidP="00886F2B">
      <w:pPr>
        <w:autoSpaceDE w:val="0"/>
        <w:autoSpaceDN w:val="0"/>
        <w:adjustRightInd w:val="0"/>
        <w:spacing w:after="0" w:line="360" w:lineRule="auto"/>
        <w:rPr>
          <w:color w:val="000000"/>
          <w:szCs w:val="24"/>
        </w:rPr>
      </w:pPr>
      <w:r>
        <w:rPr>
          <w:color w:val="000000"/>
          <w:szCs w:val="24"/>
        </w:rPr>
        <w:t>A</w:t>
      </w:r>
      <w:r w:rsidR="00FD2B2A">
        <w:rPr>
          <w:color w:val="000000"/>
          <w:szCs w:val="24"/>
        </w:rPr>
        <w:t xml:space="preserve">n example </w:t>
      </w:r>
      <w:r w:rsidR="006C77B2">
        <w:rPr>
          <w:color w:val="000000"/>
          <w:szCs w:val="24"/>
        </w:rPr>
        <w:t xml:space="preserve">of procedural horizontality </w:t>
      </w:r>
      <w:r w:rsidR="00FD2B2A">
        <w:rPr>
          <w:color w:val="000000"/>
          <w:szCs w:val="24"/>
        </w:rPr>
        <w:t xml:space="preserve">is found in the case of </w:t>
      </w:r>
      <w:r w:rsidR="00FD2B2A">
        <w:rPr>
          <w:i/>
          <w:color w:val="000000"/>
          <w:szCs w:val="24"/>
        </w:rPr>
        <w:t>Zehentner v Austria</w:t>
      </w:r>
      <w:r w:rsidR="006C77B2">
        <w:rPr>
          <w:rStyle w:val="FootnoteReference"/>
          <w:i/>
          <w:color w:val="000000"/>
          <w:szCs w:val="24"/>
        </w:rPr>
        <w:footnoteReference w:id="100"/>
      </w:r>
      <w:r w:rsidR="00FD2B2A">
        <w:rPr>
          <w:i/>
          <w:color w:val="000000"/>
          <w:szCs w:val="24"/>
        </w:rPr>
        <w:t xml:space="preserve"> </w:t>
      </w:r>
      <w:r w:rsidR="006C77B2">
        <w:rPr>
          <w:color w:val="000000"/>
          <w:szCs w:val="24"/>
        </w:rPr>
        <w:t xml:space="preserve">in which Ms Zehentner, who suffered from mental health problems, successfully established a violation of her </w:t>
      </w:r>
      <w:r w:rsidR="004B0204">
        <w:rPr>
          <w:color w:val="000000"/>
          <w:szCs w:val="24"/>
        </w:rPr>
        <w:t>a</w:t>
      </w:r>
      <w:r w:rsidR="006C77B2">
        <w:rPr>
          <w:color w:val="000000"/>
          <w:szCs w:val="24"/>
        </w:rPr>
        <w:t xml:space="preserve">rticle 8 and A1 P1 rights when her home was sold through a court administered sale to recover relatively </w:t>
      </w:r>
      <w:r w:rsidR="007B038C">
        <w:rPr>
          <w:color w:val="000000"/>
          <w:szCs w:val="24"/>
        </w:rPr>
        <w:t xml:space="preserve">small </w:t>
      </w:r>
      <w:r w:rsidR="006C77B2">
        <w:rPr>
          <w:color w:val="000000"/>
          <w:szCs w:val="24"/>
        </w:rPr>
        <w:t>judgment debts from unpaid repair work to her home. The legislati</w:t>
      </w:r>
      <w:r>
        <w:rPr>
          <w:color w:val="000000"/>
          <w:szCs w:val="24"/>
        </w:rPr>
        <w:t>on</w:t>
      </w:r>
      <w:r w:rsidR="006C77B2">
        <w:rPr>
          <w:color w:val="000000"/>
          <w:szCs w:val="24"/>
        </w:rPr>
        <w:t xml:space="preserve"> empowering the court to force the sale set strict time limits to which Ms Zehentner was unable to adhere due to her incapacity. </w:t>
      </w:r>
      <w:r w:rsidR="008A4FD7">
        <w:rPr>
          <w:color w:val="000000"/>
          <w:szCs w:val="24"/>
        </w:rPr>
        <w:t>The compatibility of the legislation was not in issue – clearly there is a public interest in the efficient enforcement of judgment debts</w:t>
      </w:r>
      <w:r w:rsidR="004B0204">
        <w:rPr>
          <w:color w:val="000000"/>
          <w:szCs w:val="24"/>
        </w:rPr>
        <w:t xml:space="preserve"> and certainty of title following a court sale</w:t>
      </w:r>
      <w:r w:rsidR="008A4FD7">
        <w:rPr>
          <w:color w:val="000000"/>
          <w:szCs w:val="24"/>
        </w:rPr>
        <w:t>. It was the lack of procedural safeguards which left Ms Zehentner with no voice in the sale of her home that triggered the violations.</w:t>
      </w:r>
      <w:r w:rsidR="005470EA">
        <w:rPr>
          <w:rStyle w:val="FootnoteReference"/>
          <w:color w:val="000000"/>
          <w:szCs w:val="24"/>
        </w:rPr>
        <w:footnoteReference w:id="101"/>
      </w:r>
      <w:r w:rsidR="008A4FD7">
        <w:rPr>
          <w:color w:val="000000"/>
          <w:szCs w:val="24"/>
        </w:rPr>
        <w:t xml:space="preserve"> The ECtHR held that States owe a positive duty to provide “specific protection by the law”</w:t>
      </w:r>
      <w:r w:rsidR="008A4FD7">
        <w:rPr>
          <w:rStyle w:val="FootnoteReference"/>
          <w:color w:val="000000"/>
          <w:szCs w:val="24"/>
        </w:rPr>
        <w:footnoteReference w:id="102"/>
      </w:r>
      <w:r w:rsidR="008A4FD7">
        <w:rPr>
          <w:color w:val="000000"/>
          <w:szCs w:val="24"/>
        </w:rPr>
        <w:t xml:space="preserve"> to those that lack legal capacity and are particularly vulnerable.  </w:t>
      </w:r>
      <w:r w:rsidR="00886F2B">
        <w:rPr>
          <w:color w:val="000000"/>
          <w:szCs w:val="24"/>
        </w:rPr>
        <w:t xml:space="preserve">In </w:t>
      </w:r>
      <w:r w:rsidR="00886F2B">
        <w:rPr>
          <w:i/>
          <w:color w:val="000000"/>
          <w:szCs w:val="24"/>
        </w:rPr>
        <w:t xml:space="preserve">FJM </w:t>
      </w:r>
      <w:r w:rsidR="00886F2B">
        <w:rPr>
          <w:color w:val="000000"/>
          <w:szCs w:val="24"/>
        </w:rPr>
        <w:t>the ECtHR suggested that the domestic courts</w:t>
      </w:r>
      <w:r w:rsidR="00BA64CC">
        <w:rPr>
          <w:color w:val="000000"/>
          <w:szCs w:val="24"/>
        </w:rPr>
        <w:t>’ general</w:t>
      </w:r>
      <w:r w:rsidR="00886F2B">
        <w:rPr>
          <w:color w:val="000000"/>
          <w:szCs w:val="24"/>
        </w:rPr>
        <w:t xml:space="preserve"> power to delay the execution of a possession order for up to six weeks, in cases of exceptional hardship, satisfactorily addressed the UK’s positive duty to the vulnerable.</w:t>
      </w:r>
      <w:r w:rsidR="004B0204" w:rsidRPr="004B0204">
        <w:rPr>
          <w:rStyle w:val="FootnoteReference"/>
          <w:color w:val="000000"/>
          <w:szCs w:val="24"/>
        </w:rPr>
        <w:t xml:space="preserve"> </w:t>
      </w:r>
      <w:r w:rsidR="004B0204">
        <w:rPr>
          <w:rStyle w:val="FootnoteReference"/>
          <w:color w:val="000000"/>
          <w:szCs w:val="24"/>
        </w:rPr>
        <w:footnoteReference w:id="103"/>
      </w:r>
      <w:r w:rsidR="004B0204">
        <w:rPr>
          <w:color w:val="000000"/>
          <w:szCs w:val="24"/>
        </w:rPr>
        <w:t xml:space="preserve"> </w:t>
      </w:r>
      <w:r w:rsidR="00886F2B">
        <w:rPr>
          <w:color w:val="000000"/>
          <w:szCs w:val="24"/>
        </w:rPr>
        <w:t xml:space="preserve">  </w:t>
      </w:r>
      <w:r w:rsidR="009D3D6C">
        <w:rPr>
          <w:color w:val="000000"/>
          <w:szCs w:val="24"/>
        </w:rPr>
        <w:t>The deficiency of this provision is</w:t>
      </w:r>
      <w:r w:rsidR="000210BC">
        <w:rPr>
          <w:color w:val="000000"/>
          <w:szCs w:val="24"/>
        </w:rPr>
        <w:t xml:space="preserve"> that</w:t>
      </w:r>
      <w:r w:rsidR="009D3D6C">
        <w:rPr>
          <w:color w:val="000000"/>
          <w:szCs w:val="24"/>
        </w:rPr>
        <w:t xml:space="preserve"> there is no mechanism to allow the </w:t>
      </w:r>
      <w:r w:rsidR="000210BC">
        <w:rPr>
          <w:color w:val="000000"/>
          <w:szCs w:val="24"/>
        </w:rPr>
        <w:t xml:space="preserve">landlord’s </w:t>
      </w:r>
      <w:r w:rsidR="009D3D6C">
        <w:rPr>
          <w:color w:val="000000"/>
          <w:szCs w:val="24"/>
        </w:rPr>
        <w:t xml:space="preserve">position to be balanced against that of the </w:t>
      </w:r>
      <w:r w:rsidR="000210BC">
        <w:rPr>
          <w:color w:val="000000"/>
          <w:szCs w:val="24"/>
        </w:rPr>
        <w:t>tenant, meaning that landlords’ needs could be prejudiced</w:t>
      </w:r>
      <w:r w:rsidR="009D3D6C">
        <w:rPr>
          <w:color w:val="000000"/>
          <w:szCs w:val="24"/>
        </w:rPr>
        <w:t xml:space="preserve">.  By contrast, a proportionality assessment would mean that both parties’ needs are </w:t>
      </w:r>
      <w:r w:rsidR="000210BC">
        <w:rPr>
          <w:color w:val="000000"/>
          <w:szCs w:val="24"/>
        </w:rPr>
        <w:t xml:space="preserve">transparently </w:t>
      </w:r>
      <w:r w:rsidR="009D3D6C">
        <w:rPr>
          <w:color w:val="000000"/>
          <w:szCs w:val="24"/>
        </w:rPr>
        <w:t>considered</w:t>
      </w:r>
      <w:r w:rsidR="00B83772">
        <w:rPr>
          <w:color w:val="000000"/>
          <w:szCs w:val="24"/>
        </w:rPr>
        <w:t>.</w:t>
      </w:r>
    </w:p>
    <w:p w14:paraId="43F054F0" w14:textId="080BD0CD" w:rsidR="00EF1164" w:rsidRDefault="00EF1164" w:rsidP="00EF1164">
      <w:pPr>
        <w:autoSpaceDE w:val="0"/>
        <w:autoSpaceDN w:val="0"/>
        <w:adjustRightInd w:val="0"/>
        <w:spacing w:after="0" w:line="360" w:lineRule="auto"/>
        <w:rPr>
          <w:color w:val="000000"/>
          <w:szCs w:val="24"/>
        </w:rPr>
      </w:pPr>
    </w:p>
    <w:p w14:paraId="6CA51D4E" w14:textId="2FA99194" w:rsidR="00EF1164" w:rsidRDefault="00886F2B" w:rsidP="00EF1164">
      <w:pPr>
        <w:autoSpaceDE w:val="0"/>
        <w:autoSpaceDN w:val="0"/>
        <w:adjustRightInd w:val="0"/>
        <w:spacing w:after="0" w:line="360" w:lineRule="auto"/>
        <w:rPr>
          <w:color w:val="000000"/>
          <w:szCs w:val="24"/>
        </w:rPr>
      </w:pPr>
      <w:r>
        <w:rPr>
          <w:color w:val="000000"/>
          <w:szCs w:val="24"/>
        </w:rPr>
        <w:t>Encouraging statements in</w:t>
      </w:r>
      <w:r w:rsidR="00EF1164">
        <w:rPr>
          <w:color w:val="000000"/>
          <w:szCs w:val="24"/>
        </w:rPr>
        <w:t xml:space="preserve"> support </w:t>
      </w:r>
      <w:r>
        <w:rPr>
          <w:color w:val="000000"/>
          <w:szCs w:val="24"/>
        </w:rPr>
        <w:t>of</w:t>
      </w:r>
      <w:r w:rsidR="00EF1164">
        <w:rPr>
          <w:color w:val="000000"/>
          <w:szCs w:val="24"/>
        </w:rPr>
        <w:t xml:space="preserve"> a positive obligation to ensure procedural horizontality</w:t>
      </w:r>
      <w:r>
        <w:rPr>
          <w:color w:val="000000"/>
          <w:szCs w:val="24"/>
        </w:rPr>
        <w:t xml:space="preserve"> are</w:t>
      </w:r>
      <w:r w:rsidR="00EF1164">
        <w:rPr>
          <w:color w:val="000000"/>
          <w:szCs w:val="24"/>
        </w:rPr>
        <w:t xml:space="preserve"> </w:t>
      </w:r>
      <w:r>
        <w:rPr>
          <w:color w:val="000000"/>
          <w:szCs w:val="24"/>
        </w:rPr>
        <w:t xml:space="preserve">also </w:t>
      </w:r>
      <w:r w:rsidR="00EF1164">
        <w:rPr>
          <w:color w:val="000000"/>
          <w:szCs w:val="24"/>
        </w:rPr>
        <w:t xml:space="preserve">found in </w:t>
      </w:r>
      <w:r w:rsidR="00EF1164">
        <w:rPr>
          <w:i/>
          <w:color w:val="000000"/>
          <w:szCs w:val="24"/>
        </w:rPr>
        <w:t>Ivanova and Cherkezov v Bulgaria.</w:t>
      </w:r>
      <w:r w:rsidR="00EF1164" w:rsidRPr="002B6185">
        <w:rPr>
          <w:rStyle w:val="FootnoteReference"/>
          <w:color w:val="000000"/>
          <w:szCs w:val="24"/>
        </w:rPr>
        <w:footnoteReference w:id="104"/>
      </w:r>
      <w:r w:rsidR="00EF1164">
        <w:rPr>
          <w:i/>
          <w:color w:val="000000"/>
          <w:szCs w:val="24"/>
        </w:rPr>
        <w:t xml:space="preserve"> </w:t>
      </w:r>
      <w:r w:rsidR="00EF1164">
        <w:rPr>
          <w:color w:val="000000"/>
          <w:szCs w:val="24"/>
        </w:rPr>
        <w:t xml:space="preserve">The victims had illegally built their home and the authorities sought its demolition under mandatory powers. </w:t>
      </w:r>
      <w:r>
        <w:rPr>
          <w:color w:val="000000"/>
          <w:szCs w:val="24"/>
        </w:rPr>
        <w:t>In upholding a violation of article 8,</w:t>
      </w:r>
      <w:r w:rsidR="00EF1164">
        <w:rPr>
          <w:color w:val="000000"/>
          <w:szCs w:val="24"/>
        </w:rPr>
        <w:t xml:space="preserve"> the ECtHR dr</w:t>
      </w:r>
      <w:r w:rsidR="00680FA4">
        <w:rPr>
          <w:color w:val="000000"/>
          <w:szCs w:val="24"/>
        </w:rPr>
        <w:t>e</w:t>
      </w:r>
      <w:r w:rsidR="00EF1164">
        <w:rPr>
          <w:color w:val="000000"/>
          <w:szCs w:val="24"/>
        </w:rPr>
        <w:t>w close comparisons both with cases of repossession of  public housing and “evictions from properties previously owned by the applicants but lost by them as a result of civil proceedings brought by a private person.”</w:t>
      </w:r>
      <w:r w:rsidR="00EF1164">
        <w:rPr>
          <w:rStyle w:val="FootnoteReference"/>
          <w:color w:val="000000"/>
          <w:szCs w:val="24"/>
        </w:rPr>
        <w:footnoteReference w:id="105"/>
      </w:r>
      <w:r w:rsidR="00EF1164">
        <w:rPr>
          <w:color w:val="000000"/>
          <w:szCs w:val="24"/>
        </w:rPr>
        <w:t xml:space="preserve"> It reiterated in the strongest terms the necessity for procedural safeguards when article 8 is engaged by eviction (whether or not the occupier belongs to a vulnerable group) and made no distinction between evictions by a public body or private person.</w:t>
      </w:r>
      <w:r w:rsidR="00EF1164">
        <w:rPr>
          <w:rStyle w:val="FootnoteReference"/>
          <w:color w:val="000000"/>
          <w:szCs w:val="24"/>
        </w:rPr>
        <w:footnoteReference w:id="106"/>
      </w:r>
      <w:r w:rsidR="00EF1164">
        <w:rPr>
          <w:color w:val="000000"/>
          <w:szCs w:val="24"/>
        </w:rPr>
        <w:t xml:space="preserve"> </w:t>
      </w:r>
    </w:p>
    <w:p w14:paraId="28BC2F37" w14:textId="77777777" w:rsidR="00E33875" w:rsidRDefault="00E33875" w:rsidP="00F726ED">
      <w:pPr>
        <w:autoSpaceDE w:val="0"/>
        <w:autoSpaceDN w:val="0"/>
        <w:adjustRightInd w:val="0"/>
        <w:spacing w:after="0" w:line="360" w:lineRule="auto"/>
        <w:rPr>
          <w:color w:val="000000"/>
          <w:szCs w:val="24"/>
        </w:rPr>
      </w:pPr>
      <w:bookmarkStart w:id="15" w:name="_Hlk514743392"/>
    </w:p>
    <w:p w14:paraId="64CA4F67" w14:textId="17429A28" w:rsidR="00F726ED" w:rsidRDefault="006A66E4" w:rsidP="00F726ED">
      <w:pPr>
        <w:autoSpaceDE w:val="0"/>
        <w:autoSpaceDN w:val="0"/>
        <w:adjustRightInd w:val="0"/>
        <w:spacing w:after="0" w:line="360" w:lineRule="auto"/>
        <w:rPr>
          <w:color w:val="000000"/>
          <w:szCs w:val="24"/>
        </w:rPr>
      </w:pPr>
      <w:r>
        <w:rPr>
          <w:color w:val="000000"/>
          <w:szCs w:val="24"/>
        </w:rPr>
        <w:t xml:space="preserve">It is important to note that </w:t>
      </w:r>
      <w:r>
        <w:rPr>
          <w:i/>
          <w:color w:val="000000"/>
          <w:szCs w:val="24"/>
        </w:rPr>
        <w:t xml:space="preserve">FJM </w:t>
      </w:r>
      <w:r>
        <w:rPr>
          <w:color w:val="000000"/>
          <w:szCs w:val="24"/>
        </w:rPr>
        <w:t xml:space="preserve">does not appear to challenge the basic first step that the court’s possession order engages article 8. </w:t>
      </w:r>
      <w:r w:rsidR="004D14D9">
        <w:rPr>
          <w:color w:val="000000"/>
          <w:szCs w:val="24"/>
        </w:rPr>
        <w:t xml:space="preserve">The </w:t>
      </w:r>
      <w:r w:rsidR="00D413D5">
        <w:rPr>
          <w:color w:val="000000"/>
          <w:szCs w:val="24"/>
        </w:rPr>
        <w:t>ECtHR</w:t>
      </w:r>
      <w:r w:rsidR="004D14D9">
        <w:rPr>
          <w:color w:val="000000"/>
          <w:szCs w:val="24"/>
        </w:rPr>
        <w:t xml:space="preserve"> </w:t>
      </w:r>
      <w:r w:rsidR="00466567">
        <w:rPr>
          <w:color w:val="000000"/>
          <w:szCs w:val="24"/>
        </w:rPr>
        <w:t xml:space="preserve">some 30 years ago </w:t>
      </w:r>
      <w:r w:rsidR="00CE7531">
        <w:rPr>
          <w:color w:val="000000"/>
          <w:szCs w:val="24"/>
        </w:rPr>
        <w:t xml:space="preserve">in the admissibility decision of </w:t>
      </w:r>
      <w:r w:rsidR="00CE7531">
        <w:rPr>
          <w:i/>
          <w:color w:val="000000"/>
          <w:szCs w:val="24"/>
        </w:rPr>
        <w:t>Di Palma v UK</w:t>
      </w:r>
      <w:r w:rsidR="00466567">
        <w:rPr>
          <w:rStyle w:val="FootnoteReference"/>
          <w:i/>
          <w:color w:val="000000"/>
          <w:szCs w:val="24"/>
        </w:rPr>
        <w:footnoteReference w:id="107"/>
      </w:r>
      <w:r w:rsidR="00CE7531">
        <w:rPr>
          <w:i/>
          <w:color w:val="000000"/>
          <w:szCs w:val="24"/>
        </w:rPr>
        <w:t xml:space="preserve"> </w:t>
      </w:r>
      <w:r w:rsidR="00CE7531">
        <w:rPr>
          <w:color w:val="000000"/>
          <w:szCs w:val="24"/>
        </w:rPr>
        <w:t>flirted with the idea that the court was merely “a forum for the determination of the civil dispute between the parties”</w:t>
      </w:r>
      <w:r w:rsidR="00466567">
        <w:rPr>
          <w:rStyle w:val="FootnoteReference"/>
          <w:color w:val="000000"/>
          <w:szCs w:val="24"/>
        </w:rPr>
        <w:footnoteReference w:id="108"/>
      </w:r>
      <w:r w:rsidR="00CE7531">
        <w:rPr>
          <w:color w:val="000000"/>
          <w:szCs w:val="24"/>
        </w:rPr>
        <w:t xml:space="preserve"> and thus </w:t>
      </w:r>
      <w:r w:rsidR="005D3612">
        <w:rPr>
          <w:color w:val="000000"/>
          <w:szCs w:val="24"/>
        </w:rPr>
        <w:t xml:space="preserve">they declared inadmissible </w:t>
      </w:r>
      <w:r w:rsidR="00466567">
        <w:rPr>
          <w:color w:val="000000"/>
          <w:szCs w:val="24"/>
        </w:rPr>
        <w:t>a challenge</w:t>
      </w:r>
      <w:r w:rsidR="00DD78C1">
        <w:rPr>
          <w:color w:val="000000"/>
          <w:szCs w:val="24"/>
        </w:rPr>
        <w:t>,</w:t>
      </w:r>
      <w:r w:rsidR="00466567">
        <w:rPr>
          <w:color w:val="000000"/>
          <w:szCs w:val="24"/>
        </w:rPr>
        <w:t xml:space="preserve"> </w:t>
      </w:r>
      <w:r w:rsidR="005D3612">
        <w:rPr>
          <w:color w:val="000000"/>
          <w:szCs w:val="24"/>
        </w:rPr>
        <w:t xml:space="preserve">under both A1 P1 and article 8, </w:t>
      </w:r>
      <w:r w:rsidR="00A96E3A">
        <w:rPr>
          <w:color w:val="000000"/>
          <w:szCs w:val="24"/>
        </w:rPr>
        <w:t xml:space="preserve">to the </w:t>
      </w:r>
      <w:r w:rsidR="00F726ED">
        <w:rPr>
          <w:color w:val="000000"/>
          <w:szCs w:val="24"/>
        </w:rPr>
        <w:t>forfeiture of a valuable long lease for a relatively minor breach of covenant</w:t>
      </w:r>
      <w:r w:rsidR="005D3612">
        <w:rPr>
          <w:color w:val="000000"/>
          <w:szCs w:val="24"/>
        </w:rPr>
        <w:t>.</w:t>
      </w:r>
      <w:r w:rsidR="00466567">
        <w:rPr>
          <w:color w:val="000000"/>
          <w:szCs w:val="24"/>
        </w:rPr>
        <w:t xml:space="preserve"> </w:t>
      </w:r>
      <w:r w:rsidR="00F726ED">
        <w:rPr>
          <w:color w:val="000000"/>
          <w:szCs w:val="24"/>
        </w:rPr>
        <w:t xml:space="preserve">By contrast </w:t>
      </w:r>
      <w:r w:rsidR="005D3612">
        <w:rPr>
          <w:color w:val="000000"/>
          <w:szCs w:val="24"/>
        </w:rPr>
        <w:t xml:space="preserve">in </w:t>
      </w:r>
      <w:r w:rsidR="00F726ED">
        <w:rPr>
          <w:color w:val="000000"/>
          <w:szCs w:val="24"/>
        </w:rPr>
        <w:t xml:space="preserve">the 2008 decision </w:t>
      </w:r>
      <w:r w:rsidR="00252BEB">
        <w:rPr>
          <w:color w:val="000000"/>
          <w:szCs w:val="24"/>
        </w:rPr>
        <w:t>of</w:t>
      </w:r>
      <w:r w:rsidR="00F726ED">
        <w:rPr>
          <w:color w:val="000000"/>
          <w:szCs w:val="24"/>
        </w:rPr>
        <w:t xml:space="preserve"> </w:t>
      </w:r>
      <w:r w:rsidR="00F726ED">
        <w:rPr>
          <w:i/>
          <w:color w:val="000000"/>
          <w:szCs w:val="24"/>
        </w:rPr>
        <w:t>Khursid Mustafa &amp; Tarzibachi v Sweden</w:t>
      </w:r>
      <w:r w:rsidR="00F726ED">
        <w:rPr>
          <w:color w:val="000000"/>
          <w:szCs w:val="24"/>
        </w:rPr>
        <w:t>,</w:t>
      </w:r>
      <w:r w:rsidR="005D3612">
        <w:rPr>
          <w:rStyle w:val="FootnoteReference"/>
          <w:color w:val="000000"/>
          <w:szCs w:val="24"/>
        </w:rPr>
        <w:footnoteReference w:id="109"/>
      </w:r>
      <w:r w:rsidR="00F726ED">
        <w:rPr>
          <w:color w:val="000000"/>
          <w:szCs w:val="24"/>
        </w:rPr>
        <w:t xml:space="preserve"> the Strasbourg Court accepted that a court’s ruling in private disputes was not off limits.</w:t>
      </w:r>
      <w:r w:rsidR="00A84A72" w:rsidRPr="00A84A72">
        <w:rPr>
          <w:rStyle w:val="FootnoteReference"/>
          <w:color w:val="000000"/>
          <w:szCs w:val="24"/>
        </w:rPr>
        <w:t xml:space="preserve"> </w:t>
      </w:r>
      <w:r w:rsidR="00A84A72">
        <w:rPr>
          <w:rStyle w:val="FootnoteReference"/>
          <w:color w:val="000000"/>
          <w:szCs w:val="24"/>
        </w:rPr>
        <w:footnoteReference w:id="110"/>
      </w:r>
      <w:r w:rsidR="00A84A72">
        <w:rPr>
          <w:color w:val="000000"/>
          <w:szCs w:val="24"/>
        </w:rPr>
        <w:t xml:space="preserve"> </w:t>
      </w:r>
      <w:r w:rsidR="00F726ED">
        <w:rPr>
          <w:color w:val="000000"/>
          <w:szCs w:val="24"/>
        </w:rPr>
        <w:t xml:space="preserve"> </w:t>
      </w:r>
      <w:r w:rsidR="006024D5">
        <w:rPr>
          <w:color w:val="000000"/>
          <w:szCs w:val="24"/>
        </w:rPr>
        <w:t>The case also concerned violations arising from the forfeiture of a long lease for a minor breach of covenant</w:t>
      </w:r>
      <w:r w:rsidR="006024D5" w:rsidRPr="006024D5">
        <w:rPr>
          <w:color w:val="000000"/>
          <w:szCs w:val="24"/>
        </w:rPr>
        <w:t xml:space="preserve"> </w:t>
      </w:r>
      <w:r w:rsidR="006024D5">
        <w:rPr>
          <w:color w:val="000000"/>
          <w:szCs w:val="24"/>
        </w:rPr>
        <w:t xml:space="preserve">but under </w:t>
      </w:r>
      <w:r w:rsidR="00944977">
        <w:rPr>
          <w:color w:val="000000"/>
          <w:szCs w:val="24"/>
        </w:rPr>
        <w:t>a</w:t>
      </w:r>
      <w:r w:rsidR="006024D5">
        <w:rPr>
          <w:color w:val="000000"/>
          <w:szCs w:val="24"/>
        </w:rPr>
        <w:t>rticles 10</w:t>
      </w:r>
      <w:r w:rsidR="00252BEB">
        <w:rPr>
          <w:color w:val="000000"/>
          <w:szCs w:val="24"/>
        </w:rPr>
        <w:t xml:space="preserve"> and 8</w:t>
      </w:r>
      <w:r w:rsidR="006024D5">
        <w:rPr>
          <w:color w:val="000000"/>
          <w:szCs w:val="24"/>
        </w:rPr>
        <w:t>.</w:t>
      </w:r>
      <w:r w:rsidR="003E4F8D">
        <w:rPr>
          <w:rStyle w:val="FootnoteReference"/>
          <w:color w:val="000000"/>
          <w:szCs w:val="24"/>
        </w:rPr>
        <w:footnoteReference w:id="111"/>
      </w:r>
      <w:r w:rsidR="006024D5">
        <w:rPr>
          <w:color w:val="000000"/>
          <w:szCs w:val="24"/>
        </w:rPr>
        <w:t xml:space="preserve"> </w:t>
      </w:r>
      <w:r w:rsidR="00DD78C1">
        <w:rPr>
          <w:color w:val="000000"/>
          <w:szCs w:val="24"/>
        </w:rPr>
        <w:t xml:space="preserve">The </w:t>
      </w:r>
      <w:r w:rsidR="00A84A72">
        <w:rPr>
          <w:color w:val="000000"/>
          <w:szCs w:val="24"/>
        </w:rPr>
        <w:t xml:space="preserve">domestic </w:t>
      </w:r>
      <w:r w:rsidR="00DD78C1">
        <w:rPr>
          <w:color w:val="000000"/>
          <w:szCs w:val="24"/>
        </w:rPr>
        <w:t>court</w:t>
      </w:r>
      <w:r w:rsidR="00A84A72">
        <w:rPr>
          <w:color w:val="000000"/>
          <w:szCs w:val="24"/>
        </w:rPr>
        <w:t>’s</w:t>
      </w:r>
      <w:r w:rsidR="00DD78C1">
        <w:rPr>
          <w:color w:val="000000"/>
          <w:szCs w:val="24"/>
        </w:rPr>
        <w:t xml:space="preserve"> order </w:t>
      </w:r>
      <w:r w:rsidR="00A84A72">
        <w:rPr>
          <w:color w:val="000000"/>
          <w:szCs w:val="24"/>
        </w:rPr>
        <w:t xml:space="preserve">applying State enacted law </w:t>
      </w:r>
      <w:r w:rsidR="00DD78C1">
        <w:rPr>
          <w:color w:val="000000"/>
          <w:szCs w:val="24"/>
        </w:rPr>
        <w:t>was characterised as an interference by a public authority</w:t>
      </w:r>
      <w:r w:rsidR="00A84A72">
        <w:rPr>
          <w:rStyle w:val="FootnoteReference"/>
          <w:color w:val="000000"/>
          <w:szCs w:val="24"/>
        </w:rPr>
        <w:footnoteReference w:id="112"/>
      </w:r>
      <w:r w:rsidR="00DD78C1">
        <w:rPr>
          <w:color w:val="000000"/>
          <w:szCs w:val="24"/>
        </w:rPr>
        <w:t xml:space="preserve"> and f</w:t>
      </w:r>
      <w:r w:rsidR="00F726ED">
        <w:rPr>
          <w:color w:val="000000"/>
          <w:szCs w:val="24"/>
        </w:rPr>
        <w:t xml:space="preserve">ollowing </w:t>
      </w:r>
      <w:r w:rsidR="00F726ED">
        <w:rPr>
          <w:i/>
          <w:color w:val="000000"/>
          <w:szCs w:val="24"/>
        </w:rPr>
        <w:t>Pal &amp; Puncemau v Andorra</w:t>
      </w:r>
      <w:r w:rsidR="00795E14">
        <w:rPr>
          <w:i/>
          <w:color w:val="000000"/>
          <w:szCs w:val="24"/>
        </w:rPr>
        <w:t xml:space="preserve"> </w:t>
      </w:r>
      <w:r w:rsidR="00795E14">
        <w:rPr>
          <w:color w:val="000000"/>
          <w:szCs w:val="24"/>
        </w:rPr>
        <w:t>they stated</w:t>
      </w:r>
      <w:r w:rsidR="00F726ED">
        <w:rPr>
          <w:color w:val="000000"/>
          <w:szCs w:val="24"/>
        </w:rPr>
        <w:t>:</w:t>
      </w:r>
      <w:r w:rsidR="00F726ED" w:rsidRPr="009E42DD">
        <w:rPr>
          <w:rStyle w:val="FootnoteReference"/>
          <w:color w:val="000000"/>
          <w:szCs w:val="24"/>
        </w:rPr>
        <w:footnoteReference w:id="113"/>
      </w:r>
    </w:p>
    <w:p w14:paraId="405502ED" w14:textId="77777777" w:rsidR="00F726ED" w:rsidRDefault="00F726ED" w:rsidP="00F726ED">
      <w:pPr>
        <w:autoSpaceDE w:val="0"/>
        <w:autoSpaceDN w:val="0"/>
        <w:adjustRightInd w:val="0"/>
        <w:spacing w:after="0" w:line="360" w:lineRule="auto"/>
        <w:rPr>
          <w:color w:val="000000"/>
          <w:szCs w:val="24"/>
        </w:rPr>
      </w:pPr>
    </w:p>
    <w:p w14:paraId="185E1624" w14:textId="77777777" w:rsidR="00F726ED" w:rsidRPr="00057373" w:rsidRDefault="00F726ED" w:rsidP="00F726ED">
      <w:pPr>
        <w:autoSpaceDE w:val="0"/>
        <w:autoSpaceDN w:val="0"/>
        <w:adjustRightInd w:val="0"/>
        <w:spacing w:after="0" w:line="360" w:lineRule="auto"/>
        <w:ind w:left="720"/>
        <w:rPr>
          <w:color w:val="000000"/>
          <w:szCs w:val="24"/>
        </w:rPr>
      </w:pPr>
      <w:r>
        <w:rPr>
          <w:color w:val="000000"/>
          <w:szCs w:val="24"/>
        </w:rPr>
        <w:t xml:space="preserve"> </w:t>
      </w:r>
      <w:r>
        <w:rPr>
          <w:rStyle w:val="sb8d990e2"/>
        </w:rPr>
        <w:t>Admittedly, the Court is not in theory required to settle disputes of a purely private nature. That being said, in exercising the European supervision incumbent on it, it cannot remain passive where a national court's interpretation of a legal act, be it a testamentary disposition, a private contract, a public document, a statutory provision or an administrative practice appears unreasonable, arbitrary, discriminatory or, more broadly, inconsistent with the principles underlying the Convention.</w:t>
      </w:r>
      <w:r>
        <w:rPr>
          <w:rStyle w:val="FootnoteReference"/>
        </w:rPr>
        <w:footnoteReference w:id="114"/>
      </w:r>
    </w:p>
    <w:p w14:paraId="108C42BF" w14:textId="77777777" w:rsidR="00FD1F7B" w:rsidRDefault="00FD1F7B" w:rsidP="00FD1F7B">
      <w:pPr>
        <w:autoSpaceDE w:val="0"/>
        <w:autoSpaceDN w:val="0"/>
        <w:adjustRightInd w:val="0"/>
        <w:spacing w:after="0" w:line="360" w:lineRule="auto"/>
        <w:rPr>
          <w:color w:val="000000"/>
          <w:szCs w:val="24"/>
        </w:rPr>
      </w:pPr>
    </w:p>
    <w:p w14:paraId="6FE95D58" w14:textId="7120BDA1" w:rsidR="00FD1F7B" w:rsidRDefault="00FD1F7B" w:rsidP="00FD1F7B">
      <w:pPr>
        <w:autoSpaceDE w:val="0"/>
        <w:autoSpaceDN w:val="0"/>
        <w:adjustRightInd w:val="0"/>
        <w:spacing w:after="0" w:line="360" w:lineRule="auto"/>
        <w:rPr>
          <w:color w:val="000000"/>
          <w:szCs w:val="24"/>
        </w:rPr>
      </w:pPr>
      <w:r>
        <w:rPr>
          <w:color w:val="000000"/>
          <w:szCs w:val="24"/>
        </w:rPr>
        <w:t xml:space="preserve">The domestic court, in balancing the </w:t>
      </w:r>
      <w:r w:rsidR="003E4F8D">
        <w:rPr>
          <w:color w:val="000000"/>
          <w:szCs w:val="24"/>
        </w:rPr>
        <w:t>competing Convention rights of</w:t>
      </w:r>
      <w:r w:rsidR="00A120F6">
        <w:rPr>
          <w:color w:val="000000"/>
          <w:szCs w:val="24"/>
        </w:rPr>
        <w:t xml:space="preserve"> the</w:t>
      </w:r>
      <w:r w:rsidR="003E4F8D">
        <w:rPr>
          <w:color w:val="000000"/>
          <w:szCs w:val="24"/>
        </w:rPr>
        <w:t xml:space="preserve"> landlord and the lessee</w:t>
      </w:r>
      <w:r>
        <w:rPr>
          <w:color w:val="000000"/>
          <w:szCs w:val="24"/>
        </w:rPr>
        <w:t xml:space="preserve">, had failed to apply the appropriate standards by paying insufficient attention to the impact on the victim’s Convention rights and personal circumstances. </w:t>
      </w:r>
      <w:r>
        <w:rPr>
          <w:rStyle w:val="FootnoteReference"/>
          <w:color w:val="000000"/>
          <w:szCs w:val="24"/>
        </w:rPr>
        <w:footnoteReference w:id="115"/>
      </w:r>
      <w:r>
        <w:rPr>
          <w:color w:val="000000"/>
          <w:szCs w:val="24"/>
        </w:rPr>
        <w:t xml:space="preserve"> </w:t>
      </w:r>
    </w:p>
    <w:p w14:paraId="223DC050" w14:textId="77777777" w:rsidR="00466567" w:rsidRDefault="00466567" w:rsidP="00AB53C1">
      <w:pPr>
        <w:autoSpaceDE w:val="0"/>
        <w:autoSpaceDN w:val="0"/>
        <w:adjustRightInd w:val="0"/>
        <w:spacing w:after="0" w:line="480" w:lineRule="auto"/>
        <w:rPr>
          <w:color w:val="000000"/>
          <w:szCs w:val="24"/>
        </w:rPr>
      </w:pPr>
    </w:p>
    <w:p w14:paraId="28F4F203" w14:textId="317CF7DE" w:rsidR="00102045" w:rsidRDefault="004D14D9" w:rsidP="00252BEB">
      <w:pPr>
        <w:autoSpaceDE w:val="0"/>
        <w:autoSpaceDN w:val="0"/>
        <w:adjustRightInd w:val="0"/>
        <w:spacing w:after="0" w:line="360" w:lineRule="auto"/>
        <w:rPr>
          <w:color w:val="000000"/>
          <w:szCs w:val="24"/>
        </w:rPr>
      </w:pPr>
      <w:r>
        <w:rPr>
          <w:color w:val="000000"/>
          <w:szCs w:val="24"/>
        </w:rPr>
        <w:t>The Supreme Court w</w:t>
      </w:r>
      <w:r w:rsidR="00B73038">
        <w:rPr>
          <w:color w:val="000000"/>
          <w:szCs w:val="24"/>
        </w:rPr>
        <w:t>as</w:t>
      </w:r>
      <w:r>
        <w:rPr>
          <w:color w:val="000000"/>
          <w:szCs w:val="24"/>
        </w:rPr>
        <w:t xml:space="preserve"> not quite so emphatic in </w:t>
      </w:r>
      <w:r>
        <w:rPr>
          <w:i/>
          <w:color w:val="000000"/>
          <w:szCs w:val="24"/>
        </w:rPr>
        <w:t>McDonald</w:t>
      </w:r>
      <w:r w:rsidR="00B36014">
        <w:rPr>
          <w:color w:val="000000"/>
          <w:szCs w:val="24"/>
        </w:rPr>
        <w:t>,</w:t>
      </w:r>
      <w:r>
        <w:rPr>
          <w:i/>
          <w:color w:val="000000"/>
          <w:szCs w:val="24"/>
        </w:rPr>
        <w:t xml:space="preserve"> </w:t>
      </w:r>
      <w:r>
        <w:rPr>
          <w:color w:val="000000"/>
          <w:szCs w:val="24"/>
        </w:rPr>
        <w:t xml:space="preserve">stating that repossession ‘may well engage’ </w:t>
      </w:r>
      <w:r w:rsidR="00B36014">
        <w:rPr>
          <w:color w:val="000000"/>
          <w:szCs w:val="24"/>
        </w:rPr>
        <w:t>a</w:t>
      </w:r>
      <w:r>
        <w:rPr>
          <w:color w:val="000000"/>
          <w:szCs w:val="24"/>
        </w:rPr>
        <w:t>rticle 8.</w:t>
      </w:r>
      <w:r w:rsidR="00B73038">
        <w:rPr>
          <w:rStyle w:val="FootnoteReference"/>
          <w:color w:val="000000"/>
          <w:szCs w:val="24"/>
        </w:rPr>
        <w:footnoteReference w:id="116"/>
      </w:r>
      <w:r w:rsidR="00522476">
        <w:rPr>
          <w:color w:val="000000"/>
          <w:szCs w:val="24"/>
        </w:rPr>
        <w:t xml:space="preserve"> Perhaps picking up from this </w:t>
      </w:r>
      <w:r w:rsidR="00B36014">
        <w:rPr>
          <w:color w:val="000000"/>
          <w:szCs w:val="24"/>
        </w:rPr>
        <w:t xml:space="preserve">cue </w:t>
      </w:r>
      <w:r w:rsidR="00522476">
        <w:rPr>
          <w:color w:val="000000"/>
          <w:szCs w:val="24"/>
        </w:rPr>
        <w:t xml:space="preserve">the Court of Appeal in </w:t>
      </w:r>
      <w:r w:rsidR="00F8464E" w:rsidRPr="00442399">
        <w:rPr>
          <w:i/>
          <w:color w:val="000000"/>
          <w:szCs w:val="24"/>
        </w:rPr>
        <w:t>Stewart v Watts</w:t>
      </w:r>
      <w:r w:rsidR="00522476" w:rsidRPr="00EA4AB9">
        <w:rPr>
          <w:rStyle w:val="FootnoteReference"/>
          <w:color w:val="000000"/>
          <w:szCs w:val="24"/>
        </w:rPr>
        <w:footnoteReference w:id="117"/>
      </w:r>
      <w:r w:rsidR="00522476">
        <w:rPr>
          <w:color w:val="000000"/>
          <w:szCs w:val="24"/>
        </w:rPr>
        <w:t xml:space="preserve"> went </w:t>
      </w:r>
      <w:r w:rsidR="00B36014">
        <w:rPr>
          <w:color w:val="000000"/>
          <w:szCs w:val="24"/>
        </w:rPr>
        <w:t>s</w:t>
      </w:r>
      <w:r w:rsidR="00522476">
        <w:rPr>
          <w:color w:val="000000"/>
          <w:szCs w:val="24"/>
        </w:rPr>
        <w:t>o far as to say</w:t>
      </w:r>
      <w:r w:rsidR="008B3B9B">
        <w:rPr>
          <w:color w:val="000000"/>
          <w:szCs w:val="24"/>
        </w:rPr>
        <w:t xml:space="preserve"> that</w:t>
      </w:r>
      <w:r w:rsidR="00522476">
        <w:rPr>
          <w:color w:val="000000"/>
          <w:szCs w:val="24"/>
        </w:rPr>
        <w:t xml:space="preserve"> it “remains unclear” whether repossession engages </w:t>
      </w:r>
      <w:r w:rsidR="00B36014">
        <w:rPr>
          <w:color w:val="000000"/>
          <w:szCs w:val="24"/>
        </w:rPr>
        <w:t>a</w:t>
      </w:r>
      <w:r w:rsidR="00522476">
        <w:rPr>
          <w:color w:val="000000"/>
          <w:szCs w:val="24"/>
        </w:rPr>
        <w:t>rticle 8.</w:t>
      </w:r>
      <w:r w:rsidR="008739EA">
        <w:rPr>
          <w:color w:val="000000"/>
          <w:szCs w:val="24"/>
        </w:rPr>
        <w:t xml:space="preserve"> The </w:t>
      </w:r>
      <w:r w:rsidR="004F3C8C">
        <w:rPr>
          <w:color w:val="000000"/>
          <w:szCs w:val="24"/>
        </w:rPr>
        <w:t>retreat</w:t>
      </w:r>
      <w:r w:rsidR="008B3B9B">
        <w:rPr>
          <w:color w:val="000000"/>
          <w:szCs w:val="24"/>
        </w:rPr>
        <w:t xml:space="preserve"> </w:t>
      </w:r>
      <w:r w:rsidR="008739EA">
        <w:rPr>
          <w:color w:val="000000"/>
          <w:szCs w:val="24"/>
        </w:rPr>
        <w:t xml:space="preserve">from the unequivocal opinions expressed by </w:t>
      </w:r>
      <w:r w:rsidR="00D413D5">
        <w:rPr>
          <w:color w:val="000000"/>
          <w:szCs w:val="24"/>
        </w:rPr>
        <w:t xml:space="preserve">the ECtHR </w:t>
      </w:r>
      <w:r w:rsidR="008739EA">
        <w:rPr>
          <w:color w:val="000000"/>
          <w:szCs w:val="24"/>
        </w:rPr>
        <w:t xml:space="preserve">may be explained by the realisation that, as night follows day, when </w:t>
      </w:r>
      <w:r w:rsidR="00B36014">
        <w:rPr>
          <w:color w:val="000000"/>
          <w:szCs w:val="24"/>
        </w:rPr>
        <w:t>a</w:t>
      </w:r>
      <w:r w:rsidR="008739EA">
        <w:rPr>
          <w:color w:val="000000"/>
          <w:szCs w:val="24"/>
        </w:rPr>
        <w:t xml:space="preserve">rticle 8 is engaged the correct reasoning is </w:t>
      </w:r>
      <w:r w:rsidR="000871E6">
        <w:rPr>
          <w:color w:val="000000"/>
          <w:szCs w:val="24"/>
        </w:rPr>
        <w:t xml:space="preserve">to </w:t>
      </w:r>
      <w:r w:rsidR="008D5BBA">
        <w:rPr>
          <w:color w:val="000000"/>
          <w:szCs w:val="24"/>
        </w:rPr>
        <w:t>consider</w:t>
      </w:r>
      <w:r w:rsidR="00006255">
        <w:rPr>
          <w:color w:val="000000"/>
          <w:szCs w:val="24"/>
        </w:rPr>
        <w:t xml:space="preserve"> </w:t>
      </w:r>
      <w:r w:rsidR="008739EA">
        <w:rPr>
          <w:color w:val="000000"/>
          <w:szCs w:val="24"/>
        </w:rPr>
        <w:t xml:space="preserve">whether the interference can be justified </w:t>
      </w:r>
      <w:r w:rsidR="004F3C8C">
        <w:rPr>
          <w:color w:val="000000"/>
          <w:szCs w:val="24"/>
        </w:rPr>
        <w:t>as a</w:t>
      </w:r>
      <w:r w:rsidR="008739EA">
        <w:rPr>
          <w:color w:val="000000"/>
          <w:szCs w:val="24"/>
        </w:rPr>
        <w:t xml:space="preserve"> proportionate means of achieving a pressing social need</w:t>
      </w:r>
      <w:r w:rsidR="00B36014">
        <w:rPr>
          <w:color w:val="000000"/>
          <w:szCs w:val="24"/>
        </w:rPr>
        <w:t>,</w:t>
      </w:r>
      <w:r w:rsidR="008739EA">
        <w:rPr>
          <w:color w:val="000000"/>
          <w:szCs w:val="24"/>
        </w:rPr>
        <w:t xml:space="preserve"> including </w:t>
      </w:r>
      <w:r w:rsidR="00F06AF8">
        <w:rPr>
          <w:color w:val="000000"/>
          <w:szCs w:val="24"/>
        </w:rPr>
        <w:t xml:space="preserve">protecting </w:t>
      </w:r>
      <w:r w:rsidR="008739EA">
        <w:rPr>
          <w:color w:val="000000"/>
          <w:szCs w:val="24"/>
        </w:rPr>
        <w:t>the rights of others</w:t>
      </w:r>
      <w:r w:rsidR="008D5BBA">
        <w:rPr>
          <w:color w:val="000000"/>
          <w:szCs w:val="24"/>
        </w:rPr>
        <w:t>,</w:t>
      </w:r>
      <w:r w:rsidR="008739EA">
        <w:rPr>
          <w:color w:val="000000"/>
          <w:szCs w:val="24"/>
        </w:rPr>
        <w:t xml:space="preserve"> ie the landlord.  </w:t>
      </w:r>
      <w:r w:rsidR="00DF05CF">
        <w:rPr>
          <w:color w:val="000000"/>
          <w:szCs w:val="24"/>
        </w:rPr>
        <w:t>Critical to this</w:t>
      </w:r>
      <w:r w:rsidR="00F06AF8">
        <w:rPr>
          <w:color w:val="000000"/>
          <w:szCs w:val="24"/>
        </w:rPr>
        <w:t xml:space="preserve"> issue </w:t>
      </w:r>
      <w:r w:rsidR="00DF05CF">
        <w:rPr>
          <w:color w:val="000000"/>
          <w:szCs w:val="24"/>
        </w:rPr>
        <w:t>is process</w:t>
      </w:r>
      <w:r w:rsidR="00B36014">
        <w:rPr>
          <w:color w:val="000000"/>
          <w:szCs w:val="24"/>
        </w:rPr>
        <w:t>:</w:t>
      </w:r>
      <w:r w:rsidR="00F06AF8">
        <w:rPr>
          <w:color w:val="000000"/>
          <w:szCs w:val="24"/>
        </w:rPr>
        <w:t xml:space="preserve"> who makes that judg</w:t>
      </w:r>
      <w:r w:rsidR="004F3C8C">
        <w:rPr>
          <w:color w:val="000000"/>
          <w:szCs w:val="24"/>
        </w:rPr>
        <w:t>e</w:t>
      </w:r>
      <w:r w:rsidR="00F06AF8">
        <w:rPr>
          <w:color w:val="000000"/>
          <w:szCs w:val="24"/>
        </w:rPr>
        <w:t xml:space="preserve">ment and how should </w:t>
      </w:r>
      <w:r w:rsidR="00832C51">
        <w:rPr>
          <w:color w:val="000000"/>
          <w:szCs w:val="24"/>
        </w:rPr>
        <w:t xml:space="preserve">they </w:t>
      </w:r>
      <w:r w:rsidR="00F06AF8">
        <w:rPr>
          <w:color w:val="000000"/>
          <w:szCs w:val="24"/>
        </w:rPr>
        <w:t>do so</w:t>
      </w:r>
      <w:r w:rsidR="00EA4AB9">
        <w:rPr>
          <w:color w:val="000000"/>
          <w:szCs w:val="24"/>
        </w:rPr>
        <w:t>?</w:t>
      </w:r>
      <w:r w:rsidR="00015816">
        <w:rPr>
          <w:color w:val="000000"/>
          <w:szCs w:val="24"/>
        </w:rPr>
        <w:t xml:space="preserve"> </w:t>
      </w:r>
      <w:r w:rsidR="00F06AF8">
        <w:rPr>
          <w:color w:val="000000"/>
          <w:szCs w:val="24"/>
        </w:rPr>
        <w:t xml:space="preserve"> </w:t>
      </w:r>
    </w:p>
    <w:p w14:paraId="70F38C0D" w14:textId="77777777" w:rsidR="00102045" w:rsidRDefault="00102045" w:rsidP="005D235B">
      <w:pPr>
        <w:autoSpaceDE w:val="0"/>
        <w:autoSpaceDN w:val="0"/>
        <w:adjustRightInd w:val="0"/>
        <w:spacing w:after="0" w:line="360" w:lineRule="auto"/>
        <w:rPr>
          <w:color w:val="000000"/>
          <w:szCs w:val="24"/>
        </w:rPr>
      </w:pPr>
    </w:p>
    <w:p w14:paraId="716282B3" w14:textId="0B28D798" w:rsidR="00363736" w:rsidRDefault="00CF7D1F" w:rsidP="005D235B">
      <w:pPr>
        <w:spacing w:line="360" w:lineRule="auto"/>
        <w:rPr>
          <w:color w:val="000000"/>
          <w:szCs w:val="24"/>
        </w:rPr>
      </w:pPr>
      <w:r>
        <w:rPr>
          <w:color w:val="000000"/>
          <w:szCs w:val="24"/>
        </w:rPr>
        <w:t>Both t</w:t>
      </w:r>
      <w:r w:rsidR="00102045">
        <w:rPr>
          <w:color w:val="000000"/>
          <w:szCs w:val="24"/>
        </w:rPr>
        <w:t xml:space="preserve">he Supreme Court </w:t>
      </w:r>
      <w:r>
        <w:rPr>
          <w:color w:val="000000"/>
          <w:szCs w:val="24"/>
        </w:rPr>
        <w:t xml:space="preserve">and the ECtHR </w:t>
      </w:r>
      <w:r w:rsidR="00491760">
        <w:rPr>
          <w:color w:val="000000"/>
          <w:szCs w:val="24"/>
        </w:rPr>
        <w:t>identif</w:t>
      </w:r>
      <w:r>
        <w:rPr>
          <w:color w:val="000000"/>
          <w:szCs w:val="24"/>
        </w:rPr>
        <w:t>y</w:t>
      </w:r>
      <w:r w:rsidR="00491760">
        <w:rPr>
          <w:color w:val="000000"/>
          <w:szCs w:val="24"/>
        </w:rPr>
        <w:t xml:space="preserve"> it as </w:t>
      </w:r>
      <w:r w:rsidR="00B16533">
        <w:rPr>
          <w:color w:val="000000"/>
          <w:szCs w:val="24"/>
        </w:rPr>
        <w:t>a</w:t>
      </w:r>
      <w:r w:rsidR="00491760">
        <w:rPr>
          <w:color w:val="000000"/>
          <w:szCs w:val="24"/>
        </w:rPr>
        <w:t>n exclusively</w:t>
      </w:r>
      <w:r w:rsidR="00B16533">
        <w:rPr>
          <w:color w:val="000000"/>
          <w:szCs w:val="24"/>
        </w:rPr>
        <w:t xml:space="preserve"> parliamentary function and</w:t>
      </w:r>
      <w:r w:rsidR="00491760">
        <w:rPr>
          <w:color w:val="000000"/>
          <w:szCs w:val="24"/>
        </w:rPr>
        <w:t xml:space="preserve"> that</w:t>
      </w:r>
      <w:r w:rsidR="00B07500">
        <w:rPr>
          <w:color w:val="000000"/>
          <w:szCs w:val="24"/>
        </w:rPr>
        <w:t xml:space="preserve"> </w:t>
      </w:r>
      <w:r w:rsidR="00B16533">
        <w:rPr>
          <w:color w:val="000000"/>
          <w:szCs w:val="24"/>
        </w:rPr>
        <w:t>s</w:t>
      </w:r>
      <w:r w:rsidR="00892305">
        <w:rPr>
          <w:color w:val="000000"/>
          <w:szCs w:val="24"/>
        </w:rPr>
        <w:t xml:space="preserve">imply by enacting section 21 of the Housing Act 1988 </w:t>
      </w:r>
      <w:r w:rsidR="00491760">
        <w:rPr>
          <w:color w:val="000000"/>
          <w:szCs w:val="24"/>
        </w:rPr>
        <w:t>– and not subsequently amending it – P</w:t>
      </w:r>
      <w:r w:rsidR="00B16533">
        <w:rPr>
          <w:color w:val="000000"/>
          <w:szCs w:val="24"/>
        </w:rPr>
        <w:t xml:space="preserve">arliament has </w:t>
      </w:r>
      <w:r w:rsidR="00491760">
        <w:rPr>
          <w:color w:val="000000"/>
          <w:szCs w:val="24"/>
        </w:rPr>
        <w:t>demonstrated proportionality</w:t>
      </w:r>
      <w:r>
        <w:rPr>
          <w:color w:val="000000"/>
          <w:szCs w:val="24"/>
        </w:rPr>
        <w:t xml:space="preserve"> by effectively balancing the Convention rights of the respective private parties</w:t>
      </w:r>
      <w:r w:rsidR="00EC3279">
        <w:rPr>
          <w:color w:val="000000"/>
          <w:szCs w:val="24"/>
        </w:rPr>
        <w:t>.</w:t>
      </w:r>
      <w:r>
        <w:rPr>
          <w:color w:val="000000"/>
          <w:szCs w:val="24"/>
        </w:rPr>
        <w:t xml:space="preserve"> There is thus no automatic right of a private tenant to challenge the court order as disproportionate in the light of their particular circumstances.</w:t>
      </w:r>
      <w:r w:rsidR="00BB6384">
        <w:rPr>
          <w:rStyle w:val="FootnoteReference"/>
          <w:color w:val="000000"/>
          <w:szCs w:val="24"/>
        </w:rPr>
        <w:footnoteReference w:id="118"/>
      </w:r>
      <w:bookmarkEnd w:id="15"/>
      <w:r w:rsidR="00200D7C">
        <w:rPr>
          <w:color w:val="000000"/>
          <w:szCs w:val="24"/>
        </w:rPr>
        <w:t xml:space="preserve">  </w:t>
      </w:r>
      <w:r w:rsidR="00940ECD">
        <w:rPr>
          <w:color w:val="000000"/>
          <w:szCs w:val="24"/>
        </w:rPr>
        <w:t>T</w:t>
      </w:r>
      <w:r w:rsidR="00363736">
        <w:rPr>
          <w:color w:val="000000"/>
          <w:szCs w:val="24"/>
        </w:rPr>
        <w:t xml:space="preserve">his rejection of procedural horizontality </w:t>
      </w:r>
      <w:r w:rsidR="00940ECD">
        <w:rPr>
          <w:color w:val="000000"/>
          <w:szCs w:val="24"/>
        </w:rPr>
        <w:t>was justified on two grounds</w:t>
      </w:r>
      <w:r w:rsidR="00A120F6">
        <w:rPr>
          <w:color w:val="000000"/>
          <w:szCs w:val="24"/>
        </w:rPr>
        <w:t>:</w:t>
      </w:r>
      <w:r w:rsidR="001A1238">
        <w:rPr>
          <w:color w:val="000000"/>
          <w:szCs w:val="24"/>
        </w:rPr>
        <w:t xml:space="preserve"> </w:t>
      </w:r>
      <w:r w:rsidR="00862E6B">
        <w:rPr>
          <w:color w:val="000000"/>
          <w:szCs w:val="24"/>
        </w:rPr>
        <w:t xml:space="preserve">first </w:t>
      </w:r>
      <w:r w:rsidR="00B03243">
        <w:rPr>
          <w:color w:val="000000"/>
          <w:szCs w:val="24"/>
        </w:rPr>
        <w:t>to avoid any unintended interference with privately negotiated rights</w:t>
      </w:r>
      <w:r w:rsidR="001A1238">
        <w:rPr>
          <w:color w:val="000000"/>
          <w:szCs w:val="24"/>
        </w:rPr>
        <w:t>;</w:t>
      </w:r>
      <w:r w:rsidR="00B03243">
        <w:rPr>
          <w:color w:val="000000"/>
          <w:szCs w:val="24"/>
        </w:rPr>
        <w:t xml:space="preserve"> and secondly </w:t>
      </w:r>
      <w:r w:rsidR="00363736">
        <w:rPr>
          <w:color w:val="000000"/>
          <w:szCs w:val="24"/>
        </w:rPr>
        <w:t xml:space="preserve">to </w:t>
      </w:r>
      <w:r w:rsidR="009F3DF4">
        <w:rPr>
          <w:color w:val="000000"/>
          <w:szCs w:val="24"/>
        </w:rPr>
        <w:t xml:space="preserve">respect </w:t>
      </w:r>
      <w:r w:rsidR="00363736">
        <w:rPr>
          <w:color w:val="000000"/>
          <w:szCs w:val="24"/>
        </w:rPr>
        <w:t>the constitutional separation of power between the legislature and judiciary.</w:t>
      </w:r>
      <w:r w:rsidR="00856028">
        <w:rPr>
          <w:rStyle w:val="FootnoteReference"/>
          <w:color w:val="000000"/>
          <w:szCs w:val="24"/>
        </w:rPr>
        <w:footnoteReference w:id="119"/>
      </w:r>
    </w:p>
    <w:p w14:paraId="6B077B31" w14:textId="77777777" w:rsidR="001A1238" w:rsidRDefault="001A1238" w:rsidP="005D235B">
      <w:pPr>
        <w:spacing w:line="360" w:lineRule="auto"/>
        <w:rPr>
          <w:color w:val="000000"/>
          <w:szCs w:val="24"/>
        </w:rPr>
      </w:pPr>
    </w:p>
    <w:p w14:paraId="2A715B83" w14:textId="0E62BA4C" w:rsidR="007A0796" w:rsidRDefault="00F76CD4" w:rsidP="007A0796">
      <w:pPr>
        <w:autoSpaceDE w:val="0"/>
        <w:autoSpaceDN w:val="0"/>
        <w:adjustRightInd w:val="0"/>
        <w:spacing w:after="0" w:line="360" w:lineRule="auto"/>
        <w:rPr>
          <w:color w:val="000000"/>
          <w:szCs w:val="24"/>
        </w:rPr>
      </w:pPr>
      <w:r>
        <w:rPr>
          <w:color w:val="000000"/>
        </w:rPr>
        <w:t xml:space="preserve">The </w:t>
      </w:r>
      <w:r w:rsidR="00DE3144">
        <w:rPr>
          <w:color w:val="000000"/>
        </w:rPr>
        <w:t xml:space="preserve">ECtHR </w:t>
      </w:r>
      <w:r>
        <w:rPr>
          <w:color w:val="000000"/>
        </w:rPr>
        <w:t>relied heavily on the case of</w:t>
      </w:r>
      <w:r w:rsidR="007A0796">
        <w:rPr>
          <w:color w:val="000000"/>
        </w:rPr>
        <w:t xml:space="preserve"> </w:t>
      </w:r>
      <w:r w:rsidR="007A0796">
        <w:rPr>
          <w:i/>
          <w:color w:val="000000"/>
        </w:rPr>
        <w:t>Vrzic v Croatia</w:t>
      </w:r>
      <w:r w:rsidR="007A0796" w:rsidRPr="004C4B78">
        <w:rPr>
          <w:rStyle w:val="FootnoteReference"/>
          <w:color w:val="000000"/>
        </w:rPr>
        <w:footnoteReference w:id="120"/>
      </w:r>
      <w:r w:rsidR="007A0796">
        <w:rPr>
          <w:i/>
          <w:color w:val="000000"/>
        </w:rPr>
        <w:t xml:space="preserve"> </w:t>
      </w:r>
      <w:r>
        <w:rPr>
          <w:color w:val="000000"/>
        </w:rPr>
        <w:t>which</w:t>
      </w:r>
      <w:r w:rsidR="007A0796">
        <w:rPr>
          <w:color w:val="000000"/>
        </w:rPr>
        <w:t xml:space="preserve"> concerned the judicial sale of the Vrzic’s house to recover mortgage arrears</w:t>
      </w:r>
      <w:r w:rsidR="00940ECD">
        <w:rPr>
          <w:color w:val="000000"/>
        </w:rPr>
        <w:t>.</w:t>
      </w:r>
      <w:r w:rsidR="007A0796">
        <w:rPr>
          <w:color w:val="000000"/>
        </w:rPr>
        <w:t xml:space="preserve"> Having declared the complaint admissible, the court accepted the proportionality of these alleged violations by emphasising the voluntary contractual basis of the mortgage and attendant assumption of risk. The Vrzics knew and accepted that if they did not repay the loan their house could be sold.</w:t>
      </w:r>
      <w:r w:rsidR="007A0796">
        <w:rPr>
          <w:rStyle w:val="FootnoteReference"/>
          <w:color w:val="000000"/>
        </w:rPr>
        <w:footnoteReference w:id="121"/>
      </w:r>
      <w:r w:rsidR="007A0796">
        <w:rPr>
          <w:color w:val="000000"/>
        </w:rPr>
        <w:t xml:space="preserve"> Nor did the Vrzic’s take advantage of the available means to challenge the sale and accordingly “tacitly agreed to its sale in enforcement proceedings.”</w:t>
      </w:r>
      <w:r w:rsidR="007A0796">
        <w:rPr>
          <w:rStyle w:val="FootnoteReference"/>
          <w:color w:val="000000"/>
        </w:rPr>
        <w:footnoteReference w:id="122"/>
      </w:r>
      <w:r w:rsidR="007A0796" w:rsidRPr="003029E1">
        <w:rPr>
          <w:color w:val="000000"/>
          <w:szCs w:val="24"/>
        </w:rPr>
        <w:t xml:space="preserve"> </w:t>
      </w:r>
      <w:r w:rsidR="007A0796">
        <w:rPr>
          <w:color w:val="000000"/>
          <w:szCs w:val="24"/>
        </w:rPr>
        <w:t xml:space="preserve">Notably, the </w:t>
      </w:r>
      <w:r w:rsidR="00FC6D96">
        <w:rPr>
          <w:color w:val="000000"/>
          <w:szCs w:val="24"/>
        </w:rPr>
        <w:t>ECtHR</w:t>
      </w:r>
      <w:r w:rsidR="007A0796">
        <w:rPr>
          <w:color w:val="000000"/>
          <w:szCs w:val="24"/>
        </w:rPr>
        <w:t xml:space="preserve"> distinguished other repossession cases on the basis that those occupiers, unlike mortgagors, had not voluntarily assumed the risk of the mandatory grounds that triggered their eviction.</w:t>
      </w:r>
      <w:r w:rsidR="007A0796">
        <w:rPr>
          <w:rStyle w:val="FootnoteReference"/>
          <w:color w:val="000000"/>
          <w:szCs w:val="24"/>
        </w:rPr>
        <w:footnoteReference w:id="123"/>
      </w:r>
      <w:r w:rsidR="007A0796">
        <w:rPr>
          <w:color w:val="000000"/>
          <w:szCs w:val="24"/>
        </w:rPr>
        <w:t xml:space="preserve"> </w:t>
      </w:r>
      <w:r w:rsidR="008747F5">
        <w:rPr>
          <w:color w:val="000000"/>
          <w:szCs w:val="24"/>
        </w:rPr>
        <w:t>Crucially, however, t</w:t>
      </w:r>
      <w:r w:rsidR="00516F71">
        <w:rPr>
          <w:color w:val="000000"/>
          <w:szCs w:val="24"/>
        </w:rPr>
        <w:t>he court failed to recognise that for some tenants, including Fiona McDonald, the voluntariness of the AST is illusory.</w:t>
      </w:r>
    </w:p>
    <w:p w14:paraId="1357077B" w14:textId="77777777" w:rsidR="000C0B91" w:rsidRDefault="000C0B91" w:rsidP="005D235B">
      <w:pPr>
        <w:spacing w:line="360" w:lineRule="auto"/>
        <w:rPr>
          <w:color w:val="000000"/>
          <w:szCs w:val="24"/>
        </w:rPr>
      </w:pPr>
    </w:p>
    <w:p w14:paraId="18968953" w14:textId="1EFA235D" w:rsidR="003B1BDF" w:rsidRDefault="000C0B91" w:rsidP="005D235B">
      <w:pPr>
        <w:spacing w:line="360" w:lineRule="auto"/>
        <w:rPr>
          <w:color w:val="000000"/>
          <w:szCs w:val="24"/>
        </w:rPr>
      </w:pPr>
      <w:r>
        <w:rPr>
          <w:color w:val="000000"/>
          <w:szCs w:val="24"/>
        </w:rPr>
        <w:t>The</w:t>
      </w:r>
      <w:r w:rsidR="00862E6B">
        <w:rPr>
          <w:color w:val="000000"/>
          <w:szCs w:val="24"/>
        </w:rPr>
        <w:t xml:space="preserve"> constitutional</w:t>
      </w:r>
      <w:r w:rsidR="00491760" w:rsidRPr="00491760">
        <w:rPr>
          <w:color w:val="000000"/>
          <w:szCs w:val="24"/>
        </w:rPr>
        <w:t xml:space="preserve"> </w:t>
      </w:r>
      <w:r w:rsidR="00491760">
        <w:rPr>
          <w:color w:val="000000"/>
          <w:szCs w:val="24"/>
        </w:rPr>
        <w:t>stance</w:t>
      </w:r>
      <w:r>
        <w:rPr>
          <w:color w:val="000000"/>
          <w:szCs w:val="24"/>
        </w:rPr>
        <w:t xml:space="preserve"> of both the Supreme Court and the ECtHR</w:t>
      </w:r>
      <w:r w:rsidR="00722979">
        <w:rPr>
          <w:color w:val="000000"/>
          <w:szCs w:val="24"/>
        </w:rPr>
        <w:t xml:space="preserve"> </w:t>
      </w:r>
      <w:r w:rsidR="003B1BDF">
        <w:rPr>
          <w:color w:val="000000"/>
          <w:szCs w:val="24"/>
        </w:rPr>
        <w:t>reverts to</w:t>
      </w:r>
      <w:r w:rsidR="00252BEB">
        <w:rPr>
          <w:color w:val="000000"/>
          <w:szCs w:val="24"/>
        </w:rPr>
        <w:t xml:space="preserve"> </w:t>
      </w:r>
      <w:r w:rsidR="00EC3279">
        <w:rPr>
          <w:color w:val="000000"/>
        </w:rPr>
        <w:t>the position originally t</w:t>
      </w:r>
      <w:r w:rsidR="0044040E">
        <w:rPr>
          <w:color w:val="000000"/>
        </w:rPr>
        <w:t>a</w:t>
      </w:r>
      <w:r w:rsidR="00EC3279">
        <w:rPr>
          <w:color w:val="000000"/>
        </w:rPr>
        <w:t>k</w:t>
      </w:r>
      <w:r w:rsidR="0044040E">
        <w:rPr>
          <w:color w:val="000000"/>
        </w:rPr>
        <w:t>en</w:t>
      </w:r>
      <w:r w:rsidR="00EC3279">
        <w:rPr>
          <w:color w:val="000000"/>
        </w:rPr>
        <w:t xml:space="preserve"> </w:t>
      </w:r>
      <w:r w:rsidR="00252BEB">
        <w:rPr>
          <w:color w:val="000000"/>
        </w:rPr>
        <w:t xml:space="preserve">by the House of Lords </w:t>
      </w:r>
      <w:r w:rsidR="00197FD5">
        <w:rPr>
          <w:color w:val="000000"/>
        </w:rPr>
        <w:t>(</w:t>
      </w:r>
      <w:r w:rsidR="00B16533">
        <w:rPr>
          <w:color w:val="000000"/>
        </w:rPr>
        <w:t xml:space="preserve">and since </w:t>
      </w:r>
      <w:r w:rsidR="00197FD5">
        <w:rPr>
          <w:color w:val="000000"/>
        </w:rPr>
        <w:t xml:space="preserve">abandoned) </w:t>
      </w:r>
      <w:r w:rsidR="00EC3279">
        <w:rPr>
          <w:color w:val="000000"/>
        </w:rPr>
        <w:t>in relation to public sector tenancies</w:t>
      </w:r>
      <w:r w:rsidR="00862E6B" w:rsidRPr="00862E6B">
        <w:rPr>
          <w:color w:val="000000"/>
        </w:rPr>
        <w:t xml:space="preserve"> </w:t>
      </w:r>
      <w:r w:rsidR="00862E6B">
        <w:rPr>
          <w:color w:val="000000"/>
        </w:rPr>
        <w:t xml:space="preserve">in </w:t>
      </w:r>
      <w:r w:rsidR="00862E6B">
        <w:rPr>
          <w:i/>
          <w:color w:val="000000"/>
        </w:rPr>
        <w:t>Qazi v Harrow LBC</w:t>
      </w:r>
      <w:r w:rsidR="00862E6B">
        <w:rPr>
          <w:color w:val="000000"/>
        </w:rPr>
        <w:t>.</w:t>
      </w:r>
      <w:r w:rsidR="00862E6B">
        <w:rPr>
          <w:rStyle w:val="FootnoteReference"/>
          <w:color w:val="000000"/>
        </w:rPr>
        <w:footnoteReference w:id="124"/>
      </w:r>
      <w:r w:rsidR="00EC3279">
        <w:rPr>
          <w:color w:val="000000"/>
        </w:rPr>
        <w:t xml:space="preserve"> </w:t>
      </w:r>
      <w:r w:rsidR="00EC3279">
        <w:rPr>
          <w:color w:val="000000"/>
          <w:szCs w:val="24"/>
        </w:rPr>
        <w:t xml:space="preserve">This decision was subject to robust dissent by Lord Steyn, with whom Lord Bingham agreed, because </w:t>
      </w:r>
      <w:r w:rsidR="00EC3279">
        <w:rPr>
          <w:szCs w:val="24"/>
        </w:rPr>
        <w:t>“</w:t>
      </w:r>
      <w:r w:rsidR="00EC3279" w:rsidRPr="00755404">
        <w:rPr>
          <w:szCs w:val="24"/>
        </w:rPr>
        <w:t>it empties article 8(1) of any or virtually any meaningful content</w:t>
      </w:r>
      <w:r w:rsidR="00EC3279">
        <w:rPr>
          <w:szCs w:val="24"/>
        </w:rPr>
        <w:t xml:space="preserve"> …. The decision today </w:t>
      </w:r>
      <w:r w:rsidR="00EC3279" w:rsidRPr="00755404">
        <w:rPr>
          <w:szCs w:val="24"/>
        </w:rPr>
        <w:t>does not fit into the new landscape created by the Human Rights Act 1998</w:t>
      </w:r>
      <w:r w:rsidR="00EC3279">
        <w:rPr>
          <w:szCs w:val="24"/>
        </w:rPr>
        <w:t>”</w:t>
      </w:r>
      <w:r w:rsidR="00EC3279" w:rsidRPr="00755404">
        <w:rPr>
          <w:szCs w:val="24"/>
        </w:rPr>
        <w:t>.</w:t>
      </w:r>
      <w:r w:rsidR="00EC3279">
        <w:rPr>
          <w:rStyle w:val="FootnoteReference"/>
          <w:szCs w:val="24"/>
        </w:rPr>
        <w:footnoteReference w:id="125"/>
      </w:r>
      <w:r w:rsidR="00EC3279">
        <w:rPr>
          <w:szCs w:val="24"/>
        </w:rPr>
        <w:t xml:space="preserve"> </w:t>
      </w:r>
      <w:r w:rsidR="00EC3279">
        <w:rPr>
          <w:color w:val="000000"/>
          <w:szCs w:val="24"/>
        </w:rPr>
        <w:t xml:space="preserve">It is </w:t>
      </w:r>
      <w:r w:rsidR="006A5FF5">
        <w:rPr>
          <w:color w:val="000000"/>
          <w:szCs w:val="24"/>
        </w:rPr>
        <w:t>unsatisfactory</w:t>
      </w:r>
      <w:r w:rsidR="00D413D5">
        <w:rPr>
          <w:color w:val="000000"/>
          <w:szCs w:val="24"/>
        </w:rPr>
        <w:t xml:space="preserve"> </w:t>
      </w:r>
      <w:r w:rsidR="00EC3279">
        <w:rPr>
          <w:color w:val="000000"/>
          <w:szCs w:val="24"/>
        </w:rPr>
        <w:t>that th</w:t>
      </w:r>
      <w:r w:rsidR="00D413D5">
        <w:rPr>
          <w:color w:val="000000"/>
          <w:szCs w:val="24"/>
        </w:rPr>
        <w:t>is</w:t>
      </w:r>
      <w:r w:rsidR="00EC3279">
        <w:rPr>
          <w:color w:val="000000"/>
          <w:szCs w:val="24"/>
        </w:rPr>
        <w:t xml:space="preserve"> argument </w:t>
      </w:r>
      <w:r w:rsidR="00862E6B">
        <w:rPr>
          <w:color w:val="000000"/>
          <w:szCs w:val="24"/>
        </w:rPr>
        <w:t xml:space="preserve">has been resurrected </w:t>
      </w:r>
      <w:r w:rsidR="00EC3279">
        <w:rPr>
          <w:color w:val="000000"/>
          <w:szCs w:val="24"/>
        </w:rPr>
        <w:t xml:space="preserve">in </w:t>
      </w:r>
      <w:r w:rsidR="00C22706">
        <w:rPr>
          <w:color w:val="000000"/>
          <w:szCs w:val="24"/>
        </w:rPr>
        <w:t xml:space="preserve">respect of </w:t>
      </w:r>
      <w:r w:rsidR="00EC3279">
        <w:rPr>
          <w:color w:val="000000"/>
          <w:szCs w:val="24"/>
        </w:rPr>
        <w:t xml:space="preserve">private landlords. </w:t>
      </w:r>
      <w:r w:rsidR="00862E6B">
        <w:rPr>
          <w:color w:val="000000"/>
          <w:szCs w:val="24"/>
        </w:rPr>
        <w:t xml:space="preserve">There </w:t>
      </w:r>
      <w:r w:rsidR="00914B75">
        <w:rPr>
          <w:color w:val="000000"/>
          <w:szCs w:val="24"/>
        </w:rPr>
        <w:t xml:space="preserve">is </w:t>
      </w:r>
      <w:r w:rsidR="00862E6B">
        <w:rPr>
          <w:color w:val="000000"/>
          <w:szCs w:val="24"/>
        </w:rPr>
        <w:t>a</w:t>
      </w:r>
      <w:r w:rsidR="00914B75">
        <w:rPr>
          <w:color w:val="000000"/>
          <w:szCs w:val="24"/>
        </w:rPr>
        <w:t xml:space="preserve"> danger of </w:t>
      </w:r>
      <w:r w:rsidR="00862E6B">
        <w:rPr>
          <w:color w:val="000000"/>
          <w:szCs w:val="24"/>
        </w:rPr>
        <w:t xml:space="preserve">courts </w:t>
      </w:r>
      <w:r w:rsidR="00AD7735">
        <w:rPr>
          <w:color w:val="000000"/>
          <w:szCs w:val="24"/>
        </w:rPr>
        <w:t>mov</w:t>
      </w:r>
      <w:r w:rsidR="00C97772">
        <w:rPr>
          <w:color w:val="000000"/>
          <w:szCs w:val="24"/>
        </w:rPr>
        <w:t>ing</w:t>
      </w:r>
      <w:r w:rsidR="00AD7735">
        <w:rPr>
          <w:color w:val="000000"/>
          <w:szCs w:val="24"/>
        </w:rPr>
        <w:t xml:space="preserve"> beyond deference to abdicate </w:t>
      </w:r>
      <w:r w:rsidR="00862E6B">
        <w:rPr>
          <w:color w:val="000000"/>
          <w:szCs w:val="24"/>
        </w:rPr>
        <w:t>their</w:t>
      </w:r>
      <w:r w:rsidR="00AD7735">
        <w:rPr>
          <w:color w:val="000000"/>
          <w:szCs w:val="24"/>
        </w:rPr>
        <w:t xml:space="preserve"> responsibility </w:t>
      </w:r>
      <w:r w:rsidR="00914B75">
        <w:rPr>
          <w:color w:val="000000"/>
          <w:szCs w:val="24"/>
        </w:rPr>
        <w:t xml:space="preserve">to meaningfully assess </w:t>
      </w:r>
      <w:r w:rsidR="00862E6B">
        <w:rPr>
          <w:color w:val="000000"/>
          <w:szCs w:val="24"/>
        </w:rPr>
        <w:t>compliance with Convention norms</w:t>
      </w:r>
      <w:r w:rsidR="00914B75">
        <w:rPr>
          <w:color w:val="000000"/>
          <w:szCs w:val="24"/>
        </w:rPr>
        <w:t>.</w:t>
      </w:r>
      <w:r w:rsidR="006A5FF5">
        <w:rPr>
          <w:rStyle w:val="FootnoteReference"/>
          <w:color w:val="000000"/>
          <w:szCs w:val="24"/>
        </w:rPr>
        <w:footnoteReference w:id="126"/>
      </w:r>
      <w:r w:rsidR="008D63A4">
        <w:rPr>
          <w:color w:val="000000"/>
          <w:szCs w:val="24"/>
        </w:rPr>
        <w:t xml:space="preserve"> </w:t>
      </w:r>
      <w:r w:rsidR="003B1BDF">
        <w:rPr>
          <w:color w:val="000000"/>
        </w:rPr>
        <w:t>T</w:t>
      </w:r>
      <w:r w:rsidR="00862E6B">
        <w:rPr>
          <w:color w:val="000000"/>
        </w:rPr>
        <w:t xml:space="preserve">he court’s role </w:t>
      </w:r>
      <w:r w:rsidR="003B1BDF">
        <w:rPr>
          <w:color w:val="000000"/>
        </w:rPr>
        <w:t>then does become</w:t>
      </w:r>
      <w:r w:rsidR="00862E6B">
        <w:rPr>
          <w:color w:val="000000"/>
        </w:rPr>
        <w:t xml:space="preserve"> merely </w:t>
      </w:r>
      <w:r w:rsidR="00862E6B">
        <w:rPr>
          <w:color w:val="000000"/>
          <w:szCs w:val="24"/>
        </w:rPr>
        <w:t>“a forum for the determination of the civil dispute between the parties.”</w:t>
      </w:r>
      <w:r w:rsidR="00862E6B">
        <w:rPr>
          <w:rStyle w:val="FootnoteReference"/>
          <w:color w:val="000000"/>
          <w:szCs w:val="24"/>
        </w:rPr>
        <w:footnoteReference w:id="127"/>
      </w:r>
      <w:r w:rsidR="00862E6B">
        <w:rPr>
          <w:color w:val="000000"/>
          <w:szCs w:val="24"/>
        </w:rPr>
        <w:t xml:space="preserve"> </w:t>
      </w:r>
    </w:p>
    <w:p w14:paraId="14633E01" w14:textId="7C91A15D" w:rsidR="00414692" w:rsidRDefault="005E280F" w:rsidP="00414692">
      <w:pPr>
        <w:spacing w:line="360" w:lineRule="auto"/>
        <w:rPr>
          <w:color w:val="000000"/>
          <w:szCs w:val="24"/>
        </w:rPr>
      </w:pPr>
      <w:r>
        <w:rPr>
          <w:color w:val="000000"/>
          <w:szCs w:val="24"/>
        </w:rPr>
        <w:t>There</w:t>
      </w:r>
      <w:r w:rsidR="00414692">
        <w:rPr>
          <w:color w:val="000000"/>
          <w:szCs w:val="24"/>
        </w:rPr>
        <w:t xml:space="preserve"> seems  </w:t>
      </w:r>
      <w:r>
        <w:rPr>
          <w:color w:val="000000"/>
          <w:szCs w:val="24"/>
        </w:rPr>
        <w:t xml:space="preserve">to be </w:t>
      </w:r>
      <w:r w:rsidR="00414692">
        <w:rPr>
          <w:color w:val="000000"/>
          <w:szCs w:val="24"/>
        </w:rPr>
        <w:t>a clear judicial aversion to give substance to what respect for the home entails in the context of repossession proceedings.</w:t>
      </w:r>
      <w:r w:rsidR="00414692">
        <w:rPr>
          <w:rStyle w:val="FootnoteReference"/>
          <w:color w:val="000000"/>
          <w:szCs w:val="24"/>
        </w:rPr>
        <w:footnoteReference w:id="128"/>
      </w:r>
      <w:r w:rsidR="00414692">
        <w:rPr>
          <w:color w:val="000000"/>
          <w:szCs w:val="24"/>
        </w:rPr>
        <w:t xml:space="preserve">  Home is not defined by legal rights, whether derived from a public or private entity, but is rather constituted by ‘sufficient and continuing links’, of both a physical and psychological nature, that underpin the autonomy and dignity of the individual within the community in which they form part.</w:t>
      </w:r>
      <w:r w:rsidR="00414692">
        <w:rPr>
          <w:rStyle w:val="FootnoteReference"/>
          <w:color w:val="000000"/>
          <w:szCs w:val="24"/>
        </w:rPr>
        <w:footnoteReference w:id="129"/>
      </w:r>
      <w:r w:rsidR="00414692">
        <w:rPr>
          <w:color w:val="000000"/>
          <w:szCs w:val="24"/>
        </w:rPr>
        <w:t xml:space="preserve">  The necessity for the court to respect its institutional boundaries is uncontentious but resorting to an outdated public-private dichotomy to sustain the argument that repossession is justified because Parliament has said so is simply unacceptable. It leaves </w:t>
      </w:r>
      <w:r w:rsidR="00A120F6">
        <w:rPr>
          <w:color w:val="000000"/>
          <w:szCs w:val="24"/>
        </w:rPr>
        <w:t xml:space="preserve">those </w:t>
      </w:r>
      <w:r w:rsidR="00414692">
        <w:rPr>
          <w:color w:val="000000"/>
          <w:szCs w:val="24"/>
        </w:rPr>
        <w:t xml:space="preserve">tenants with no choice but to accept an AST with an empty article 8 right.   </w:t>
      </w:r>
    </w:p>
    <w:p w14:paraId="1636D153" w14:textId="77777777" w:rsidR="001A1238" w:rsidRDefault="001A1238" w:rsidP="00414692">
      <w:pPr>
        <w:spacing w:line="360" w:lineRule="auto"/>
        <w:rPr>
          <w:color w:val="000000"/>
          <w:szCs w:val="24"/>
        </w:rPr>
      </w:pPr>
    </w:p>
    <w:p w14:paraId="3E4E68FB" w14:textId="7BC37519" w:rsidR="00414692" w:rsidRDefault="00414692" w:rsidP="00414692">
      <w:pPr>
        <w:spacing w:line="360" w:lineRule="auto"/>
        <w:rPr>
          <w:color w:val="000000"/>
          <w:szCs w:val="24"/>
        </w:rPr>
      </w:pPr>
      <w:r>
        <w:rPr>
          <w:color w:val="000000"/>
          <w:szCs w:val="24"/>
        </w:rPr>
        <w:t>Kavanagh identifies the courts’ challenge as being “to work out the correct balance between legal certainty, stability and continuity … and equity and justice …”</w:t>
      </w:r>
      <w:r>
        <w:rPr>
          <w:rStyle w:val="FootnoteReference"/>
          <w:color w:val="000000"/>
          <w:szCs w:val="24"/>
        </w:rPr>
        <w:footnoteReference w:id="130"/>
      </w:r>
      <w:r>
        <w:rPr>
          <w:color w:val="000000"/>
          <w:szCs w:val="24"/>
        </w:rPr>
        <w:t xml:space="preserve">  The AST prioritises legal certainty of repossession above all other values and thus it could be argued that conceding to even the possibility of a proportionality assessment undermines its key policy objective. This same justification was made in respect of public sector tenancies until the eventual acknowledgment that sometimes the desirability for certainty of possession must cede to a tenant’s competing rights.</w:t>
      </w:r>
      <w:r>
        <w:rPr>
          <w:rStyle w:val="FootnoteReference"/>
          <w:color w:val="000000"/>
          <w:szCs w:val="24"/>
        </w:rPr>
        <w:footnoteReference w:id="131"/>
      </w:r>
      <w:r>
        <w:rPr>
          <w:color w:val="000000"/>
          <w:szCs w:val="24"/>
        </w:rPr>
        <w:t xml:space="preserve"> Consequently, the court’s bland assertion that “</w:t>
      </w:r>
      <w:r w:rsidRPr="007C6662">
        <w:rPr>
          <w:color w:val="000000"/>
          <w:szCs w:val="24"/>
        </w:rPr>
        <w:t>there will of course occasionally be hard cases</w:t>
      </w:r>
      <w:r>
        <w:rPr>
          <w:color w:val="000000"/>
          <w:szCs w:val="24"/>
        </w:rPr>
        <w:t>”</w:t>
      </w:r>
      <w:r>
        <w:rPr>
          <w:rStyle w:val="FootnoteReference"/>
          <w:color w:val="000000"/>
          <w:szCs w:val="24"/>
        </w:rPr>
        <w:footnoteReference w:id="132"/>
      </w:r>
      <w:r>
        <w:rPr>
          <w:color w:val="000000"/>
          <w:szCs w:val="24"/>
        </w:rPr>
        <w:t xml:space="preserve"> does disservice both to the court’s own responsibilities, as well as to AST tenants. It is our contention that, if respect for the home is to mean anything, it should </w:t>
      </w:r>
      <w:r w:rsidR="00FC6D96">
        <w:rPr>
          <w:color w:val="000000"/>
          <w:szCs w:val="24"/>
        </w:rPr>
        <w:t xml:space="preserve">embrace procedural horizontality and, </w:t>
      </w:r>
      <w:r>
        <w:rPr>
          <w:color w:val="000000"/>
          <w:szCs w:val="24"/>
        </w:rPr>
        <w:t>as a minimum</w:t>
      </w:r>
      <w:r w:rsidR="00FC6D96">
        <w:rPr>
          <w:color w:val="000000"/>
          <w:szCs w:val="24"/>
        </w:rPr>
        <w:t>,</w:t>
      </w:r>
      <w:r>
        <w:rPr>
          <w:color w:val="000000"/>
          <w:szCs w:val="24"/>
        </w:rPr>
        <w:t xml:space="preserve"> encapsulate procedural safeguards that require a court order and sufficient judicial discretion to consider the proportionality of any eviction.</w:t>
      </w:r>
      <w:r w:rsidR="00141F73">
        <w:rPr>
          <w:rStyle w:val="FootnoteReference"/>
          <w:color w:val="000000"/>
          <w:szCs w:val="24"/>
        </w:rPr>
        <w:footnoteReference w:id="133"/>
      </w:r>
      <w:r>
        <w:rPr>
          <w:color w:val="000000"/>
          <w:szCs w:val="24"/>
        </w:rPr>
        <w:t xml:space="preserve">  These measures would create a sufficiently flexible tool to accommodate the nuanced spectrum of the public and private within the diverse range of housing supply whilst striking an appropriate constitutional balance</w:t>
      </w:r>
      <w:r>
        <w:rPr>
          <w:rStyle w:val="FootnoteReference"/>
          <w:color w:val="000000"/>
          <w:szCs w:val="24"/>
        </w:rPr>
        <w:footnoteReference w:id="134"/>
      </w:r>
      <w:r>
        <w:rPr>
          <w:color w:val="000000"/>
          <w:szCs w:val="24"/>
        </w:rPr>
        <w:t xml:space="preserve">  </w:t>
      </w:r>
    </w:p>
    <w:p w14:paraId="6D57D5D5" w14:textId="77777777" w:rsidR="00414692" w:rsidRDefault="00414692" w:rsidP="005D235B">
      <w:pPr>
        <w:spacing w:line="360" w:lineRule="auto"/>
        <w:rPr>
          <w:color w:val="000000"/>
          <w:szCs w:val="24"/>
        </w:rPr>
      </w:pPr>
    </w:p>
    <w:p w14:paraId="6E8D15B2" w14:textId="24DF5E0D" w:rsidR="00F31C72" w:rsidRDefault="00F31C72" w:rsidP="005D235B">
      <w:pPr>
        <w:spacing w:line="360" w:lineRule="auto"/>
        <w:rPr>
          <w:b/>
          <w:szCs w:val="24"/>
        </w:rPr>
      </w:pPr>
      <w:r>
        <w:rPr>
          <w:b/>
          <w:szCs w:val="24"/>
        </w:rPr>
        <w:t>P</w:t>
      </w:r>
      <w:r w:rsidR="008E7D3A" w:rsidRPr="00EA3172">
        <w:rPr>
          <w:b/>
          <w:szCs w:val="24"/>
        </w:rPr>
        <w:t xml:space="preserve">roportionality </w:t>
      </w:r>
      <w:r>
        <w:rPr>
          <w:b/>
          <w:szCs w:val="24"/>
        </w:rPr>
        <w:t xml:space="preserve">and the Balancing of Rights </w:t>
      </w:r>
    </w:p>
    <w:p w14:paraId="587F2CC7" w14:textId="50091B31" w:rsidR="00BC5872" w:rsidRDefault="00D22057" w:rsidP="00BC5872">
      <w:pPr>
        <w:spacing w:line="360" w:lineRule="auto"/>
        <w:rPr>
          <w:szCs w:val="24"/>
        </w:rPr>
      </w:pPr>
      <w:r>
        <w:rPr>
          <w:szCs w:val="24"/>
        </w:rPr>
        <w:t xml:space="preserve">We </w:t>
      </w:r>
      <w:r w:rsidR="00E43400">
        <w:rPr>
          <w:szCs w:val="24"/>
        </w:rPr>
        <w:t>freely</w:t>
      </w:r>
      <w:r w:rsidR="00E43400" w:rsidDel="00E43400">
        <w:rPr>
          <w:szCs w:val="24"/>
        </w:rPr>
        <w:t xml:space="preserve"> </w:t>
      </w:r>
      <w:r>
        <w:rPr>
          <w:szCs w:val="24"/>
        </w:rPr>
        <w:t>acknowledge</w:t>
      </w:r>
      <w:r w:rsidR="001A61B0">
        <w:rPr>
          <w:szCs w:val="24"/>
        </w:rPr>
        <w:t xml:space="preserve"> that the task of wholescale reform of the private rental agreement </w:t>
      </w:r>
      <w:r>
        <w:rPr>
          <w:szCs w:val="24"/>
        </w:rPr>
        <w:t>can only be undertaken by</w:t>
      </w:r>
      <w:r w:rsidR="001A61B0">
        <w:rPr>
          <w:szCs w:val="24"/>
        </w:rPr>
        <w:t xml:space="preserve"> Parliament</w:t>
      </w:r>
      <w:r>
        <w:rPr>
          <w:szCs w:val="24"/>
        </w:rPr>
        <w:t xml:space="preserve">, to ensure that </w:t>
      </w:r>
      <w:r w:rsidR="00EE6FB3">
        <w:rPr>
          <w:szCs w:val="24"/>
        </w:rPr>
        <w:t xml:space="preserve">those </w:t>
      </w:r>
      <w:r>
        <w:rPr>
          <w:szCs w:val="24"/>
        </w:rPr>
        <w:t xml:space="preserve">affected are properly </w:t>
      </w:r>
      <w:r w:rsidR="00EE6FB3">
        <w:rPr>
          <w:szCs w:val="24"/>
        </w:rPr>
        <w:t>consulted</w:t>
      </w:r>
      <w:r w:rsidR="001A61B0">
        <w:rPr>
          <w:szCs w:val="24"/>
        </w:rPr>
        <w:t xml:space="preserve">.  </w:t>
      </w:r>
      <w:r w:rsidR="008A0C56">
        <w:rPr>
          <w:szCs w:val="24"/>
        </w:rPr>
        <w:t xml:space="preserve">Equally, </w:t>
      </w:r>
      <w:r w:rsidR="001A61B0">
        <w:rPr>
          <w:szCs w:val="24"/>
        </w:rPr>
        <w:t>parties are entitled to rely on</w:t>
      </w:r>
      <w:r w:rsidR="008A0C56">
        <w:rPr>
          <w:szCs w:val="24"/>
        </w:rPr>
        <w:t xml:space="preserve"> agreements they have </w:t>
      </w:r>
      <w:r>
        <w:rPr>
          <w:szCs w:val="24"/>
        </w:rPr>
        <w:t>entered into</w:t>
      </w:r>
      <w:r w:rsidR="008A0C56">
        <w:rPr>
          <w:szCs w:val="24"/>
        </w:rPr>
        <w:t xml:space="preserve"> and around which they may have made investment and other important decisions.  Nevertheless, </w:t>
      </w:r>
      <w:r w:rsidR="00864757">
        <w:rPr>
          <w:szCs w:val="24"/>
        </w:rPr>
        <w:t>w</w:t>
      </w:r>
      <w:r w:rsidR="000B7248">
        <w:rPr>
          <w:szCs w:val="24"/>
        </w:rPr>
        <w:t>e argue that the Supreme Court’s warning that accepting the possibility of proportionality in a private tenancy case would dilute the rule of law</w:t>
      </w:r>
      <w:r w:rsidR="000B7248">
        <w:rPr>
          <w:rStyle w:val="FootnoteReference"/>
          <w:szCs w:val="24"/>
        </w:rPr>
        <w:footnoteReference w:id="135"/>
      </w:r>
      <w:r w:rsidR="000B7248">
        <w:rPr>
          <w:szCs w:val="24"/>
        </w:rPr>
        <w:t xml:space="preserve"> is over-stated</w:t>
      </w:r>
      <w:r w:rsidR="009B530E">
        <w:rPr>
          <w:szCs w:val="24"/>
        </w:rPr>
        <w:t xml:space="preserve"> and </w:t>
      </w:r>
      <w:r w:rsidR="008A0C56">
        <w:rPr>
          <w:szCs w:val="24"/>
        </w:rPr>
        <w:t xml:space="preserve">that </w:t>
      </w:r>
      <w:r w:rsidR="006E1D76">
        <w:rPr>
          <w:szCs w:val="24"/>
        </w:rPr>
        <w:t>denying</w:t>
      </w:r>
      <w:r w:rsidR="008A0C56">
        <w:rPr>
          <w:szCs w:val="24"/>
        </w:rPr>
        <w:t xml:space="preserve"> more than half of all renters any benefit of article 8</w:t>
      </w:r>
      <w:r w:rsidR="009B530E">
        <w:rPr>
          <w:szCs w:val="24"/>
        </w:rPr>
        <w:t>,</w:t>
      </w:r>
      <w:r w:rsidR="008A0C56">
        <w:rPr>
          <w:szCs w:val="24"/>
        </w:rPr>
        <w:t xml:space="preserve"> </w:t>
      </w:r>
      <w:r w:rsidR="006E1D76">
        <w:rPr>
          <w:szCs w:val="24"/>
        </w:rPr>
        <w:t xml:space="preserve">on a </w:t>
      </w:r>
      <w:r w:rsidR="00F45366">
        <w:rPr>
          <w:szCs w:val="24"/>
        </w:rPr>
        <w:t>simplistic</w:t>
      </w:r>
      <w:r w:rsidR="006E1D76">
        <w:rPr>
          <w:szCs w:val="24"/>
        </w:rPr>
        <w:t xml:space="preserve"> identification of a </w:t>
      </w:r>
      <w:r w:rsidR="00EE6FB3">
        <w:rPr>
          <w:szCs w:val="24"/>
        </w:rPr>
        <w:t xml:space="preserve">clear </w:t>
      </w:r>
      <w:r w:rsidR="006E1D76">
        <w:rPr>
          <w:szCs w:val="24"/>
        </w:rPr>
        <w:t>public</w:t>
      </w:r>
      <w:r w:rsidR="00CE64F5">
        <w:rPr>
          <w:szCs w:val="24"/>
        </w:rPr>
        <w:t>-</w:t>
      </w:r>
      <w:r w:rsidR="006E1D76">
        <w:rPr>
          <w:szCs w:val="24"/>
        </w:rPr>
        <w:t>private divide in housing provision</w:t>
      </w:r>
      <w:r w:rsidR="009B530E">
        <w:rPr>
          <w:szCs w:val="24"/>
        </w:rPr>
        <w:t>,</w:t>
      </w:r>
      <w:r w:rsidR="006E1D76">
        <w:rPr>
          <w:szCs w:val="24"/>
        </w:rPr>
        <w:t xml:space="preserve"> is fundamentally wrong.  </w:t>
      </w:r>
    </w:p>
    <w:p w14:paraId="08650FEE" w14:textId="77777777" w:rsidR="001A1238" w:rsidRDefault="001A1238" w:rsidP="00BC5872">
      <w:pPr>
        <w:spacing w:line="360" w:lineRule="auto"/>
        <w:rPr>
          <w:szCs w:val="24"/>
        </w:rPr>
      </w:pPr>
    </w:p>
    <w:p w14:paraId="3618813B" w14:textId="21E5B58C" w:rsidR="00BC5872" w:rsidRDefault="00BC5872" w:rsidP="00BC5872">
      <w:pPr>
        <w:spacing w:line="360" w:lineRule="auto"/>
        <w:rPr>
          <w:szCs w:val="24"/>
        </w:rPr>
      </w:pPr>
      <w:r>
        <w:rPr>
          <w:szCs w:val="24"/>
        </w:rPr>
        <w:t>Collins identifies that proportionality operates differently in vertical and horizontal challenges.</w:t>
      </w:r>
      <w:r>
        <w:rPr>
          <w:rStyle w:val="FootnoteReference"/>
          <w:szCs w:val="24"/>
        </w:rPr>
        <w:footnoteReference w:id="136"/>
      </w:r>
      <w:r>
        <w:rPr>
          <w:szCs w:val="24"/>
        </w:rPr>
        <w:t xml:space="preserve"> Whereas vertical challenges operate negatively, to protect against naked State power, horizontal claims positively assert the respective human rights of private parties and leads to the need to balance the parties’ rights. However, Fenwick has observed that there is judicial uncertainty as to the proper approach to balancing clashing rights and notes, in particular, judicial reluctance to accept the equal value of competing rights despite Strasbourg’s refusal to accept that any qualified right should have presumptive priority.</w:t>
      </w:r>
      <w:r>
        <w:rPr>
          <w:rStyle w:val="FootnoteReference"/>
          <w:szCs w:val="24"/>
        </w:rPr>
        <w:footnoteReference w:id="137"/>
      </w:r>
      <w:r>
        <w:rPr>
          <w:szCs w:val="24"/>
        </w:rPr>
        <w:t xml:space="preserve"> Thus she calls for a parallel analysis in which there is a dual exercise of proportionality for each right, rather than looking at one right as a qualification of the other: what Collins refers to as “a double proportionality test”</w:t>
      </w:r>
      <w:r>
        <w:rPr>
          <w:rStyle w:val="FootnoteReference"/>
          <w:szCs w:val="24"/>
        </w:rPr>
        <w:footnoteReference w:id="138"/>
      </w:r>
      <w:r>
        <w:rPr>
          <w:szCs w:val="24"/>
        </w:rPr>
        <w:t xml:space="preserve"> and Lord Steyn as “the ultimate balancing test.”</w:t>
      </w:r>
      <w:r>
        <w:rPr>
          <w:rStyle w:val="FootnoteReference"/>
          <w:szCs w:val="24"/>
        </w:rPr>
        <w:footnoteReference w:id="139"/>
      </w:r>
      <w:r>
        <w:rPr>
          <w:szCs w:val="24"/>
        </w:rPr>
        <w:t xml:space="preserve">  However, it is unclear how such a dual test should be undertaken.  </w:t>
      </w:r>
    </w:p>
    <w:p w14:paraId="36E0B400" w14:textId="77777777" w:rsidR="00BC5872" w:rsidRDefault="00BC5872" w:rsidP="005D235B">
      <w:pPr>
        <w:spacing w:line="360" w:lineRule="auto"/>
        <w:rPr>
          <w:szCs w:val="24"/>
        </w:rPr>
      </w:pPr>
    </w:p>
    <w:p w14:paraId="35862EEC" w14:textId="04913E3D" w:rsidR="000C4BB7" w:rsidRDefault="006E1D76" w:rsidP="005D235B">
      <w:pPr>
        <w:spacing w:line="360" w:lineRule="auto"/>
        <w:rPr>
          <w:szCs w:val="24"/>
        </w:rPr>
      </w:pPr>
      <w:r>
        <w:rPr>
          <w:szCs w:val="24"/>
        </w:rPr>
        <w:t xml:space="preserve">We therefore </w:t>
      </w:r>
      <w:r w:rsidR="00E257A2">
        <w:rPr>
          <w:szCs w:val="24"/>
        </w:rPr>
        <w:t xml:space="preserve">explore </w:t>
      </w:r>
      <w:r>
        <w:rPr>
          <w:szCs w:val="24"/>
        </w:rPr>
        <w:t xml:space="preserve">a framework within which to exercise proportionality which </w:t>
      </w:r>
      <w:r w:rsidR="00337D9A">
        <w:rPr>
          <w:szCs w:val="24"/>
        </w:rPr>
        <w:t xml:space="preserve">reflects the statutory status of the AST and recognises that competing human rights are at stake.  </w:t>
      </w:r>
      <w:r w:rsidR="00BC5872">
        <w:rPr>
          <w:szCs w:val="24"/>
        </w:rPr>
        <w:t xml:space="preserve">Rather than drawing a clear line between the vertical and horizontal application of proportionality, we argue for a more nuanced and flexible approach which simultaneously reflects the public-private contextual spectrum evident in the rental market and the parties’ situations within it. </w:t>
      </w:r>
      <w:r w:rsidR="00337D9A">
        <w:rPr>
          <w:szCs w:val="24"/>
        </w:rPr>
        <w:t xml:space="preserve">As we explain below, we draw </w:t>
      </w:r>
      <w:r w:rsidR="00864757">
        <w:rPr>
          <w:szCs w:val="24"/>
        </w:rPr>
        <w:t>on the concept</w:t>
      </w:r>
      <w:r>
        <w:rPr>
          <w:szCs w:val="24"/>
        </w:rPr>
        <w:t xml:space="preserve"> of vulnerability </w:t>
      </w:r>
      <w:r w:rsidR="00BA76C2">
        <w:rPr>
          <w:szCs w:val="24"/>
        </w:rPr>
        <w:t xml:space="preserve">and </w:t>
      </w:r>
      <w:r w:rsidR="00E257A2">
        <w:rPr>
          <w:szCs w:val="24"/>
        </w:rPr>
        <w:t xml:space="preserve">interrogate </w:t>
      </w:r>
      <w:r w:rsidR="00BA76C2">
        <w:rPr>
          <w:szCs w:val="24"/>
        </w:rPr>
        <w:t xml:space="preserve">its utility in </w:t>
      </w:r>
      <w:r w:rsidR="0009176D">
        <w:rPr>
          <w:szCs w:val="24"/>
        </w:rPr>
        <w:t>provid</w:t>
      </w:r>
      <w:r w:rsidR="00BA76C2">
        <w:rPr>
          <w:szCs w:val="24"/>
        </w:rPr>
        <w:t>ing</w:t>
      </w:r>
      <w:r w:rsidR="0009176D">
        <w:rPr>
          <w:szCs w:val="24"/>
        </w:rPr>
        <w:t xml:space="preserve"> </w:t>
      </w:r>
      <w:r w:rsidR="0010061B">
        <w:rPr>
          <w:szCs w:val="24"/>
        </w:rPr>
        <w:t>guidance to the court when undertaking the final stage of the proportionality assessment; the ‘fair balance’.</w:t>
      </w:r>
      <w:r w:rsidR="00BA76C2">
        <w:rPr>
          <w:rStyle w:val="FootnoteReference"/>
          <w:szCs w:val="24"/>
        </w:rPr>
        <w:footnoteReference w:id="140"/>
      </w:r>
      <w:r w:rsidR="0010061B">
        <w:rPr>
          <w:szCs w:val="24"/>
        </w:rPr>
        <w:t xml:space="preserve">  </w:t>
      </w:r>
    </w:p>
    <w:p w14:paraId="144B4DC0" w14:textId="77777777" w:rsidR="001A1238" w:rsidRDefault="001A1238" w:rsidP="00BC5872">
      <w:pPr>
        <w:spacing w:line="360" w:lineRule="auto"/>
        <w:rPr>
          <w:i/>
          <w:szCs w:val="24"/>
        </w:rPr>
      </w:pPr>
    </w:p>
    <w:p w14:paraId="636BA219" w14:textId="2CB76FDD" w:rsidR="00BC5872" w:rsidRDefault="00BC5872" w:rsidP="00BC5872">
      <w:pPr>
        <w:spacing w:line="360" w:lineRule="auto"/>
        <w:rPr>
          <w:i/>
          <w:szCs w:val="24"/>
        </w:rPr>
      </w:pPr>
      <w:r>
        <w:rPr>
          <w:i/>
          <w:szCs w:val="24"/>
        </w:rPr>
        <w:t>A Presumption of Proportionality?</w:t>
      </w:r>
    </w:p>
    <w:p w14:paraId="0C44E307" w14:textId="025E8135" w:rsidR="005A0BF1" w:rsidRDefault="00167005" w:rsidP="005D235B">
      <w:pPr>
        <w:spacing w:line="360" w:lineRule="auto"/>
        <w:rPr>
          <w:szCs w:val="24"/>
        </w:rPr>
      </w:pPr>
      <w:r>
        <w:rPr>
          <w:szCs w:val="24"/>
        </w:rPr>
        <w:t>Even where there is a public authority landlord</w:t>
      </w:r>
      <w:r w:rsidR="006C1359">
        <w:rPr>
          <w:szCs w:val="24"/>
        </w:rPr>
        <w:t>,</w:t>
      </w:r>
      <w:r>
        <w:rPr>
          <w:szCs w:val="24"/>
        </w:rPr>
        <w:t xml:space="preserve"> t</w:t>
      </w:r>
      <w:r w:rsidRPr="00EA3172">
        <w:rPr>
          <w:szCs w:val="24"/>
        </w:rPr>
        <w:t xml:space="preserve">he </w:t>
      </w:r>
      <w:r w:rsidR="00CE64F5">
        <w:rPr>
          <w:szCs w:val="24"/>
        </w:rPr>
        <w:t>c</w:t>
      </w:r>
      <w:r w:rsidRPr="00EA3172">
        <w:rPr>
          <w:szCs w:val="24"/>
        </w:rPr>
        <w:t>ourt has emphasise</w:t>
      </w:r>
      <w:r>
        <w:rPr>
          <w:szCs w:val="24"/>
        </w:rPr>
        <w:t>d</w:t>
      </w:r>
      <w:r w:rsidRPr="00EA3172">
        <w:rPr>
          <w:szCs w:val="24"/>
        </w:rPr>
        <w:t xml:space="preserve"> that</w:t>
      </w:r>
      <w:r>
        <w:rPr>
          <w:szCs w:val="24"/>
        </w:rPr>
        <w:t xml:space="preserve"> proportionality should be presumed and rebuttal only envisaged in </w:t>
      </w:r>
      <w:r w:rsidRPr="00EA3172">
        <w:rPr>
          <w:szCs w:val="24"/>
        </w:rPr>
        <w:t>exceptional cases</w:t>
      </w:r>
      <w:r>
        <w:rPr>
          <w:szCs w:val="24"/>
        </w:rPr>
        <w:t>.</w:t>
      </w:r>
      <w:r>
        <w:rPr>
          <w:rStyle w:val="FootnoteReference"/>
          <w:szCs w:val="24"/>
        </w:rPr>
        <w:footnoteReference w:id="141"/>
      </w:r>
      <w:r w:rsidRPr="00EA3172">
        <w:rPr>
          <w:szCs w:val="24"/>
        </w:rPr>
        <w:t xml:space="preserve">  The starting point is that the court will only have to consider </w:t>
      </w:r>
      <w:r>
        <w:rPr>
          <w:szCs w:val="24"/>
        </w:rPr>
        <w:t xml:space="preserve">the </w:t>
      </w:r>
      <w:r w:rsidRPr="00EA3172">
        <w:rPr>
          <w:szCs w:val="24"/>
        </w:rPr>
        <w:t xml:space="preserve">issue </w:t>
      </w:r>
      <w:r>
        <w:rPr>
          <w:szCs w:val="24"/>
        </w:rPr>
        <w:t>when it is</w:t>
      </w:r>
      <w:r w:rsidRPr="00EA3172">
        <w:rPr>
          <w:szCs w:val="24"/>
        </w:rPr>
        <w:t xml:space="preserve"> raised by the occupier and has crossed the high threshold of being seriously arguable.</w:t>
      </w:r>
      <w:r w:rsidRPr="00EA3172">
        <w:rPr>
          <w:rStyle w:val="FootnoteReference"/>
          <w:szCs w:val="24"/>
        </w:rPr>
        <w:footnoteReference w:id="142"/>
      </w:r>
      <w:r w:rsidRPr="00EA3172">
        <w:rPr>
          <w:szCs w:val="24"/>
        </w:rPr>
        <w:t xml:space="preserve">  </w:t>
      </w:r>
      <w:r>
        <w:rPr>
          <w:szCs w:val="24"/>
        </w:rPr>
        <w:t xml:space="preserve">Moreover, the </w:t>
      </w:r>
      <w:r w:rsidR="00CE64F5">
        <w:rPr>
          <w:szCs w:val="24"/>
        </w:rPr>
        <w:t>c</w:t>
      </w:r>
      <w:r>
        <w:rPr>
          <w:szCs w:val="24"/>
        </w:rPr>
        <w:t>ourt rejected a structured approach to proportionality in housing repossession cases</w:t>
      </w:r>
      <w:r w:rsidR="007D3B68">
        <w:rPr>
          <w:szCs w:val="24"/>
        </w:rPr>
        <w:t xml:space="preserve"> </w:t>
      </w:r>
      <w:r>
        <w:rPr>
          <w:szCs w:val="24"/>
        </w:rPr>
        <w:t>because it would involve the landlord in expensive litigation and consequently divert public funds away from its proper purpose.</w:t>
      </w:r>
      <w:r w:rsidR="00124D46" w:rsidRPr="00124D46">
        <w:rPr>
          <w:rStyle w:val="FootnoteReference"/>
          <w:szCs w:val="24"/>
        </w:rPr>
        <w:t xml:space="preserve"> </w:t>
      </w:r>
      <w:r w:rsidR="00124D46">
        <w:rPr>
          <w:rStyle w:val="FootnoteReference"/>
          <w:szCs w:val="24"/>
        </w:rPr>
        <w:footnoteReference w:id="143"/>
      </w:r>
      <w:r w:rsidR="00124D46">
        <w:rPr>
          <w:szCs w:val="24"/>
        </w:rPr>
        <w:t xml:space="preserve"> </w:t>
      </w:r>
      <w:r>
        <w:rPr>
          <w:szCs w:val="24"/>
        </w:rPr>
        <w:t xml:space="preserve"> </w:t>
      </w:r>
      <w:r w:rsidR="003B61AC">
        <w:rPr>
          <w:szCs w:val="24"/>
        </w:rPr>
        <w:t>Presumptively, t</w:t>
      </w:r>
      <w:r w:rsidR="008E7D3A">
        <w:rPr>
          <w:szCs w:val="24"/>
        </w:rPr>
        <w:t xml:space="preserve">his reasoning </w:t>
      </w:r>
      <w:r w:rsidR="00023B60">
        <w:rPr>
          <w:szCs w:val="24"/>
        </w:rPr>
        <w:t xml:space="preserve">would </w:t>
      </w:r>
      <w:r w:rsidR="008E7D3A">
        <w:rPr>
          <w:szCs w:val="24"/>
        </w:rPr>
        <w:t>appl</w:t>
      </w:r>
      <w:r w:rsidR="00023B60">
        <w:rPr>
          <w:szCs w:val="24"/>
        </w:rPr>
        <w:t>y</w:t>
      </w:r>
      <w:r w:rsidR="008E7D3A">
        <w:rPr>
          <w:szCs w:val="24"/>
        </w:rPr>
        <w:t xml:space="preserve"> equally to private landlords </w:t>
      </w:r>
      <w:r w:rsidR="00023B60">
        <w:rPr>
          <w:szCs w:val="24"/>
        </w:rPr>
        <w:t>if their tenant were able to raise a proportionality defence.  It</w:t>
      </w:r>
      <w:r w:rsidR="00167577">
        <w:rPr>
          <w:szCs w:val="24"/>
        </w:rPr>
        <w:t xml:space="preserve"> is</w:t>
      </w:r>
      <w:r w:rsidR="008E7D3A">
        <w:rPr>
          <w:szCs w:val="24"/>
        </w:rPr>
        <w:t xml:space="preserve"> therefore unlikely that challenges to the ending of an AST would be numerous</w:t>
      </w:r>
      <w:r w:rsidR="0013628C">
        <w:rPr>
          <w:szCs w:val="24"/>
        </w:rPr>
        <w:t xml:space="preserve"> or </w:t>
      </w:r>
      <w:r w:rsidR="008E7D3A">
        <w:rPr>
          <w:szCs w:val="24"/>
        </w:rPr>
        <w:t>impos</w:t>
      </w:r>
      <w:r w:rsidR="0013628C">
        <w:rPr>
          <w:szCs w:val="24"/>
        </w:rPr>
        <w:t>e</w:t>
      </w:r>
      <w:r w:rsidR="008E7D3A">
        <w:rPr>
          <w:szCs w:val="24"/>
        </w:rPr>
        <w:t xml:space="preserve"> an excessive burden either on landlords or county court lists.</w:t>
      </w:r>
      <w:r w:rsidR="00506F96">
        <w:rPr>
          <w:szCs w:val="24"/>
        </w:rPr>
        <w:t xml:space="preserve"> </w:t>
      </w:r>
      <w:r w:rsidR="00F45366">
        <w:rPr>
          <w:szCs w:val="24"/>
        </w:rPr>
        <w:t xml:space="preserve"> </w:t>
      </w:r>
      <w:r w:rsidR="00E14EA7">
        <w:rPr>
          <w:szCs w:val="24"/>
        </w:rPr>
        <w:t xml:space="preserve">Furthermore, the emphasis </w:t>
      </w:r>
      <w:r w:rsidR="000A17DF">
        <w:rPr>
          <w:szCs w:val="24"/>
        </w:rPr>
        <w:t>on</w:t>
      </w:r>
      <w:r w:rsidR="00F45366">
        <w:rPr>
          <w:szCs w:val="24"/>
        </w:rPr>
        <w:t xml:space="preserve"> harm-reduction, rather than the assertion of positive rights</w:t>
      </w:r>
      <w:r w:rsidR="000A17DF">
        <w:rPr>
          <w:szCs w:val="24"/>
        </w:rPr>
        <w:t xml:space="preserve"> in the proportionality assessment</w:t>
      </w:r>
      <w:r w:rsidR="00E14EA7">
        <w:rPr>
          <w:szCs w:val="24"/>
        </w:rPr>
        <w:t xml:space="preserve">, </w:t>
      </w:r>
      <w:r w:rsidR="00F45366">
        <w:rPr>
          <w:szCs w:val="24"/>
        </w:rPr>
        <w:t>is not merely semantic but would have ramifications for available remedies if the tenant’s argument were to prevail.</w:t>
      </w:r>
      <w:r w:rsidR="00E14EA7">
        <w:rPr>
          <w:szCs w:val="24"/>
        </w:rPr>
        <w:t xml:space="preserve">  Consequently, a successful article 8 claim could </w:t>
      </w:r>
      <w:r w:rsidR="00E43400">
        <w:rPr>
          <w:szCs w:val="24"/>
        </w:rPr>
        <w:t xml:space="preserve">usually </w:t>
      </w:r>
      <w:r w:rsidR="00E14EA7">
        <w:rPr>
          <w:szCs w:val="24"/>
        </w:rPr>
        <w:t>only delay repossession</w:t>
      </w:r>
      <w:r w:rsidR="00D1788B">
        <w:rPr>
          <w:szCs w:val="24"/>
        </w:rPr>
        <w:t xml:space="preserve">, as envisioned, hypothetically, by the Supreme Court in </w:t>
      </w:r>
      <w:r w:rsidR="00D1788B">
        <w:rPr>
          <w:i/>
          <w:szCs w:val="24"/>
        </w:rPr>
        <w:t>McDonald</w:t>
      </w:r>
      <w:r w:rsidR="00D1788B">
        <w:rPr>
          <w:szCs w:val="24"/>
        </w:rPr>
        <w:t>.</w:t>
      </w:r>
      <w:r w:rsidR="00D1788B">
        <w:rPr>
          <w:rStyle w:val="FootnoteReference"/>
          <w:szCs w:val="24"/>
        </w:rPr>
        <w:footnoteReference w:id="144"/>
      </w:r>
      <w:r w:rsidR="00E53ED1">
        <w:rPr>
          <w:szCs w:val="24"/>
        </w:rPr>
        <w:t xml:space="preserve">  These presumptions</w:t>
      </w:r>
      <w:r w:rsidR="00EC5577">
        <w:rPr>
          <w:szCs w:val="24"/>
        </w:rPr>
        <w:t xml:space="preserve"> pay due deference to Parliament, by respecting the </w:t>
      </w:r>
      <w:r w:rsidR="00173229">
        <w:rPr>
          <w:szCs w:val="24"/>
        </w:rPr>
        <w:t xml:space="preserve">principle of </w:t>
      </w:r>
      <w:r w:rsidR="00EC5577">
        <w:rPr>
          <w:szCs w:val="24"/>
        </w:rPr>
        <w:t>certainty of repossession at the macro level, whil</w:t>
      </w:r>
      <w:r w:rsidR="004E3279">
        <w:rPr>
          <w:szCs w:val="24"/>
        </w:rPr>
        <w:t>st</w:t>
      </w:r>
      <w:r w:rsidR="00CE0B60">
        <w:rPr>
          <w:szCs w:val="24"/>
        </w:rPr>
        <w:t xml:space="preserve"> </w:t>
      </w:r>
      <w:r w:rsidR="00173229">
        <w:rPr>
          <w:szCs w:val="24"/>
        </w:rPr>
        <w:t>protecting</w:t>
      </w:r>
      <w:r w:rsidR="00EC5577">
        <w:rPr>
          <w:szCs w:val="24"/>
        </w:rPr>
        <w:t xml:space="preserve"> the landlord’s A1P1 rights, at the micro level.</w:t>
      </w:r>
      <w:r w:rsidR="00265988" w:rsidRPr="00265988">
        <w:rPr>
          <w:szCs w:val="24"/>
        </w:rPr>
        <w:t xml:space="preserve"> </w:t>
      </w:r>
    </w:p>
    <w:p w14:paraId="5C05E3E6" w14:textId="77777777" w:rsidR="007D3B68" w:rsidRDefault="007D3B68" w:rsidP="005D235B">
      <w:pPr>
        <w:spacing w:line="360" w:lineRule="auto"/>
        <w:rPr>
          <w:szCs w:val="24"/>
        </w:rPr>
      </w:pPr>
    </w:p>
    <w:p w14:paraId="120491B0" w14:textId="7535C830" w:rsidR="00265988" w:rsidRPr="0064281D" w:rsidRDefault="00265988" w:rsidP="005D235B">
      <w:pPr>
        <w:spacing w:line="360" w:lineRule="auto"/>
        <w:rPr>
          <w:szCs w:val="24"/>
        </w:rPr>
      </w:pPr>
      <w:r>
        <w:rPr>
          <w:szCs w:val="24"/>
        </w:rPr>
        <w:t>Conducting a proportionality review where eviction is sought by a private landlord is not novel.  The Equality Act 2010 requires the court to consider proportionality where an eviction is challenged either because of indirect discrimination</w:t>
      </w:r>
      <w:r>
        <w:rPr>
          <w:rStyle w:val="FootnoteReference"/>
          <w:szCs w:val="24"/>
        </w:rPr>
        <w:footnoteReference w:id="145"/>
      </w:r>
      <w:r>
        <w:rPr>
          <w:szCs w:val="24"/>
        </w:rPr>
        <w:t xml:space="preserve"> or direct discrimination based upon age</w:t>
      </w:r>
      <w:r w:rsidR="00F01BA2">
        <w:rPr>
          <w:szCs w:val="24"/>
        </w:rPr>
        <w:t xml:space="preserve"> or disability</w:t>
      </w:r>
      <w:r>
        <w:rPr>
          <w:szCs w:val="24"/>
        </w:rPr>
        <w:t xml:space="preserve"> – other forms of direct discrimination are absolutely prohibited.</w:t>
      </w:r>
      <w:r>
        <w:rPr>
          <w:rStyle w:val="FootnoteReference"/>
          <w:szCs w:val="24"/>
        </w:rPr>
        <w:footnoteReference w:id="146"/>
      </w:r>
      <w:r>
        <w:rPr>
          <w:szCs w:val="24"/>
        </w:rPr>
        <w:t xml:space="preserve"> In contrast to article 8, these assessments of proportionality are structured and the landlord bears the burden of proof.</w:t>
      </w:r>
      <w:r>
        <w:rPr>
          <w:rStyle w:val="FootnoteReference"/>
          <w:szCs w:val="24"/>
        </w:rPr>
        <w:footnoteReference w:id="147"/>
      </w:r>
      <w:r w:rsidRPr="00CD524A">
        <w:rPr>
          <w:color w:val="000000"/>
        </w:rPr>
        <w:t xml:space="preserve"> </w:t>
      </w:r>
      <w:r>
        <w:rPr>
          <w:color w:val="000000"/>
        </w:rPr>
        <w:t xml:space="preserve">Thus, as Pascoe notes, </w:t>
      </w:r>
      <w:r>
        <w:rPr>
          <w:i/>
          <w:color w:val="000000"/>
        </w:rPr>
        <w:t>McDonald</w:t>
      </w:r>
      <w:r>
        <w:rPr>
          <w:color w:val="000000"/>
        </w:rPr>
        <w:t xml:space="preserve"> “creates a binary divide between human rights and disability in private landlord and tenant cases”,</w:t>
      </w:r>
      <w:r>
        <w:rPr>
          <w:rStyle w:val="FootnoteReference"/>
          <w:color w:val="000000"/>
        </w:rPr>
        <w:footnoteReference w:id="148"/>
      </w:r>
      <w:r>
        <w:rPr>
          <w:color w:val="000000"/>
        </w:rPr>
        <w:t xml:space="preserve"> making the Equality Act 2010 a significantly more advantageous route of challenge, if a tenant can bring themselves within it.  We accept the more rigorous approach under the 2010 Act as justified by its statutory status and, as outlined, suggest that the extent of the proportionality review proposed could soften th</w:t>
      </w:r>
      <w:r w:rsidR="00F01BA2">
        <w:rPr>
          <w:color w:val="000000"/>
        </w:rPr>
        <w:t>is</w:t>
      </w:r>
      <w:r>
        <w:rPr>
          <w:color w:val="000000"/>
        </w:rPr>
        <w:t xml:space="preserve"> divide.  </w:t>
      </w:r>
    </w:p>
    <w:p w14:paraId="3940364F" w14:textId="7E758C1D" w:rsidR="008D63A4" w:rsidRDefault="008D63A4" w:rsidP="005D235B">
      <w:pPr>
        <w:spacing w:line="360" w:lineRule="auto"/>
        <w:rPr>
          <w:szCs w:val="24"/>
        </w:rPr>
      </w:pPr>
    </w:p>
    <w:p w14:paraId="7E8D387B" w14:textId="5B641DB1" w:rsidR="0069118D" w:rsidRPr="0069118D" w:rsidRDefault="0069118D" w:rsidP="005D235B">
      <w:pPr>
        <w:spacing w:line="360" w:lineRule="auto"/>
        <w:rPr>
          <w:i/>
          <w:szCs w:val="24"/>
        </w:rPr>
      </w:pPr>
      <w:r>
        <w:rPr>
          <w:i/>
          <w:szCs w:val="24"/>
        </w:rPr>
        <w:t xml:space="preserve">A </w:t>
      </w:r>
      <w:r w:rsidR="008E5DC3">
        <w:rPr>
          <w:i/>
          <w:szCs w:val="24"/>
        </w:rPr>
        <w:t>R</w:t>
      </w:r>
      <w:r>
        <w:rPr>
          <w:i/>
          <w:szCs w:val="24"/>
        </w:rPr>
        <w:t xml:space="preserve">ole for </w:t>
      </w:r>
      <w:r w:rsidR="008E5DC3">
        <w:rPr>
          <w:i/>
          <w:szCs w:val="24"/>
        </w:rPr>
        <w:t>V</w:t>
      </w:r>
      <w:r>
        <w:rPr>
          <w:i/>
          <w:szCs w:val="24"/>
        </w:rPr>
        <w:t>ulnerability?</w:t>
      </w:r>
    </w:p>
    <w:p w14:paraId="6BE0BEEF" w14:textId="61789ECB" w:rsidR="00BB1632" w:rsidRDefault="001806FD" w:rsidP="005D235B">
      <w:pPr>
        <w:widowControl w:val="0"/>
        <w:suppressAutoHyphens/>
        <w:autoSpaceDE w:val="0"/>
        <w:autoSpaceDN w:val="0"/>
        <w:adjustRightInd w:val="0"/>
        <w:spacing w:before="80" w:after="80" w:line="360" w:lineRule="auto"/>
        <w:rPr>
          <w:szCs w:val="24"/>
        </w:rPr>
      </w:pPr>
      <w:r>
        <w:rPr>
          <w:szCs w:val="24"/>
        </w:rPr>
        <w:t>Echoing the Strasbourg jurisprudence,</w:t>
      </w:r>
      <w:r w:rsidR="001E4F55">
        <w:rPr>
          <w:rStyle w:val="FootnoteReference"/>
          <w:szCs w:val="24"/>
        </w:rPr>
        <w:footnoteReference w:id="149"/>
      </w:r>
      <w:r>
        <w:rPr>
          <w:szCs w:val="24"/>
        </w:rPr>
        <w:t xml:space="preserve"> t</w:t>
      </w:r>
      <w:r w:rsidR="00167005">
        <w:rPr>
          <w:szCs w:val="24"/>
        </w:rPr>
        <w:t>he</w:t>
      </w:r>
      <w:r w:rsidR="00167005" w:rsidRPr="00EA3172">
        <w:rPr>
          <w:szCs w:val="24"/>
        </w:rPr>
        <w:t xml:space="preserve"> Supreme Court </w:t>
      </w:r>
      <w:r w:rsidR="00167005">
        <w:rPr>
          <w:szCs w:val="24"/>
        </w:rPr>
        <w:t xml:space="preserve">in </w:t>
      </w:r>
      <w:r w:rsidR="00167005">
        <w:rPr>
          <w:i/>
          <w:szCs w:val="24"/>
        </w:rPr>
        <w:t xml:space="preserve">Pinnock </w:t>
      </w:r>
      <w:r w:rsidR="00167005" w:rsidRPr="00EA3172">
        <w:rPr>
          <w:szCs w:val="24"/>
        </w:rPr>
        <w:t xml:space="preserve">accepted suggestions </w:t>
      </w:r>
      <w:r w:rsidR="00167005">
        <w:rPr>
          <w:szCs w:val="24"/>
        </w:rPr>
        <w:t>by</w:t>
      </w:r>
      <w:r w:rsidR="00167005" w:rsidRPr="00EA3172">
        <w:rPr>
          <w:szCs w:val="24"/>
        </w:rPr>
        <w:t xml:space="preserve"> the Equality and Human Rights Commission that </w:t>
      </w:r>
      <w:r w:rsidR="006C1359">
        <w:rPr>
          <w:szCs w:val="24"/>
        </w:rPr>
        <w:t>dis</w:t>
      </w:r>
      <w:r w:rsidR="00167005" w:rsidRPr="00EA3172">
        <w:rPr>
          <w:szCs w:val="24"/>
        </w:rPr>
        <w:t xml:space="preserve">proportionality is more likely to be </w:t>
      </w:r>
      <w:r w:rsidR="006C1359">
        <w:rPr>
          <w:szCs w:val="24"/>
        </w:rPr>
        <w:t>found</w:t>
      </w:r>
      <w:r w:rsidR="00167005" w:rsidRPr="00EA3172">
        <w:rPr>
          <w:szCs w:val="24"/>
        </w:rPr>
        <w:t xml:space="preserve"> “in respect of occupants who are vulnerable as a result of mental illness, physical or learning disability, poor health or frailty”.</w:t>
      </w:r>
      <w:r w:rsidR="00167005" w:rsidRPr="00EA3172">
        <w:rPr>
          <w:rStyle w:val="FootnoteReference"/>
          <w:szCs w:val="24"/>
        </w:rPr>
        <w:footnoteReference w:id="150"/>
      </w:r>
      <w:r w:rsidR="00167005" w:rsidRPr="00EA3172">
        <w:rPr>
          <w:szCs w:val="24"/>
        </w:rPr>
        <w:t xml:space="preserve"> </w:t>
      </w:r>
      <w:r w:rsidR="009448CA">
        <w:rPr>
          <w:szCs w:val="24"/>
        </w:rPr>
        <w:t xml:space="preserve">No further clarification on </w:t>
      </w:r>
      <w:r w:rsidR="00585E47">
        <w:rPr>
          <w:szCs w:val="24"/>
        </w:rPr>
        <w:t xml:space="preserve">how </w:t>
      </w:r>
      <w:r w:rsidR="009448CA">
        <w:rPr>
          <w:szCs w:val="24"/>
        </w:rPr>
        <w:t xml:space="preserve">vulnerability </w:t>
      </w:r>
      <w:r w:rsidR="00585E47">
        <w:rPr>
          <w:szCs w:val="24"/>
        </w:rPr>
        <w:t xml:space="preserve">should be assessed </w:t>
      </w:r>
      <w:r w:rsidR="009448CA">
        <w:rPr>
          <w:szCs w:val="24"/>
        </w:rPr>
        <w:t>was provided</w:t>
      </w:r>
      <w:r w:rsidR="00EA4E30">
        <w:rPr>
          <w:szCs w:val="24"/>
        </w:rPr>
        <w:t xml:space="preserve"> and subsequent cases have gone no further.</w:t>
      </w:r>
      <w:r w:rsidR="00EA4E30">
        <w:rPr>
          <w:rStyle w:val="FootnoteReference"/>
          <w:szCs w:val="24"/>
        </w:rPr>
        <w:footnoteReference w:id="151"/>
      </w:r>
      <w:r w:rsidR="00EA4E30">
        <w:rPr>
          <w:szCs w:val="24"/>
        </w:rPr>
        <w:t xml:space="preserve"> </w:t>
      </w:r>
      <w:r w:rsidR="00E34502">
        <w:rPr>
          <w:szCs w:val="24"/>
        </w:rPr>
        <w:t xml:space="preserve">Indeed Lord Bingham in the earlier case of </w:t>
      </w:r>
      <w:r w:rsidR="00E34502">
        <w:rPr>
          <w:i/>
          <w:szCs w:val="24"/>
        </w:rPr>
        <w:t xml:space="preserve">Kay v Lambeth LBC </w:t>
      </w:r>
      <w:r w:rsidR="00D40A17">
        <w:rPr>
          <w:szCs w:val="24"/>
        </w:rPr>
        <w:t xml:space="preserve">suggested that “the practical experience of county court judges </w:t>
      </w:r>
      <w:r w:rsidR="004070EF">
        <w:rPr>
          <w:szCs w:val="24"/>
        </w:rPr>
        <w:t>is likely to prove the sure</w:t>
      </w:r>
      <w:r w:rsidR="00467EC5">
        <w:rPr>
          <w:szCs w:val="24"/>
        </w:rPr>
        <w:t>s</w:t>
      </w:r>
      <w:r w:rsidR="004070EF">
        <w:rPr>
          <w:szCs w:val="24"/>
        </w:rPr>
        <w:t xml:space="preserve">t guide </w:t>
      </w:r>
      <w:r w:rsidR="00467EC5">
        <w:rPr>
          <w:szCs w:val="24"/>
        </w:rPr>
        <w:t xml:space="preserve">… [t]hey are well used to </w:t>
      </w:r>
      <w:r w:rsidR="002530B6">
        <w:rPr>
          <w:szCs w:val="24"/>
        </w:rPr>
        <w:t xml:space="preserve">exercising their judgment </w:t>
      </w:r>
      <w:r w:rsidR="00916DBB">
        <w:rPr>
          <w:szCs w:val="24"/>
        </w:rPr>
        <w:t xml:space="preserve">… and will recognise </w:t>
      </w:r>
      <w:r w:rsidR="0001518B">
        <w:rPr>
          <w:szCs w:val="24"/>
        </w:rPr>
        <w:t>a highly exceptional case when they see it</w:t>
      </w:r>
      <w:r w:rsidR="00373D22">
        <w:rPr>
          <w:szCs w:val="24"/>
        </w:rPr>
        <w:t>.”</w:t>
      </w:r>
      <w:r w:rsidR="0001518B">
        <w:rPr>
          <w:rStyle w:val="FootnoteReference"/>
          <w:szCs w:val="24"/>
        </w:rPr>
        <w:footnoteReference w:id="152"/>
      </w:r>
      <w:r w:rsidR="009C2742">
        <w:rPr>
          <w:szCs w:val="24"/>
        </w:rPr>
        <w:t xml:space="preserve"> </w:t>
      </w:r>
      <w:r w:rsidR="00FB2465">
        <w:rPr>
          <w:szCs w:val="24"/>
        </w:rPr>
        <w:t>Nevertheless, t</w:t>
      </w:r>
      <w:r w:rsidR="00381830">
        <w:rPr>
          <w:szCs w:val="24"/>
        </w:rPr>
        <w:t>his</w:t>
      </w:r>
      <w:r w:rsidR="00CD4654">
        <w:rPr>
          <w:szCs w:val="24"/>
        </w:rPr>
        <w:t xml:space="preserve"> conception of vulnerability suggest</w:t>
      </w:r>
      <w:r w:rsidR="00381830">
        <w:rPr>
          <w:szCs w:val="24"/>
        </w:rPr>
        <w:t>s</w:t>
      </w:r>
      <w:r w:rsidR="00CD4654">
        <w:rPr>
          <w:szCs w:val="24"/>
        </w:rPr>
        <w:t xml:space="preserve"> a group-based perspective</w:t>
      </w:r>
      <w:r w:rsidR="005C2D8B">
        <w:rPr>
          <w:szCs w:val="24"/>
        </w:rPr>
        <w:t>,</w:t>
      </w:r>
      <w:r w:rsidR="00CD4654">
        <w:rPr>
          <w:szCs w:val="24"/>
        </w:rPr>
        <w:t xml:space="preserve"> looking to identifiable characteristics that are deserving of particular consideration</w:t>
      </w:r>
      <w:r w:rsidR="00381830">
        <w:rPr>
          <w:szCs w:val="24"/>
        </w:rPr>
        <w:t>;</w:t>
      </w:r>
      <w:r w:rsidR="00CD4654">
        <w:rPr>
          <w:rStyle w:val="FootnoteReference"/>
          <w:szCs w:val="24"/>
        </w:rPr>
        <w:footnoteReference w:id="153"/>
      </w:r>
      <w:r w:rsidR="00381830">
        <w:rPr>
          <w:szCs w:val="24"/>
        </w:rPr>
        <w:t xml:space="preserve"> a</w:t>
      </w:r>
      <w:r w:rsidR="00971C89">
        <w:rPr>
          <w:szCs w:val="24"/>
        </w:rPr>
        <w:t xml:space="preserve">n approach reflected in </w:t>
      </w:r>
      <w:r w:rsidR="00CD4654">
        <w:rPr>
          <w:szCs w:val="24"/>
        </w:rPr>
        <w:t>the Equality Act 2010</w:t>
      </w:r>
      <w:r w:rsidR="00971C89">
        <w:rPr>
          <w:szCs w:val="24"/>
        </w:rPr>
        <w:t xml:space="preserve"> </w:t>
      </w:r>
      <w:r w:rsidR="00CD4654">
        <w:rPr>
          <w:szCs w:val="24"/>
        </w:rPr>
        <w:t xml:space="preserve">‘protected characteristics’. </w:t>
      </w:r>
      <w:r w:rsidR="003507D5">
        <w:rPr>
          <w:szCs w:val="24"/>
        </w:rPr>
        <w:t xml:space="preserve">Homelessness law </w:t>
      </w:r>
      <w:r w:rsidR="007B3622">
        <w:rPr>
          <w:szCs w:val="24"/>
        </w:rPr>
        <w:t xml:space="preserve">also </w:t>
      </w:r>
      <w:r w:rsidR="003507D5">
        <w:rPr>
          <w:szCs w:val="24"/>
        </w:rPr>
        <w:t>gives priority to individuals who are vulnerable because of statutorily specified factors</w:t>
      </w:r>
      <w:r w:rsidR="003507D5" w:rsidRPr="007D3B68">
        <w:rPr>
          <w:rStyle w:val="FootnoteReference"/>
          <w:szCs w:val="24"/>
        </w:rPr>
        <w:footnoteReference w:id="154"/>
      </w:r>
      <w:r w:rsidR="003507D5">
        <w:rPr>
          <w:szCs w:val="24"/>
        </w:rPr>
        <w:t xml:space="preserve"> </w:t>
      </w:r>
      <w:r w:rsidR="00097FCE">
        <w:rPr>
          <w:szCs w:val="24"/>
        </w:rPr>
        <w:t xml:space="preserve">and </w:t>
      </w:r>
      <w:r w:rsidR="00BF0DA9">
        <w:rPr>
          <w:szCs w:val="24"/>
        </w:rPr>
        <w:t>it is possible that this concurrence with a well-established (if contested)</w:t>
      </w:r>
      <w:r w:rsidR="00EA2E2F">
        <w:rPr>
          <w:rStyle w:val="FootnoteReference"/>
          <w:szCs w:val="24"/>
        </w:rPr>
        <w:footnoteReference w:id="155"/>
      </w:r>
      <w:r w:rsidR="00BF0DA9">
        <w:rPr>
          <w:szCs w:val="24"/>
        </w:rPr>
        <w:t xml:space="preserve"> legal test motivated the Commission</w:t>
      </w:r>
      <w:r w:rsidR="00EA2E2F">
        <w:rPr>
          <w:szCs w:val="24"/>
        </w:rPr>
        <w:t xml:space="preserve"> </w:t>
      </w:r>
      <w:r w:rsidR="005C046C">
        <w:rPr>
          <w:szCs w:val="24"/>
        </w:rPr>
        <w:t xml:space="preserve">to </w:t>
      </w:r>
      <w:r w:rsidR="007B3622">
        <w:rPr>
          <w:szCs w:val="24"/>
        </w:rPr>
        <w:t xml:space="preserve">suggest </w:t>
      </w:r>
      <w:r w:rsidR="00EA2E2F">
        <w:rPr>
          <w:szCs w:val="24"/>
        </w:rPr>
        <w:t xml:space="preserve">its </w:t>
      </w:r>
      <w:r w:rsidR="007B3622">
        <w:rPr>
          <w:szCs w:val="24"/>
        </w:rPr>
        <w:t xml:space="preserve">wider </w:t>
      </w:r>
      <w:r w:rsidR="00EA2E2F">
        <w:rPr>
          <w:szCs w:val="24"/>
        </w:rPr>
        <w:t>applica</w:t>
      </w:r>
      <w:r w:rsidR="007B3622">
        <w:rPr>
          <w:szCs w:val="24"/>
        </w:rPr>
        <w:t>tion</w:t>
      </w:r>
      <w:r w:rsidR="00EA2E2F">
        <w:rPr>
          <w:szCs w:val="24"/>
        </w:rPr>
        <w:t xml:space="preserve"> </w:t>
      </w:r>
      <w:r w:rsidR="007B3622">
        <w:rPr>
          <w:szCs w:val="24"/>
        </w:rPr>
        <w:t xml:space="preserve">to </w:t>
      </w:r>
      <w:r w:rsidR="00EA2E2F">
        <w:rPr>
          <w:szCs w:val="24"/>
        </w:rPr>
        <w:t>proportionality</w:t>
      </w:r>
      <w:r w:rsidR="00BF0DA9">
        <w:rPr>
          <w:szCs w:val="24"/>
        </w:rPr>
        <w:t xml:space="preserve">.  </w:t>
      </w:r>
      <w:r w:rsidR="007B3622">
        <w:rPr>
          <w:szCs w:val="24"/>
        </w:rPr>
        <w:t xml:space="preserve">We question the adoption of a solely group-based conception of vulnerability as </w:t>
      </w:r>
      <w:r w:rsidR="00903898">
        <w:rPr>
          <w:szCs w:val="24"/>
        </w:rPr>
        <w:t xml:space="preserve">presenting the danger of </w:t>
      </w:r>
      <w:r w:rsidR="007B3622">
        <w:rPr>
          <w:szCs w:val="24"/>
        </w:rPr>
        <w:t>both under and over inclus</w:t>
      </w:r>
      <w:r w:rsidR="00903898">
        <w:rPr>
          <w:szCs w:val="24"/>
        </w:rPr>
        <w:t>ion</w:t>
      </w:r>
      <w:r w:rsidR="00BB1632">
        <w:rPr>
          <w:rStyle w:val="FootnoteReference"/>
          <w:szCs w:val="24"/>
        </w:rPr>
        <w:footnoteReference w:id="156"/>
      </w:r>
      <w:r w:rsidR="007B3622">
        <w:rPr>
          <w:szCs w:val="24"/>
        </w:rPr>
        <w:t xml:space="preserve"> and </w:t>
      </w:r>
      <w:r w:rsidR="00C97868">
        <w:rPr>
          <w:szCs w:val="24"/>
        </w:rPr>
        <w:t xml:space="preserve">consider whether </w:t>
      </w:r>
      <w:r w:rsidR="007B3622">
        <w:rPr>
          <w:szCs w:val="24"/>
        </w:rPr>
        <w:t>contextual or situational vulnerability</w:t>
      </w:r>
      <w:r w:rsidR="00903898">
        <w:rPr>
          <w:szCs w:val="24"/>
        </w:rPr>
        <w:t xml:space="preserve"> may have more to offer</w:t>
      </w:r>
      <w:r w:rsidR="007B3622">
        <w:rPr>
          <w:szCs w:val="24"/>
        </w:rPr>
        <w:t xml:space="preserve">. We </w:t>
      </w:r>
      <w:r w:rsidR="00903898">
        <w:rPr>
          <w:szCs w:val="24"/>
        </w:rPr>
        <w:t>note</w:t>
      </w:r>
      <w:r w:rsidR="00BB1632">
        <w:rPr>
          <w:szCs w:val="24"/>
        </w:rPr>
        <w:t>,</w:t>
      </w:r>
      <w:r w:rsidR="00903898">
        <w:rPr>
          <w:szCs w:val="24"/>
        </w:rPr>
        <w:t xml:space="preserve"> for instance that, d</w:t>
      </w:r>
      <w:r w:rsidR="00FF76E2">
        <w:rPr>
          <w:szCs w:val="24"/>
        </w:rPr>
        <w:t xml:space="preserve">espite </w:t>
      </w:r>
      <w:r w:rsidR="00BF0DA9">
        <w:rPr>
          <w:szCs w:val="24"/>
        </w:rPr>
        <w:t>the</w:t>
      </w:r>
      <w:r w:rsidR="00FF76E2">
        <w:rPr>
          <w:szCs w:val="24"/>
        </w:rPr>
        <w:t xml:space="preserve"> apparently group-based approach</w:t>
      </w:r>
      <w:r w:rsidR="00BF0DA9">
        <w:rPr>
          <w:szCs w:val="24"/>
        </w:rPr>
        <w:t xml:space="preserve"> </w:t>
      </w:r>
      <w:r w:rsidR="00903898">
        <w:rPr>
          <w:szCs w:val="24"/>
        </w:rPr>
        <w:t xml:space="preserve">in </w:t>
      </w:r>
      <w:r w:rsidR="00BF0DA9">
        <w:rPr>
          <w:szCs w:val="24"/>
        </w:rPr>
        <w:t>homelessness legislation</w:t>
      </w:r>
      <w:r w:rsidR="00FF76E2">
        <w:rPr>
          <w:szCs w:val="24"/>
        </w:rPr>
        <w:t xml:space="preserve">, the Supreme Court has </w:t>
      </w:r>
      <w:r w:rsidR="00903898">
        <w:rPr>
          <w:szCs w:val="24"/>
        </w:rPr>
        <w:t xml:space="preserve">also stated </w:t>
      </w:r>
      <w:r w:rsidR="00FF76E2">
        <w:rPr>
          <w:szCs w:val="24"/>
        </w:rPr>
        <w:t>that assessment of vulnerability must be holistic, contextual and practical.</w:t>
      </w:r>
      <w:r w:rsidR="00FF76E2">
        <w:rPr>
          <w:rStyle w:val="FootnoteReference"/>
          <w:szCs w:val="24"/>
        </w:rPr>
        <w:footnoteReference w:id="157"/>
      </w:r>
      <w:r w:rsidR="003507D5">
        <w:rPr>
          <w:szCs w:val="24"/>
        </w:rPr>
        <w:t xml:space="preserve"> </w:t>
      </w:r>
    </w:p>
    <w:p w14:paraId="1982DC36" w14:textId="77777777" w:rsidR="00BB1632" w:rsidRDefault="00BB1632" w:rsidP="005D235B">
      <w:pPr>
        <w:widowControl w:val="0"/>
        <w:suppressAutoHyphens/>
        <w:autoSpaceDE w:val="0"/>
        <w:autoSpaceDN w:val="0"/>
        <w:adjustRightInd w:val="0"/>
        <w:spacing w:before="80" w:after="80" w:line="360" w:lineRule="auto"/>
        <w:rPr>
          <w:szCs w:val="24"/>
        </w:rPr>
      </w:pPr>
    </w:p>
    <w:p w14:paraId="10915A42" w14:textId="7A8E4287" w:rsidR="001E3C17" w:rsidRDefault="008023F7" w:rsidP="005D235B">
      <w:pPr>
        <w:widowControl w:val="0"/>
        <w:suppressAutoHyphens/>
        <w:autoSpaceDE w:val="0"/>
        <w:autoSpaceDN w:val="0"/>
        <w:adjustRightInd w:val="0"/>
        <w:spacing w:before="80" w:after="80" w:line="360" w:lineRule="auto"/>
        <w:rPr>
          <w:szCs w:val="24"/>
        </w:rPr>
      </w:pPr>
      <w:r>
        <w:rPr>
          <w:rFonts w:cs="Verdana"/>
          <w:color w:val="000000"/>
          <w:szCs w:val="24"/>
        </w:rPr>
        <w:t>Vulnerability</w:t>
      </w:r>
      <w:r w:rsidRPr="004D704A">
        <w:rPr>
          <w:rFonts w:cs="Verdana"/>
          <w:color w:val="000000"/>
          <w:szCs w:val="24"/>
        </w:rPr>
        <w:t xml:space="preserve"> is a concept that has gained momentum in scholarly research on ethics, law and human rights and has arisen to challenge the “myth of the invulnerable, disembodied, and de-contextualised subject of classical liberal law.”</w:t>
      </w:r>
      <w:r w:rsidRPr="004D704A">
        <w:rPr>
          <w:rStyle w:val="FootnoteReference"/>
          <w:rFonts w:cs="Verdana"/>
          <w:color w:val="000000"/>
          <w:szCs w:val="24"/>
        </w:rPr>
        <w:footnoteReference w:id="158"/>
      </w:r>
      <w:r w:rsidRPr="004D704A">
        <w:rPr>
          <w:rFonts w:cs="Verdana"/>
          <w:color w:val="000000"/>
          <w:szCs w:val="24"/>
        </w:rPr>
        <w:t xml:space="preserve">  </w:t>
      </w:r>
      <w:r w:rsidRPr="004D704A">
        <w:rPr>
          <w:szCs w:val="24"/>
        </w:rPr>
        <w:t xml:space="preserve">Martha Fineman’s </w:t>
      </w:r>
      <w:r w:rsidR="008A248F">
        <w:rPr>
          <w:szCs w:val="24"/>
        </w:rPr>
        <w:t>innovative</w:t>
      </w:r>
      <w:r w:rsidR="008A248F" w:rsidRPr="004D704A">
        <w:rPr>
          <w:szCs w:val="24"/>
        </w:rPr>
        <w:t xml:space="preserve"> </w:t>
      </w:r>
      <w:r w:rsidRPr="004D704A">
        <w:rPr>
          <w:szCs w:val="24"/>
        </w:rPr>
        <w:t>work</w:t>
      </w:r>
      <w:r w:rsidRPr="004D704A">
        <w:rPr>
          <w:rStyle w:val="FootnoteReference"/>
          <w:szCs w:val="24"/>
        </w:rPr>
        <w:footnoteReference w:id="159"/>
      </w:r>
      <w:r w:rsidRPr="004D704A">
        <w:rPr>
          <w:szCs w:val="24"/>
        </w:rPr>
        <w:t xml:space="preserve"> </w:t>
      </w:r>
      <w:r>
        <w:rPr>
          <w:szCs w:val="24"/>
        </w:rPr>
        <w:t xml:space="preserve">claims </w:t>
      </w:r>
      <w:r w:rsidRPr="004D704A">
        <w:rPr>
          <w:szCs w:val="24"/>
        </w:rPr>
        <w:t xml:space="preserve">that vulnerability is an inherent human characteristic:  in other words, we are all vulnerable </w:t>
      </w:r>
      <w:r w:rsidRPr="004D704A">
        <w:rPr>
          <w:i/>
          <w:szCs w:val="24"/>
        </w:rPr>
        <w:t>because</w:t>
      </w:r>
      <w:r w:rsidRPr="004D704A">
        <w:rPr>
          <w:szCs w:val="24"/>
        </w:rPr>
        <w:t xml:space="preserve"> we are human.  This conclusion is important because it denies the validity of the liberal subject model of citizen-state relations which, Fineman argues, allows the state to ignore much systemic and institutionally-based inequality by reference to “individual responsibility”</w:t>
      </w:r>
      <w:r w:rsidRPr="004D704A">
        <w:rPr>
          <w:rStyle w:val="FootnoteReference"/>
          <w:szCs w:val="24"/>
        </w:rPr>
        <w:footnoteReference w:id="160"/>
      </w:r>
      <w:r w:rsidRPr="004D704A">
        <w:rPr>
          <w:szCs w:val="24"/>
        </w:rPr>
        <w:t xml:space="preserve"> and by focussing on eliminating discrimination against historically disadvantaged groups, rather than eliminating the inequalities to which those groups were subject.</w:t>
      </w:r>
      <w:r w:rsidRPr="004D704A">
        <w:rPr>
          <w:rStyle w:val="FootnoteReference"/>
          <w:szCs w:val="24"/>
        </w:rPr>
        <w:footnoteReference w:id="161"/>
      </w:r>
      <w:r w:rsidRPr="004D704A">
        <w:rPr>
          <w:szCs w:val="24"/>
        </w:rPr>
        <w:t xml:space="preserve">  </w:t>
      </w:r>
      <w:r w:rsidR="00EE2BE1">
        <w:rPr>
          <w:szCs w:val="24"/>
        </w:rPr>
        <w:t>Thus Fineman</w:t>
      </w:r>
      <w:r w:rsidR="001E3C17">
        <w:rPr>
          <w:szCs w:val="24"/>
        </w:rPr>
        <w:t xml:space="preserve"> </w:t>
      </w:r>
      <w:r w:rsidR="00EE2BE1">
        <w:rPr>
          <w:szCs w:val="24"/>
        </w:rPr>
        <w:t>rejects the identification of specific vulnerable groups because it sustains the liberal myth that “normally, people are self-sufficient, independent, and autonomous.”</w:t>
      </w:r>
      <w:r w:rsidR="00EE2BE1">
        <w:rPr>
          <w:rStyle w:val="FootnoteReference"/>
          <w:szCs w:val="24"/>
        </w:rPr>
        <w:footnoteReference w:id="162"/>
      </w:r>
      <w:r w:rsidR="00EE2BE1">
        <w:rPr>
          <w:szCs w:val="24"/>
        </w:rPr>
        <w:t xml:space="preserve">  </w:t>
      </w:r>
      <w:r>
        <w:rPr>
          <w:szCs w:val="24"/>
        </w:rPr>
        <w:t>W</w:t>
      </w:r>
      <w:r w:rsidRPr="004D704A">
        <w:rPr>
          <w:szCs w:val="24"/>
        </w:rPr>
        <w:t>hile emphasising the ubiquity of vulnerability, Fineman identifies that individuals occupy different situational relationships</w:t>
      </w:r>
      <w:r w:rsidR="00CE30A2">
        <w:rPr>
          <w:szCs w:val="24"/>
        </w:rPr>
        <w:t xml:space="preserve"> to it</w:t>
      </w:r>
      <w:r w:rsidRPr="004D704A">
        <w:rPr>
          <w:szCs w:val="24"/>
        </w:rPr>
        <w:t>, based on their resilience through the accumulation of socio-material resources</w:t>
      </w:r>
      <w:r>
        <w:rPr>
          <w:szCs w:val="24"/>
        </w:rPr>
        <w:t xml:space="preserve">.  This conclusion leads her to argue </w:t>
      </w:r>
      <w:r w:rsidRPr="004D704A">
        <w:rPr>
          <w:szCs w:val="24"/>
        </w:rPr>
        <w:t>that the state is obliged to put in place institutions which allow all groups to build resilience to inevitable vulnerability</w:t>
      </w:r>
      <w:r w:rsidRPr="004D704A">
        <w:rPr>
          <w:rStyle w:val="FootnoteReference"/>
          <w:szCs w:val="24"/>
        </w:rPr>
        <w:footnoteReference w:id="163"/>
      </w:r>
      <w:r>
        <w:rPr>
          <w:szCs w:val="24"/>
        </w:rPr>
        <w:t xml:space="preserve"> </w:t>
      </w:r>
      <w:r w:rsidRPr="004D704A">
        <w:rPr>
          <w:szCs w:val="24"/>
        </w:rPr>
        <w:t xml:space="preserve">and thereby </w:t>
      </w:r>
      <w:r>
        <w:rPr>
          <w:szCs w:val="24"/>
        </w:rPr>
        <w:t>to promote</w:t>
      </w:r>
      <w:r w:rsidRPr="004D704A">
        <w:rPr>
          <w:szCs w:val="24"/>
        </w:rPr>
        <w:t xml:space="preserve"> democratic equality.</w:t>
      </w:r>
      <w:r w:rsidRPr="004D704A">
        <w:rPr>
          <w:rStyle w:val="FootnoteReference"/>
          <w:szCs w:val="24"/>
        </w:rPr>
        <w:footnoteReference w:id="164"/>
      </w:r>
      <w:r w:rsidRPr="004D704A">
        <w:rPr>
          <w:szCs w:val="24"/>
        </w:rPr>
        <w:t xml:space="preserve">  </w:t>
      </w:r>
    </w:p>
    <w:p w14:paraId="43B37FCC" w14:textId="77777777" w:rsidR="001E3C17" w:rsidRDefault="001E3C17" w:rsidP="005D235B">
      <w:pPr>
        <w:widowControl w:val="0"/>
        <w:suppressAutoHyphens/>
        <w:autoSpaceDE w:val="0"/>
        <w:autoSpaceDN w:val="0"/>
        <w:adjustRightInd w:val="0"/>
        <w:spacing w:before="80" w:after="80" w:line="360" w:lineRule="auto"/>
        <w:rPr>
          <w:szCs w:val="24"/>
        </w:rPr>
      </w:pPr>
    </w:p>
    <w:p w14:paraId="478FB961" w14:textId="6B70BD57" w:rsidR="0038364B" w:rsidRDefault="001E3C17" w:rsidP="005D235B">
      <w:pPr>
        <w:widowControl w:val="0"/>
        <w:suppressAutoHyphens/>
        <w:autoSpaceDE w:val="0"/>
        <w:autoSpaceDN w:val="0"/>
        <w:adjustRightInd w:val="0"/>
        <w:spacing w:before="80" w:after="80" w:line="360" w:lineRule="auto"/>
        <w:rPr>
          <w:szCs w:val="24"/>
        </w:rPr>
      </w:pPr>
      <w:r>
        <w:rPr>
          <w:szCs w:val="24"/>
        </w:rPr>
        <w:t>It is important to acknowledge that the meaning of vulnerability is imprecise and contested</w:t>
      </w:r>
      <w:r w:rsidR="00F673C1">
        <w:rPr>
          <w:szCs w:val="24"/>
        </w:rPr>
        <w:t>.</w:t>
      </w:r>
      <w:r>
        <w:rPr>
          <w:rStyle w:val="FootnoteReference"/>
          <w:szCs w:val="24"/>
        </w:rPr>
        <w:footnoteReference w:id="165"/>
      </w:r>
      <w:r>
        <w:rPr>
          <w:szCs w:val="24"/>
        </w:rPr>
        <w:t xml:space="preserve"> </w:t>
      </w:r>
      <w:r w:rsidR="00F673C1">
        <w:rPr>
          <w:szCs w:val="24"/>
        </w:rPr>
        <w:t xml:space="preserve">Nevertheless, </w:t>
      </w:r>
      <w:r w:rsidR="00BF7BAC">
        <w:rPr>
          <w:szCs w:val="24"/>
        </w:rPr>
        <w:t xml:space="preserve">having surveyed the literature, </w:t>
      </w:r>
      <w:r w:rsidR="00F673C1">
        <w:rPr>
          <w:szCs w:val="24"/>
        </w:rPr>
        <w:t xml:space="preserve">Graham discerns </w:t>
      </w:r>
      <w:r w:rsidR="00BF7BAC">
        <w:rPr>
          <w:szCs w:val="24"/>
        </w:rPr>
        <w:t>“</w:t>
      </w:r>
      <w:r w:rsidR="00BF7BAC" w:rsidRPr="00BF7BAC">
        <w:rPr>
          <w:szCs w:val="24"/>
        </w:rPr>
        <w:t>widespread agreement that vulnerability may be multi-factorial, multi-dimensional and transitory. To put it another way, it is not a characteristic of specified groups but something which may affect anyone in society.</w:t>
      </w:r>
      <w:r w:rsidR="00BF7BAC">
        <w:rPr>
          <w:szCs w:val="24"/>
        </w:rPr>
        <w:t>”</w:t>
      </w:r>
      <w:r w:rsidR="00644496">
        <w:rPr>
          <w:rStyle w:val="FootnoteReference"/>
          <w:szCs w:val="24"/>
        </w:rPr>
        <w:footnoteReference w:id="166"/>
      </w:r>
      <w:r w:rsidRPr="001E3C17">
        <w:rPr>
          <w:szCs w:val="24"/>
        </w:rPr>
        <w:t xml:space="preserve"> </w:t>
      </w:r>
      <w:r w:rsidR="00D269C6">
        <w:rPr>
          <w:szCs w:val="24"/>
        </w:rPr>
        <w:t>Currie identifies vulnerability as a state of high exposure to certain risks</w:t>
      </w:r>
      <w:r w:rsidR="00BF6091">
        <w:rPr>
          <w:szCs w:val="24"/>
        </w:rPr>
        <w:t>, combined with</w:t>
      </w:r>
      <w:r w:rsidR="00D269C6">
        <w:rPr>
          <w:szCs w:val="24"/>
        </w:rPr>
        <w:t xml:space="preserve"> reduced ability to protect oneself against </w:t>
      </w:r>
      <w:r w:rsidR="00165030">
        <w:rPr>
          <w:szCs w:val="24"/>
        </w:rPr>
        <w:t>them</w:t>
      </w:r>
      <w:r w:rsidR="00D269C6">
        <w:rPr>
          <w:szCs w:val="24"/>
        </w:rPr>
        <w:t xml:space="preserve"> and </w:t>
      </w:r>
      <w:r w:rsidR="00165030">
        <w:rPr>
          <w:szCs w:val="24"/>
        </w:rPr>
        <w:t>to</w:t>
      </w:r>
      <w:r w:rsidR="00D269C6">
        <w:rPr>
          <w:szCs w:val="24"/>
        </w:rPr>
        <w:t xml:space="preserve"> cope with their negative consequences.</w:t>
      </w:r>
      <w:r w:rsidR="00D269C6">
        <w:rPr>
          <w:rStyle w:val="FootnoteReference"/>
          <w:szCs w:val="24"/>
        </w:rPr>
        <w:footnoteReference w:id="167"/>
      </w:r>
      <w:r w:rsidR="00D269C6">
        <w:rPr>
          <w:szCs w:val="24"/>
        </w:rPr>
        <w:t xml:space="preserve">  </w:t>
      </w:r>
      <w:r w:rsidR="000A48CD">
        <w:rPr>
          <w:szCs w:val="24"/>
        </w:rPr>
        <w:t xml:space="preserve">Similarly, </w:t>
      </w:r>
      <w:r w:rsidR="002C2D79">
        <w:rPr>
          <w:szCs w:val="24"/>
        </w:rPr>
        <w:t xml:space="preserve">the related concept of </w:t>
      </w:r>
      <w:r w:rsidR="000A48CD">
        <w:rPr>
          <w:szCs w:val="24"/>
        </w:rPr>
        <w:t>precariousness is not a marginal phenomenon</w:t>
      </w:r>
      <w:r w:rsidR="00CB745B">
        <w:rPr>
          <w:szCs w:val="24"/>
        </w:rPr>
        <w:t>.</w:t>
      </w:r>
      <w:r w:rsidR="000A48CD">
        <w:rPr>
          <w:rStyle w:val="FootnoteReference"/>
          <w:szCs w:val="24"/>
        </w:rPr>
        <w:footnoteReference w:id="168"/>
      </w:r>
      <w:r w:rsidR="00F67F93">
        <w:rPr>
          <w:szCs w:val="24"/>
        </w:rPr>
        <w:t xml:space="preserve"> </w:t>
      </w:r>
      <w:r w:rsidR="00CB745B">
        <w:rPr>
          <w:szCs w:val="24"/>
        </w:rPr>
        <w:t xml:space="preserve">It has been recognised as </w:t>
      </w:r>
      <w:r w:rsidR="002A3007">
        <w:rPr>
          <w:szCs w:val="24"/>
        </w:rPr>
        <w:t>arising from the neo-liberal roll</w:t>
      </w:r>
      <w:r w:rsidR="00B22A9F">
        <w:rPr>
          <w:szCs w:val="24"/>
        </w:rPr>
        <w:t>-</w:t>
      </w:r>
      <w:r w:rsidR="002A3007">
        <w:rPr>
          <w:szCs w:val="24"/>
        </w:rPr>
        <w:t>b</w:t>
      </w:r>
      <w:r w:rsidR="00341886">
        <w:rPr>
          <w:szCs w:val="24"/>
        </w:rPr>
        <w:t>ack</w:t>
      </w:r>
      <w:r w:rsidR="00CB745B">
        <w:rPr>
          <w:szCs w:val="24"/>
        </w:rPr>
        <w:t xml:space="preserve"> </w:t>
      </w:r>
      <w:r w:rsidR="00543C05">
        <w:rPr>
          <w:szCs w:val="24"/>
        </w:rPr>
        <w:t>which has been</w:t>
      </w:r>
      <w:r w:rsidR="00803A23">
        <w:rPr>
          <w:szCs w:val="24"/>
        </w:rPr>
        <w:t xml:space="preserve"> further accentuated by the financial crisis of 2008.</w:t>
      </w:r>
      <w:r w:rsidR="00914B08">
        <w:rPr>
          <w:rStyle w:val="FootnoteReference"/>
          <w:szCs w:val="24"/>
        </w:rPr>
        <w:footnoteReference w:id="169"/>
      </w:r>
      <w:r w:rsidR="00803A23">
        <w:rPr>
          <w:szCs w:val="24"/>
        </w:rPr>
        <w:t xml:space="preserve"> </w:t>
      </w:r>
      <w:r w:rsidR="00543C05">
        <w:rPr>
          <w:szCs w:val="24"/>
        </w:rPr>
        <w:t>Its reach is pervasive and inter-related</w:t>
      </w:r>
      <w:r w:rsidR="008E5619">
        <w:rPr>
          <w:szCs w:val="24"/>
        </w:rPr>
        <w:t xml:space="preserve">. Precarious </w:t>
      </w:r>
      <w:r w:rsidR="00AF0232">
        <w:rPr>
          <w:szCs w:val="24"/>
        </w:rPr>
        <w:t>employment, typified by zero hours contracts and the so-called gig-economy, with attendant economic instability, combine</w:t>
      </w:r>
      <w:r w:rsidR="009D154E">
        <w:rPr>
          <w:szCs w:val="24"/>
        </w:rPr>
        <w:t>s</w:t>
      </w:r>
      <w:r w:rsidR="00AF0232">
        <w:rPr>
          <w:szCs w:val="24"/>
        </w:rPr>
        <w:t xml:space="preserve"> with the retrench</w:t>
      </w:r>
      <w:r w:rsidR="00C85553">
        <w:rPr>
          <w:szCs w:val="24"/>
        </w:rPr>
        <w:t>ment of state welfare provision</w:t>
      </w:r>
      <w:r w:rsidR="004E7D6C">
        <w:rPr>
          <w:szCs w:val="24"/>
        </w:rPr>
        <w:t xml:space="preserve"> and</w:t>
      </w:r>
      <w:r w:rsidR="00C85553">
        <w:rPr>
          <w:szCs w:val="24"/>
        </w:rPr>
        <w:t xml:space="preserve"> direc</w:t>
      </w:r>
      <w:r w:rsidR="00071EA5">
        <w:rPr>
          <w:szCs w:val="24"/>
        </w:rPr>
        <w:t>t</w:t>
      </w:r>
      <w:r w:rsidR="00C85553">
        <w:rPr>
          <w:szCs w:val="24"/>
        </w:rPr>
        <w:t>ly impacts on housing vulnerability</w:t>
      </w:r>
      <w:r w:rsidR="00A263C8">
        <w:rPr>
          <w:rStyle w:val="FootnoteReference"/>
          <w:szCs w:val="24"/>
        </w:rPr>
        <w:footnoteReference w:id="170"/>
      </w:r>
      <w:r w:rsidR="00071EA5">
        <w:rPr>
          <w:szCs w:val="24"/>
        </w:rPr>
        <w:t xml:space="preserve"> which </w:t>
      </w:r>
      <w:r w:rsidR="00FC1416">
        <w:rPr>
          <w:szCs w:val="24"/>
        </w:rPr>
        <w:t>is not limited to the private rental sector</w:t>
      </w:r>
      <w:r w:rsidR="0016526E">
        <w:rPr>
          <w:szCs w:val="24"/>
        </w:rPr>
        <w:t>.</w:t>
      </w:r>
      <w:r w:rsidR="00FC1416">
        <w:rPr>
          <w:rStyle w:val="FootnoteReference"/>
          <w:szCs w:val="24"/>
        </w:rPr>
        <w:footnoteReference w:id="171"/>
      </w:r>
      <w:r w:rsidR="00F112FD">
        <w:rPr>
          <w:szCs w:val="24"/>
        </w:rPr>
        <w:t xml:space="preserve"> </w:t>
      </w:r>
      <w:r w:rsidR="00AA558D">
        <w:rPr>
          <w:szCs w:val="24"/>
        </w:rPr>
        <w:t xml:space="preserve">Hunter and Meers identify </w:t>
      </w:r>
      <w:r w:rsidR="008110F5">
        <w:rPr>
          <w:szCs w:val="24"/>
        </w:rPr>
        <w:t>security of tenure as a key factor “with a lack of security tending to greater precarity.”</w:t>
      </w:r>
      <w:r w:rsidR="008110F5">
        <w:rPr>
          <w:rStyle w:val="FootnoteReference"/>
          <w:szCs w:val="24"/>
        </w:rPr>
        <w:footnoteReference w:id="172"/>
      </w:r>
      <w:r w:rsidR="008110F5">
        <w:rPr>
          <w:szCs w:val="24"/>
        </w:rPr>
        <w:t xml:space="preserve">  </w:t>
      </w:r>
      <w:r w:rsidR="0016526E">
        <w:rPr>
          <w:szCs w:val="24"/>
        </w:rPr>
        <w:t>That precariousness is compounded by dependence; “where an individual lacks the capacity to choose or negotiate their circumstances.”</w:t>
      </w:r>
      <w:r w:rsidR="0016526E">
        <w:rPr>
          <w:rStyle w:val="FootnoteReference"/>
          <w:szCs w:val="24"/>
        </w:rPr>
        <w:footnoteReference w:id="173"/>
      </w:r>
      <w:r w:rsidR="0016526E">
        <w:rPr>
          <w:szCs w:val="24"/>
        </w:rPr>
        <w:t xml:space="preserve">  </w:t>
      </w:r>
      <w:r w:rsidR="00F112FD">
        <w:rPr>
          <w:szCs w:val="24"/>
        </w:rPr>
        <w:t xml:space="preserve">We argue that the AST </w:t>
      </w:r>
      <w:r w:rsidR="003B3123">
        <w:rPr>
          <w:szCs w:val="24"/>
        </w:rPr>
        <w:t>– as a tenure – i</w:t>
      </w:r>
      <w:r w:rsidR="00F112FD">
        <w:rPr>
          <w:szCs w:val="24"/>
        </w:rPr>
        <w:t xml:space="preserve">s inherently precarious because of its no-fault, mandatory right of </w:t>
      </w:r>
      <w:r w:rsidR="003B3123">
        <w:rPr>
          <w:szCs w:val="24"/>
        </w:rPr>
        <w:t xml:space="preserve">repossession.  </w:t>
      </w:r>
      <w:r w:rsidR="008110F5">
        <w:rPr>
          <w:szCs w:val="24"/>
        </w:rPr>
        <w:t>Yet</w:t>
      </w:r>
      <w:r w:rsidR="004203FD">
        <w:rPr>
          <w:szCs w:val="24"/>
        </w:rPr>
        <w:t xml:space="preserve"> that precariousness will be experienced differently,</w:t>
      </w:r>
      <w:r w:rsidR="003B3123">
        <w:rPr>
          <w:szCs w:val="24"/>
        </w:rPr>
        <w:t xml:space="preserve"> depending on </w:t>
      </w:r>
      <w:r w:rsidR="004203FD">
        <w:rPr>
          <w:szCs w:val="24"/>
        </w:rPr>
        <w:t>the person’s</w:t>
      </w:r>
      <w:r w:rsidR="003B3123">
        <w:rPr>
          <w:szCs w:val="24"/>
        </w:rPr>
        <w:t xml:space="preserve"> ability to withstand </w:t>
      </w:r>
      <w:r w:rsidR="004E6DAC">
        <w:rPr>
          <w:szCs w:val="24"/>
        </w:rPr>
        <w:t xml:space="preserve">the </w:t>
      </w:r>
      <w:r w:rsidR="003B3123">
        <w:rPr>
          <w:szCs w:val="24"/>
        </w:rPr>
        <w:t xml:space="preserve">loss of their </w:t>
      </w:r>
      <w:r w:rsidR="004E6DAC">
        <w:rPr>
          <w:szCs w:val="24"/>
        </w:rPr>
        <w:t>home</w:t>
      </w:r>
      <w:r w:rsidR="003B3123">
        <w:rPr>
          <w:szCs w:val="24"/>
        </w:rPr>
        <w:t>.</w:t>
      </w:r>
      <w:r w:rsidR="00FC1416">
        <w:rPr>
          <w:szCs w:val="24"/>
        </w:rPr>
        <w:t xml:space="preserve">  </w:t>
      </w:r>
      <w:r w:rsidR="004E6DAC">
        <w:rPr>
          <w:szCs w:val="24"/>
        </w:rPr>
        <w:t xml:space="preserve">It is likely that </w:t>
      </w:r>
      <w:r w:rsidR="00AA558D">
        <w:rPr>
          <w:szCs w:val="24"/>
        </w:rPr>
        <w:t>the majority of tenants</w:t>
      </w:r>
      <w:r w:rsidR="008110F5">
        <w:rPr>
          <w:szCs w:val="24"/>
        </w:rPr>
        <w:t xml:space="preserve"> will </w:t>
      </w:r>
      <w:r w:rsidR="004E6DAC">
        <w:rPr>
          <w:szCs w:val="24"/>
        </w:rPr>
        <w:t>be</w:t>
      </w:r>
      <w:r w:rsidR="008110F5">
        <w:rPr>
          <w:szCs w:val="24"/>
        </w:rPr>
        <w:t xml:space="preserve"> sufficient</w:t>
      </w:r>
      <w:r w:rsidR="004E6DAC">
        <w:rPr>
          <w:szCs w:val="24"/>
        </w:rPr>
        <w:t>ly resilient to render</w:t>
      </w:r>
      <w:r w:rsidR="00772857">
        <w:rPr>
          <w:szCs w:val="24"/>
        </w:rPr>
        <w:t xml:space="preserve"> </w:t>
      </w:r>
      <w:r w:rsidR="004E6DAC">
        <w:rPr>
          <w:szCs w:val="24"/>
        </w:rPr>
        <w:t xml:space="preserve">the </w:t>
      </w:r>
      <w:r w:rsidR="0016526E">
        <w:rPr>
          <w:szCs w:val="24"/>
        </w:rPr>
        <w:t>application</w:t>
      </w:r>
      <w:r w:rsidR="004E6DAC">
        <w:rPr>
          <w:szCs w:val="24"/>
        </w:rPr>
        <w:t xml:space="preserve"> of </w:t>
      </w:r>
      <w:r w:rsidR="00772857">
        <w:rPr>
          <w:szCs w:val="24"/>
        </w:rPr>
        <w:t>proportionality irrelevant</w:t>
      </w:r>
      <w:r w:rsidR="004E75A1">
        <w:rPr>
          <w:szCs w:val="24"/>
        </w:rPr>
        <w:t xml:space="preserve"> and, consequently, precariousness on its own is insufficient as an analytical framework</w:t>
      </w:r>
      <w:r w:rsidR="00133D64">
        <w:rPr>
          <w:szCs w:val="24"/>
        </w:rPr>
        <w:t>.</w:t>
      </w:r>
      <w:r w:rsidR="008110F5">
        <w:rPr>
          <w:szCs w:val="24"/>
        </w:rPr>
        <w:t xml:space="preserve"> </w:t>
      </w:r>
      <w:r w:rsidR="004E75A1">
        <w:rPr>
          <w:szCs w:val="24"/>
        </w:rPr>
        <w:t xml:space="preserve">However, where </w:t>
      </w:r>
      <w:r w:rsidR="00772857">
        <w:rPr>
          <w:szCs w:val="24"/>
        </w:rPr>
        <w:t xml:space="preserve">housing precarity </w:t>
      </w:r>
      <w:r w:rsidR="00876A45">
        <w:rPr>
          <w:szCs w:val="24"/>
        </w:rPr>
        <w:t xml:space="preserve">and dependence on the private rental sector </w:t>
      </w:r>
      <w:r w:rsidR="00772857">
        <w:rPr>
          <w:szCs w:val="24"/>
        </w:rPr>
        <w:t>coincide with insecure employment and financial instability,</w:t>
      </w:r>
      <w:r w:rsidR="004B5DB2">
        <w:rPr>
          <w:szCs w:val="24"/>
        </w:rPr>
        <w:t xml:space="preserve"> for example,</w:t>
      </w:r>
      <w:r w:rsidR="00772857">
        <w:rPr>
          <w:szCs w:val="24"/>
        </w:rPr>
        <w:t xml:space="preserve"> </w:t>
      </w:r>
      <w:r w:rsidR="004B5DB2">
        <w:rPr>
          <w:szCs w:val="24"/>
        </w:rPr>
        <w:t>a tenant</w:t>
      </w:r>
      <w:r w:rsidR="004E75A1">
        <w:rPr>
          <w:szCs w:val="24"/>
        </w:rPr>
        <w:t xml:space="preserve"> may </w:t>
      </w:r>
      <w:r w:rsidR="004B5DB2">
        <w:rPr>
          <w:szCs w:val="24"/>
        </w:rPr>
        <w:t xml:space="preserve">be </w:t>
      </w:r>
      <w:r w:rsidR="00772857">
        <w:rPr>
          <w:szCs w:val="24"/>
        </w:rPr>
        <w:t>vulnerable</w:t>
      </w:r>
      <w:r w:rsidR="00AE6ACA">
        <w:rPr>
          <w:szCs w:val="24"/>
        </w:rPr>
        <w:t xml:space="preserve"> </w:t>
      </w:r>
      <w:r w:rsidR="0016526E">
        <w:rPr>
          <w:szCs w:val="24"/>
        </w:rPr>
        <w:t>in the event of repossession</w:t>
      </w:r>
      <w:r w:rsidR="00772857">
        <w:rPr>
          <w:szCs w:val="24"/>
        </w:rPr>
        <w:t xml:space="preserve">.  </w:t>
      </w:r>
    </w:p>
    <w:p w14:paraId="55CED832" w14:textId="77777777" w:rsidR="0038364B" w:rsidRDefault="0038364B" w:rsidP="005D235B">
      <w:pPr>
        <w:widowControl w:val="0"/>
        <w:suppressAutoHyphens/>
        <w:autoSpaceDE w:val="0"/>
        <w:autoSpaceDN w:val="0"/>
        <w:adjustRightInd w:val="0"/>
        <w:spacing w:before="80" w:after="80" w:line="360" w:lineRule="auto"/>
        <w:rPr>
          <w:szCs w:val="24"/>
        </w:rPr>
      </w:pPr>
    </w:p>
    <w:p w14:paraId="41CD19E1" w14:textId="529937FA" w:rsidR="00800989" w:rsidRDefault="00897BD8" w:rsidP="005D235B">
      <w:pPr>
        <w:widowControl w:val="0"/>
        <w:suppressAutoHyphens/>
        <w:autoSpaceDE w:val="0"/>
        <w:autoSpaceDN w:val="0"/>
        <w:adjustRightInd w:val="0"/>
        <w:spacing w:before="80" w:after="80" w:line="360" w:lineRule="auto"/>
        <w:rPr>
          <w:szCs w:val="24"/>
        </w:rPr>
      </w:pPr>
      <w:r>
        <w:rPr>
          <w:szCs w:val="24"/>
        </w:rPr>
        <w:t xml:space="preserve"> </w:t>
      </w:r>
      <w:r w:rsidR="00C97868">
        <w:rPr>
          <w:szCs w:val="24"/>
        </w:rPr>
        <w:t>T</w:t>
      </w:r>
      <w:r w:rsidR="00772857">
        <w:rPr>
          <w:szCs w:val="24"/>
        </w:rPr>
        <w:t>herefore</w:t>
      </w:r>
      <w:r w:rsidR="00141F73">
        <w:rPr>
          <w:szCs w:val="24"/>
        </w:rPr>
        <w:t>,</w:t>
      </w:r>
      <w:r w:rsidR="00772857">
        <w:rPr>
          <w:szCs w:val="24"/>
        </w:rPr>
        <w:t xml:space="preserve"> </w:t>
      </w:r>
      <w:r w:rsidR="00C97868">
        <w:rPr>
          <w:szCs w:val="24"/>
        </w:rPr>
        <w:t xml:space="preserve">could this wider conception of </w:t>
      </w:r>
      <w:r>
        <w:rPr>
          <w:szCs w:val="24"/>
        </w:rPr>
        <w:t>vulnerability</w:t>
      </w:r>
      <w:r w:rsidR="00CD38FC">
        <w:rPr>
          <w:szCs w:val="24"/>
        </w:rPr>
        <w:t xml:space="preserve"> assist in constructing </w:t>
      </w:r>
      <w:r w:rsidR="001E3C17">
        <w:rPr>
          <w:szCs w:val="24"/>
        </w:rPr>
        <w:t xml:space="preserve">a framework within which </w:t>
      </w:r>
      <w:r w:rsidR="00CD38FC">
        <w:rPr>
          <w:szCs w:val="24"/>
        </w:rPr>
        <w:t xml:space="preserve">to </w:t>
      </w:r>
      <w:r w:rsidR="008A248F">
        <w:rPr>
          <w:szCs w:val="24"/>
        </w:rPr>
        <w:t xml:space="preserve">articulate and balance </w:t>
      </w:r>
      <w:r w:rsidR="001E3C17">
        <w:rPr>
          <w:szCs w:val="24"/>
        </w:rPr>
        <w:t>the competing rights at stake in repossession of a person’s home</w:t>
      </w:r>
      <w:r w:rsidR="00C97868">
        <w:rPr>
          <w:szCs w:val="24"/>
        </w:rPr>
        <w:t>?</w:t>
      </w:r>
      <w:r w:rsidR="001E3C17">
        <w:rPr>
          <w:szCs w:val="24"/>
        </w:rPr>
        <w:t xml:space="preserve">  </w:t>
      </w:r>
      <w:r w:rsidR="001E3C17" w:rsidRPr="003E5E30">
        <w:rPr>
          <w:szCs w:val="24"/>
        </w:rPr>
        <w:t xml:space="preserve">First, </w:t>
      </w:r>
      <w:r>
        <w:rPr>
          <w:szCs w:val="24"/>
        </w:rPr>
        <w:t>Fineman’s thesis</w:t>
      </w:r>
      <w:r w:rsidR="001E3C17" w:rsidRPr="003E5E30">
        <w:rPr>
          <w:szCs w:val="24"/>
        </w:rPr>
        <w:t xml:space="preserve"> explicitly recognises that either party may be vulnerable</w:t>
      </w:r>
      <w:r w:rsidR="008A248F" w:rsidRPr="003E5E30">
        <w:rPr>
          <w:szCs w:val="24"/>
        </w:rPr>
        <w:t xml:space="preserve"> and therefore our </w:t>
      </w:r>
      <w:r w:rsidR="00185B5E" w:rsidRPr="004B5326">
        <w:rPr>
          <w:szCs w:val="24"/>
        </w:rPr>
        <w:t xml:space="preserve">starting point is </w:t>
      </w:r>
      <w:r w:rsidR="00EC7E6D" w:rsidRPr="004B5326">
        <w:rPr>
          <w:szCs w:val="24"/>
        </w:rPr>
        <w:t>that neither side’s rights automatically trump the other’s</w:t>
      </w:r>
      <w:r w:rsidR="003E5E30" w:rsidRPr="004B5326">
        <w:rPr>
          <w:szCs w:val="24"/>
        </w:rPr>
        <w:t xml:space="preserve">, a proposition supported </w:t>
      </w:r>
      <w:r w:rsidRPr="004B5326">
        <w:rPr>
          <w:szCs w:val="24"/>
        </w:rPr>
        <w:t xml:space="preserve">by the </w:t>
      </w:r>
      <w:r w:rsidR="00717A41">
        <w:rPr>
          <w:szCs w:val="24"/>
        </w:rPr>
        <w:t xml:space="preserve">ECtHR and the </w:t>
      </w:r>
      <w:r w:rsidRPr="004B5326">
        <w:rPr>
          <w:szCs w:val="24"/>
        </w:rPr>
        <w:t>Council of Europe</w:t>
      </w:r>
      <w:r w:rsidR="00F07894" w:rsidRPr="004B5326">
        <w:rPr>
          <w:szCs w:val="24"/>
        </w:rPr>
        <w:t xml:space="preserve"> in relation to the Convention</w:t>
      </w:r>
      <w:r w:rsidRPr="004B5326">
        <w:rPr>
          <w:szCs w:val="24"/>
        </w:rPr>
        <w:t>.</w:t>
      </w:r>
      <w:r w:rsidR="003E5E30" w:rsidRPr="003E5E30">
        <w:rPr>
          <w:rStyle w:val="FootnoteReference"/>
          <w:color w:val="000000"/>
          <w:szCs w:val="24"/>
        </w:rPr>
        <w:footnoteReference w:id="174"/>
      </w:r>
      <w:r w:rsidR="003E5E30" w:rsidRPr="003E5E30">
        <w:rPr>
          <w:color w:val="000000"/>
          <w:szCs w:val="24"/>
        </w:rPr>
        <w:t xml:space="preserve"> </w:t>
      </w:r>
      <w:r w:rsidR="00EC7E6D" w:rsidRPr="003E5E30">
        <w:rPr>
          <w:szCs w:val="24"/>
        </w:rPr>
        <w:t>T</w:t>
      </w:r>
      <w:r w:rsidR="001E3C17">
        <w:rPr>
          <w:szCs w:val="24"/>
        </w:rPr>
        <w:t xml:space="preserve">hus, in our context, a landlord may be vulnerable, despite </w:t>
      </w:r>
      <w:r w:rsidR="008A248F">
        <w:rPr>
          <w:szCs w:val="24"/>
        </w:rPr>
        <w:t>an</w:t>
      </w:r>
      <w:r w:rsidR="001E3C17">
        <w:rPr>
          <w:szCs w:val="24"/>
        </w:rPr>
        <w:t xml:space="preserve"> ostensibly more powerful position in terms of their superior property rights and ability to invoke </w:t>
      </w:r>
      <w:r w:rsidR="00E43400">
        <w:rPr>
          <w:szCs w:val="24"/>
        </w:rPr>
        <w:t xml:space="preserve">no-fault </w:t>
      </w:r>
      <w:r w:rsidR="001E3C17">
        <w:rPr>
          <w:szCs w:val="24"/>
        </w:rPr>
        <w:t>repossession.</w:t>
      </w:r>
      <w:r w:rsidR="00E50E79" w:rsidRPr="00E50E79">
        <w:rPr>
          <w:rStyle w:val="FootnoteReference"/>
          <w:szCs w:val="24"/>
        </w:rPr>
        <w:t xml:space="preserve"> </w:t>
      </w:r>
      <w:r w:rsidR="00F67F93">
        <w:rPr>
          <w:szCs w:val="24"/>
        </w:rPr>
        <w:t xml:space="preserve"> </w:t>
      </w:r>
      <w:r w:rsidR="00903898">
        <w:t>For example</w:t>
      </w:r>
      <w:r w:rsidR="00F67F93">
        <w:t>,</w:t>
      </w:r>
      <w:r w:rsidR="00903898">
        <w:t xml:space="preserve"> in </w:t>
      </w:r>
      <w:r w:rsidR="00903898">
        <w:rPr>
          <w:i/>
        </w:rPr>
        <w:t>Akerman-Livingston</w:t>
      </w:r>
      <w:r w:rsidR="00903898">
        <w:t xml:space="preserve"> </w:t>
      </w:r>
      <w:r w:rsidR="00013A8D">
        <w:t xml:space="preserve">the fact that </w:t>
      </w:r>
      <w:r w:rsidR="00903898">
        <w:t xml:space="preserve">the landlord’s </w:t>
      </w:r>
      <w:r w:rsidR="00013A8D">
        <w:t xml:space="preserve">own lease had been terminated as a result of the freehold owner’s desire to </w:t>
      </w:r>
      <w:r w:rsidR="00903898">
        <w:t xml:space="preserve">sell the </w:t>
      </w:r>
      <w:r w:rsidR="00013A8D">
        <w:t xml:space="preserve">whole </w:t>
      </w:r>
      <w:r w:rsidR="00903898">
        <w:t>building</w:t>
      </w:r>
      <w:r w:rsidR="00013A8D">
        <w:t>,</w:t>
      </w:r>
      <w:r w:rsidR="00903898">
        <w:t xml:space="preserve"> helped to demonstrate the proportionality of the eviction.</w:t>
      </w:r>
      <w:r w:rsidR="00E50E79">
        <w:rPr>
          <w:rStyle w:val="FootnoteReference"/>
          <w:szCs w:val="24"/>
        </w:rPr>
        <w:footnoteReference w:id="175"/>
      </w:r>
      <w:r w:rsidR="00E50E79">
        <w:rPr>
          <w:szCs w:val="24"/>
        </w:rPr>
        <w:t xml:space="preserve">  </w:t>
      </w:r>
      <w:r w:rsidR="001E3C17">
        <w:rPr>
          <w:szCs w:val="24"/>
        </w:rPr>
        <w:t xml:space="preserve">Secondly, it </w:t>
      </w:r>
      <w:r w:rsidR="00223256">
        <w:rPr>
          <w:szCs w:val="24"/>
        </w:rPr>
        <w:t xml:space="preserve">is inherently a relational concept </w:t>
      </w:r>
      <w:r w:rsidR="001E3C17">
        <w:rPr>
          <w:szCs w:val="24"/>
        </w:rPr>
        <w:t>which places</w:t>
      </w:r>
      <w:r w:rsidR="00223256">
        <w:rPr>
          <w:szCs w:val="24"/>
        </w:rPr>
        <w:t xml:space="preserve"> the individual in his or her social context</w:t>
      </w:r>
      <w:r w:rsidR="00865D7B">
        <w:rPr>
          <w:szCs w:val="24"/>
        </w:rPr>
        <w:t>;</w:t>
      </w:r>
      <w:r w:rsidR="00223256">
        <w:rPr>
          <w:rStyle w:val="FootnoteReference"/>
          <w:szCs w:val="24"/>
        </w:rPr>
        <w:footnoteReference w:id="176"/>
      </w:r>
      <w:r w:rsidR="001E3C17">
        <w:rPr>
          <w:szCs w:val="24"/>
        </w:rPr>
        <w:t xml:space="preserve"> </w:t>
      </w:r>
      <w:r w:rsidR="00865D7B">
        <w:rPr>
          <w:szCs w:val="24"/>
        </w:rPr>
        <w:t>a facet of which may be their relative precariousness.</w:t>
      </w:r>
      <w:r w:rsidR="001E3C17">
        <w:rPr>
          <w:szCs w:val="24"/>
        </w:rPr>
        <w:t xml:space="preserve"> </w:t>
      </w:r>
      <w:r w:rsidR="008023F7">
        <w:rPr>
          <w:szCs w:val="24"/>
        </w:rPr>
        <w:t xml:space="preserve">Focusing on situational or contextual vulnerability </w:t>
      </w:r>
      <w:r w:rsidR="00A132D3">
        <w:rPr>
          <w:szCs w:val="24"/>
        </w:rPr>
        <w:t>appropriately demarcates the court</w:t>
      </w:r>
      <w:r w:rsidR="00F07894">
        <w:rPr>
          <w:szCs w:val="24"/>
        </w:rPr>
        <w:t>’s</w:t>
      </w:r>
      <w:r w:rsidR="00A132D3">
        <w:rPr>
          <w:szCs w:val="24"/>
        </w:rPr>
        <w:t xml:space="preserve"> role by avoiding pre-defining vulnerable groups</w:t>
      </w:r>
      <w:r w:rsidR="00C10261">
        <w:rPr>
          <w:szCs w:val="24"/>
        </w:rPr>
        <w:t xml:space="preserve"> in need </w:t>
      </w:r>
      <w:r w:rsidR="008A248F">
        <w:rPr>
          <w:szCs w:val="24"/>
        </w:rPr>
        <w:t>of</w:t>
      </w:r>
      <w:r w:rsidR="00C10261">
        <w:rPr>
          <w:szCs w:val="24"/>
        </w:rPr>
        <w:t xml:space="preserve"> protection</w:t>
      </w:r>
      <w:r w:rsidR="00800989">
        <w:rPr>
          <w:szCs w:val="24"/>
        </w:rPr>
        <w:t xml:space="preserve">.  </w:t>
      </w:r>
      <w:r w:rsidR="00165030">
        <w:rPr>
          <w:szCs w:val="24"/>
        </w:rPr>
        <w:t>Unlike the statutory mechanism which permits the court to delay repossession where the tenant faces ‘exceptional hardship’,</w:t>
      </w:r>
      <w:r w:rsidR="00165030">
        <w:rPr>
          <w:rStyle w:val="FootnoteReference"/>
          <w:szCs w:val="24"/>
        </w:rPr>
        <w:footnoteReference w:id="177"/>
      </w:r>
      <w:r w:rsidR="00165030">
        <w:rPr>
          <w:szCs w:val="24"/>
        </w:rPr>
        <w:t xml:space="preserve"> discussed above, a vulnerability framework gives equal weight to the landlord’s position.</w:t>
      </w:r>
    </w:p>
    <w:p w14:paraId="502B2243" w14:textId="77777777" w:rsidR="00F07894" w:rsidRDefault="00F07894" w:rsidP="005D235B">
      <w:pPr>
        <w:widowControl w:val="0"/>
        <w:suppressAutoHyphens/>
        <w:autoSpaceDE w:val="0"/>
        <w:autoSpaceDN w:val="0"/>
        <w:adjustRightInd w:val="0"/>
        <w:spacing w:before="80" w:after="80" w:line="360" w:lineRule="auto"/>
        <w:rPr>
          <w:szCs w:val="24"/>
        </w:rPr>
      </w:pPr>
    </w:p>
    <w:p w14:paraId="286F9747" w14:textId="355C41A2" w:rsidR="00FD61B4" w:rsidRDefault="00F07894" w:rsidP="005D235B">
      <w:pPr>
        <w:widowControl w:val="0"/>
        <w:suppressAutoHyphens/>
        <w:autoSpaceDE w:val="0"/>
        <w:autoSpaceDN w:val="0"/>
        <w:adjustRightInd w:val="0"/>
        <w:spacing w:before="80" w:after="80" w:line="360" w:lineRule="auto"/>
        <w:rPr>
          <w:szCs w:val="24"/>
        </w:rPr>
      </w:pPr>
      <w:r>
        <w:rPr>
          <w:szCs w:val="24"/>
        </w:rPr>
        <w:t>We have argued that</w:t>
      </w:r>
      <w:r w:rsidR="00817549">
        <w:rPr>
          <w:szCs w:val="24"/>
        </w:rPr>
        <w:t xml:space="preserve"> the Supreme Court’s characterisation of the AST draws heavily on the image of classical rational legal subjects making consensual, freely negotiated contractual bargain</w:t>
      </w:r>
      <w:r w:rsidR="00430D02">
        <w:rPr>
          <w:szCs w:val="24"/>
        </w:rPr>
        <w:t>s</w:t>
      </w:r>
      <w:r w:rsidR="00817549">
        <w:rPr>
          <w:szCs w:val="24"/>
        </w:rPr>
        <w:t>.  Vulnerability offers the potential to disrupt that construction by</w:t>
      </w:r>
      <w:r w:rsidR="00430D02">
        <w:rPr>
          <w:szCs w:val="24"/>
        </w:rPr>
        <w:t xml:space="preserve"> recognising that the decision to enter an AST agreement is rooted in the social and economic circumstances of the transaction.</w:t>
      </w:r>
      <w:r w:rsidR="00430D02">
        <w:rPr>
          <w:rStyle w:val="FootnoteReference"/>
          <w:szCs w:val="24"/>
        </w:rPr>
        <w:footnoteReference w:id="178"/>
      </w:r>
      <w:r w:rsidR="00F969B4">
        <w:rPr>
          <w:szCs w:val="24"/>
        </w:rPr>
        <w:t xml:space="preserve">  </w:t>
      </w:r>
      <w:r w:rsidR="00FD61B4">
        <w:rPr>
          <w:szCs w:val="24"/>
        </w:rPr>
        <w:t xml:space="preserve">Our primary criticism of the Supreme Court’s opinion is the failure to appreciate that </w:t>
      </w:r>
      <w:r w:rsidR="003666C4">
        <w:rPr>
          <w:szCs w:val="24"/>
        </w:rPr>
        <w:t xml:space="preserve">many </w:t>
      </w:r>
      <w:r w:rsidR="00FD61B4">
        <w:rPr>
          <w:szCs w:val="24"/>
        </w:rPr>
        <w:t>assured shorthold tenants lack any other options</w:t>
      </w:r>
      <w:r>
        <w:rPr>
          <w:szCs w:val="24"/>
        </w:rPr>
        <w:t>;</w:t>
      </w:r>
      <w:r w:rsidR="00FD61B4">
        <w:rPr>
          <w:szCs w:val="24"/>
        </w:rPr>
        <w:t xml:space="preserve"> </w:t>
      </w:r>
      <w:r w:rsidR="005F42F4">
        <w:rPr>
          <w:szCs w:val="24"/>
        </w:rPr>
        <w:t xml:space="preserve">a position which can </w:t>
      </w:r>
      <w:r w:rsidR="001A04E8">
        <w:rPr>
          <w:szCs w:val="24"/>
        </w:rPr>
        <w:t xml:space="preserve">cause or </w:t>
      </w:r>
      <w:r w:rsidR="005F42F4">
        <w:rPr>
          <w:szCs w:val="24"/>
        </w:rPr>
        <w:t>exacerbate vulnerability</w:t>
      </w:r>
      <w:r w:rsidR="00FD61B4">
        <w:rPr>
          <w:szCs w:val="24"/>
        </w:rPr>
        <w:t xml:space="preserve">.  </w:t>
      </w:r>
      <w:r w:rsidR="002866C2">
        <w:rPr>
          <w:szCs w:val="24"/>
        </w:rPr>
        <w:t xml:space="preserve">This argument has resonance in other </w:t>
      </w:r>
      <w:r w:rsidR="00FD61B4">
        <w:rPr>
          <w:szCs w:val="24"/>
        </w:rPr>
        <w:t xml:space="preserve">areas </w:t>
      </w:r>
      <w:r w:rsidR="005F42F4">
        <w:rPr>
          <w:szCs w:val="24"/>
        </w:rPr>
        <w:t>typified by lack of real choice</w:t>
      </w:r>
      <w:r w:rsidR="002866C2">
        <w:rPr>
          <w:szCs w:val="24"/>
        </w:rPr>
        <w:t xml:space="preserve">.  </w:t>
      </w:r>
      <w:r w:rsidR="00F969B4">
        <w:rPr>
          <w:szCs w:val="24"/>
        </w:rPr>
        <w:t xml:space="preserve">Fox O’Mahony has employed situational vulnerability to highlight the </w:t>
      </w:r>
      <w:r w:rsidR="005B1054">
        <w:rPr>
          <w:szCs w:val="24"/>
        </w:rPr>
        <w:t>risks for some</w:t>
      </w:r>
      <w:r w:rsidR="00F969B4">
        <w:rPr>
          <w:szCs w:val="24"/>
        </w:rPr>
        <w:t xml:space="preserve"> older homeowners of entering equity release agreements</w:t>
      </w:r>
      <w:r w:rsidR="005B1054">
        <w:rPr>
          <w:szCs w:val="24"/>
        </w:rPr>
        <w:t>,</w:t>
      </w:r>
      <w:r w:rsidR="00F969B4">
        <w:rPr>
          <w:szCs w:val="24"/>
        </w:rPr>
        <w:t xml:space="preserve"> in a socio-political environment which </w:t>
      </w:r>
      <w:r w:rsidR="005B1054">
        <w:rPr>
          <w:szCs w:val="24"/>
        </w:rPr>
        <w:t>gives them little or no</w:t>
      </w:r>
      <w:r w:rsidR="00F969B4">
        <w:rPr>
          <w:szCs w:val="24"/>
        </w:rPr>
        <w:t xml:space="preserve"> choice whether to do so.</w:t>
      </w:r>
      <w:r w:rsidR="00F969B4">
        <w:rPr>
          <w:rStyle w:val="FootnoteReference"/>
          <w:szCs w:val="24"/>
        </w:rPr>
        <w:footnoteReference w:id="179"/>
      </w:r>
      <w:r w:rsidR="00F969B4">
        <w:rPr>
          <w:szCs w:val="24"/>
        </w:rPr>
        <w:t xml:space="preserve">  </w:t>
      </w:r>
      <w:r w:rsidR="00BA6AD7">
        <w:rPr>
          <w:szCs w:val="24"/>
        </w:rPr>
        <w:t xml:space="preserve">In the context of </w:t>
      </w:r>
      <w:r w:rsidR="003158FD">
        <w:rPr>
          <w:szCs w:val="24"/>
        </w:rPr>
        <w:t>the energy market</w:t>
      </w:r>
      <w:r w:rsidR="00BA6AD7">
        <w:rPr>
          <w:szCs w:val="24"/>
        </w:rPr>
        <w:t xml:space="preserve">, Ofgem </w:t>
      </w:r>
      <w:r w:rsidR="005F42F4">
        <w:rPr>
          <w:szCs w:val="24"/>
        </w:rPr>
        <w:t>defines</w:t>
      </w:r>
      <w:r w:rsidR="00BA6AD7">
        <w:rPr>
          <w:szCs w:val="24"/>
        </w:rPr>
        <w:t xml:space="preserve"> vulnerability as</w:t>
      </w:r>
      <w:r w:rsidR="00FD61B4">
        <w:rPr>
          <w:szCs w:val="24"/>
        </w:rPr>
        <w:t>:</w:t>
      </w:r>
      <w:r w:rsidR="00BA6AD7">
        <w:rPr>
          <w:szCs w:val="24"/>
        </w:rPr>
        <w:t xml:space="preserve"> </w:t>
      </w:r>
    </w:p>
    <w:p w14:paraId="3731DC11" w14:textId="77777777" w:rsidR="0038364B" w:rsidRDefault="0038364B" w:rsidP="005D235B">
      <w:pPr>
        <w:widowControl w:val="0"/>
        <w:suppressAutoHyphens/>
        <w:autoSpaceDE w:val="0"/>
        <w:autoSpaceDN w:val="0"/>
        <w:adjustRightInd w:val="0"/>
        <w:spacing w:before="80" w:after="80" w:line="360" w:lineRule="auto"/>
        <w:rPr>
          <w:szCs w:val="24"/>
        </w:rPr>
      </w:pPr>
    </w:p>
    <w:p w14:paraId="3604422F" w14:textId="0ED43DA3" w:rsidR="00FD61B4" w:rsidRDefault="00FD61B4" w:rsidP="005D235B">
      <w:pPr>
        <w:widowControl w:val="0"/>
        <w:suppressAutoHyphens/>
        <w:autoSpaceDE w:val="0"/>
        <w:autoSpaceDN w:val="0"/>
        <w:adjustRightInd w:val="0"/>
        <w:spacing w:before="80" w:after="80" w:line="360" w:lineRule="auto"/>
        <w:ind w:left="720"/>
        <w:rPr>
          <w:szCs w:val="24"/>
        </w:rPr>
      </w:pPr>
      <w:r>
        <w:rPr>
          <w:szCs w:val="24"/>
        </w:rPr>
        <w:t>[W]</w:t>
      </w:r>
      <w:r w:rsidR="00BA6AD7" w:rsidRPr="00BA6AD7">
        <w:rPr>
          <w:szCs w:val="24"/>
        </w:rPr>
        <w:t>hen a consumer’s personal circumstances</w:t>
      </w:r>
      <w:r w:rsidR="00BA6AD7">
        <w:rPr>
          <w:szCs w:val="24"/>
        </w:rPr>
        <w:t xml:space="preserve"> </w:t>
      </w:r>
      <w:r w:rsidR="00BA6AD7" w:rsidRPr="00BA6AD7">
        <w:rPr>
          <w:szCs w:val="24"/>
        </w:rPr>
        <w:t>and characteristics combine with aspects of the market to create situations where he or she is:</w:t>
      </w:r>
      <w:r w:rsidR="00BA6AD7">
        <w:rPr>
          <w:szCs w:val="24"/>
        </w:rPr>
        <w:t xml:space="preserve"> </w:t>
      </w:r>
      <w:r w:rsidR="00BA6AD7" w:rsidRPr="00BA6AD7">
        <w:rPr>
          <w:szCs w:val="24"/>
        </w:rPr>
        <w:t>significantly less able than a typical consumer to protect or represent his or her interests</w:t>
      </w:r>
      <w:r w:rsidR="00BA6AD7">
        <w:rPr>
          <w:szCs w:val="24"/>
        </w:rPr>
        <w:t xml:space="preserve"> </w:t>
      </w:r>
      <w:r w:rsidR="00307F83">
        <w:rPr>
          <w:szCs w:val="24"/>
        </w:rPr>
        <w:t>…</w:t>
      </w:r>
      <w:r w:rsidR="00BA6AD7" w:rsidRPr="00BA6AD7">
        <w:rPr>
          <w:szCs w:val="24"/>
        </w:rPr>
        <w:t>;</w:t>
      </w:r>
      <w:r w:rsidR="00BA6AD7">
        <w:rPr>
          <w:szCs w:val="24"/>
        </w:rPr>
        <w:t xml:space="preserve"> </w:t>
      </w:r>
      <w:r w:rsidR="00BA6AD7" w:rsidRPr="00BA6AD7">
        <w:rPr>
          <w:szCs w:val="24"/>
        </w:rPr>
        <w:t>and/or significantly more likely than a typical consumer to suffer detriment, or that</w:t>
      </w:r>
      <w:r w:rsidR="00BA6AD7">
        <w:rPr>
          <w:szCs w:val="24"/>
        </w:rPr>
        <w:t xml:space="preserve"> </w:t>
      </w:r>
      <w:r w:rsidR="00BA6AD7" w:rsidRPr="00BA6AD7">
        <w:rPr>
          <w:szCs w:val="24"/>
        </w:rPr>
        <w:t>detriment is likely to be more substantial</w:t>
      </w:r>
      <w:r w:rsidR="00BA6AD7">
        <w:rPr>
          <w:szCs w:val="24"/>
        </w:rPr>
        <w:t>.</w:t>
      </w:r>
      <w:r w:rsidR="00BA6AD7">
        <w:rPr>
          <w:rStyle w:val="FootnoteReference"/>
          <w:szCs w:val="24"/>
        </w:rPr>
        <w:footnoteReference w:id="180"/>
      </w:r>
      <w:r w:rsidR="00307F83">
        <w:rPr>
          <w:szCs w:val="24"/>
        </w:rPr>
        <w:t xml:space="preserve">  </w:t>
      </w:r>
    </w:p>
    <w:p w14:paraId="7F4D584C" w14:textId="77777777" w:rsidR="0038364B" w:rsidRDefault="0038364B" w:rsidP="005D235B">
      <w:pPr>
        <w:widowControl w:val="0"/>
        <w:suppressAutoHyphens/>
        <w:autoSpaceDE w:val="0"/>
        <w:autoSpaceDN w:val="0"/>
        <w:adjustRightInd w:val="0"/>
        <w:spacing w:before="80" w:after="80" w:line="360" w:lineRule="auto"/>
        <w:ind w:left="720"/>
        <w:rPr>
          <w:szCs w:val="24"/>
        </w:rPr>
      </w:pPr>
    </w:p>
    <w:p w14:paraId="29B2FE62" w14:textId="74514E48" w:rsidR="006B713A" w:rsidRDefault="005F42F4" w:rsidP="005D235B">
      <w:pPr>
        <w:widowControl w:val="0"/>
        <w:suppressAutoHyphens/>
        <w:autoSpaceDE w:val="0"/>
        <w:autoSpaceDN w:val="0"/>
        <w:adjustRightInd w:val="0"/>
        <w:spacing w:before="80" w:after="80" w:line="360" w:lineRule="auto"/>
        <w:rPr>
          <w:szCs w:val="24"/>
        </w:rPr>
      </w:pPr>
      <w:r>
        <w:rPr>
          <w:szCs w:val="24"/>
        </w:rPr>
        <w:t xml:space="preserve">This definition is apposite </w:t>
      </w:r>
      <w:r w:rsidR="001806FD">
        <w:rPr>
          <w:szCs w:val="24"/>
        </w:rPr>
        <w:t>because it explicitly recognises</w:t>
      </w:r>
      <w:r>
        <w:rPr>
          <w:szCs w:val="24"/>
        </w:rPr>
        <w:t xml:space="preserve"> the significance of the conjunction of personal and market characteristics.  </w:t>
      </w:r>
      <w:r w:rsidR="00D71817">
        <w:rPr>
          <w:szCs w:val="24"/>
        </w:rPr>
        <w:t xml:space="preserve">It </w:t>
      </w:r>
      <w:r w:rsidR="005C046C">
        <w:rPr>
          <w:szCs w:val="24"/>
        </w:rPr>
        <w:t xml:space="preserve">also </w:t>
      </w:r>
      <w:r w:rsidR="00EA2E2F">
        <w:rPr>
          <w:szCs w:val="24"/>
        </w:rPr>
        <w:t>corresponds</w:t>
      </w:r>
      <w:r w:rsidR="00D71817">
        <w:rPr>
          <w:szCs w:val="24"/>
        </w:rPr>
        <w:t xml:space="preserve"> with the </w:t>
      </w:r>
      <w:r w:rsidR="00F10BA0">
        <w:rPr>
          <w:szCs w:val="24"/>
        </w:rPr>
        <w:t xml:space="preserve">contextual aspects </w:t>
      </w:r>
      <w:r w:rsidR="00D71817">
        <w:rPr>
          <w:szCs w:val="24"/>
        </w:rPr>
        <w:t xml:space="preserve">of </w:t>
      </w:r>
      <w:r w:rsidR="006F5C29">
        <w:rPr>
          <w:szCs w:val="24"/>
        </w:rPr>
        <w:t xml:space="preserve">the </w:t>
      </w:r>
      <w:r w:rsidR="00D71817">
        <w:rPr>
          <w:szCs w:val="24"/>
        </w:rPr>
        <w:t xml:space="preserve">vulnerability </w:t>
      </w:r>
      <w:r w:rsidR="00F10BA0">
        <w:rPr>
          <w:szCs w:val="24"/>
        </w:rPr>
        <w:t xml:space="preserve">test </w:t>
      </w:r>
      <w:r w:rsidR="00D71817">
        <w:rPr>
          <w:szCs w:val="24"/>
        </w:rPr>
        <w:t xml:space="preserve">under homelessness law which compares the applicant with an ordinary person if made homeless and </w:t>
      </w:r>
      <w:r w:rsidR="00307F83">
        <w:rPr>
          <w:szCs w:val="24"/>
        </w:rPr>
        <w:t xml:space="preserve">also provides an appropriately high threshold of </w:t>
      </w:r>
      <w:r>
        <w:rPr>
          <w:szCs w:val="24"/>
        </w:rPr>
        <w:t>harm</w:t>
      </w:r>
      <w:r w:rsidR="00307F83">
        <w:rPr>
          <w:szCs w:val="24"/>
        </w:rPr>
        <w:t>.</w:t>
      </w:r>
      <w:r w:rsidR="00D71817">
        <w:rPr>
          <w:rStyle w:val="FootnoteReference"/>
          <w:szCs w:val="24"/>
        </w:rPr>
        <w:footnoteReference w:id="181"/>
      </w:r>
      <w:r w:rsidR="00D71817">
        <w:rPr>
          <w:szCs w:val="24"/>
        </w:rPr>
        <w:t xml:space="preserve">  </w:t>
      </w:r>
      <w:r w:rsidR="00A132D3" w:rsidRPr="004D704A">
        <w:rPr>
          <w:szCs w:val="24"/>
        </w:rPr>
        <w:t xml:space="preserve">Fineman has sought to dissociate </w:t>
      </w:r>
      <w:r w:rsidR="00275541">
        <w:rPr>
          <w:szCs w:val="24"/>
        </w:rPr>
        <w:t>vulnerability</w:t>
      </w:r>
      <w:r w:rsidR="00A132D3" w:rsidRPr="004D704A">
        <w:rPr>
          <w:szCs w:val="24"/>
        </w:rPr>
        <w:t xml:space="preserve"> from the negative connotations of risk of harm, dependence and helplessness which</w:t>
      </w:r>
      <w:r w:rsidR="00A132D3">
        <w:rPr>
          <w:szCs w:val="24"/>
        </w:rPr>
        <w:t xml:space="preserve">, impliedly, only </w:t>
      </w:r>
      <w:r w:rsidR="00A132D3" w:rsidRPr="004D704A">
        <w:rPr>
          <w:szCs w:val="24"/>
        </w:rPr>
        <w:t xml:space="preserve">apply to certain groups.  </w:t>
      </w:r>
      <w:r w:rsidR="00817549">
        <w:rPr>
          <w:szCs w:val="24"/>
        </w:rPr>
        <w:t>Our</w:t>
      </w:r>
      <w:r w:rsidR="00A132D3">
        <w:rPr>
          <w:szCs w:val="24"/>
        </w:rPr>
        <w:t xml:space="preserve"> version </w:t>
      </w:r>
      <w:r>
        <w:rPr>
          <w:szCs w:val="24"/>
        </w:rPr>
        <w:t>– focussed on harm reduction – t</w:t>
      </w:r>
      <w:r w:rsidR="00275541">
        <w:rPr>
          <w:szCs w:val="24"/>
        </w:rPr>
        <w:t>hus</w:t>
      </w:r>
      <w:r w:rsidR="00A132D3">
        <w:rPr>
          <w:szCs w:val="24"/>
        </w:rPr>
        <w:t xml:space="preserve"> </w:t>
      </w:r>
      <w:r w:rsidR="00817549">
        <w:rPr>
          <w:szCs w:val="24"/>
        </w:rPr>
        <w:t>distances</w:t>
      </w:r>
      <w:r w:rsidR="00A132D3">
        <w:rPr>
          <w:szCs w:val="24"/>
        </w:rPr>
        <w:t xml:space="preserve"> </w:t>
      </w:r>
      <w:r w:rsidR="00275541">
        <w:rPr>
          <w:szCs w:val="24"/>
        </w:rPr>
        <w:t>us</w:t>
      </w:r>
      <w:r w:rsidR="00A132D3">
        <w:rPr>
          <w:szCs w:val="24"/>
        </w:rPr>
        <w:t xml:space="preserve"> from Fineman’s </w:t>
      </w:r>
      <w:r w:rsidR="00995AF5">
        <w:rPr>
          <w:szCs w:val="24"/>
        </w:rPr>
        <w:t>normative</w:t>
      </w:r>
      <w:r w:rsidR="00A132D3">
        <w:rPr>
          <w:szCs w:val="24"/>
        </w:rPr>
        <w:t xml:space="preserve"> argument for the creation by the state of </w:t>
      </w:r>
      <w:r w:rsidR="00A132D3" w:rsidRPr="008F5548">
        <w:rPr>
          <w:szCs w:val="24"/>
        </w:rPr>
        <w:t>positive rights (for example to housing)</w:t>
      </w:r>
      <w:r w:rsidR="003E5E30" w:rsidRPr="008F5548">
        <w:rPr>
          <w:szCs w:val="24"/>
        </w:rPr>
        <w:t xml:space="preserve"> and aligns it with the approach adopted in the privacy case law.</w:t>
      </w:r>
      <w:r w:rsidR="003E5E30" w:rsidRPr="008F5548">
        <w:rPr>
          <w:rStyle w:val="FootnoteReference"/>
          <w:szCs w:val="24"/>
        </w:rPr>
        <w:footnoteReference w:id="182"/>
      </w:r>
      <w:r w:rsidR="006C3F24" w:rsidRPr="008F5548">
        <w:rPr>
          <w:szCs w:val="24"/>
        </w:rPr>
        <w:t xml:space="preserve">  </w:t>
      </w:r>
      <w:r w:rsidR="00D71817">
        <w:rPr>
          <w:szCs w:val="24"/>
        </w:rPr>
        <w:t xml:space="preserve">The comparison with privacy is </w:t>
      </w:r>
      <w:r w:rsidR="005C046C">
        <w:rPr>
          <w:szCs w:val="24"/>
        </w:rPr>
        <w:t xml:space="preserve">pertinent </w:t>
      </w:r>
      <w:r w:rsidR="00D71817">
        <w:rPr>
          <w:szCs w:val="24"/>
        </w:rPr>
        <w:t xml:space="preserve">since, as the Supreme Court in </w:t>
      </w:r>
      <w:r w:rsidR="00D71817">
        <w:rPr>
          <w:i/>
          <w:szCs w:val="24"/>
        </w:rPr>
        <w:t xml:space="preserve">McDonald </w:t>
      </w:r>
      <w:r w:rsidR="00D71817">
        <w:rPr>
          <w:szCs w:val="24"/>
        </w:rPr>
        <w:t>recognised, the courts have been willing to intervene, despite its private law status.</w:t>
      </w:r>
      <w:r w:rsidR="00C421FB">
        <w:rPr>
          <w:rStyle w:val="FootnoteReference"/>
          <w:szCs w:val="24"/>
        </w:rPr>
        <w:footnoteReference w:id="183"/>
      </w:r>
      <w:r w:rsidR="00D71817">
        <w:rPr>
          <w:szCs w:val="24"/>
        </w:rPr>
        <w:t xml:space="preserve">  </w:t>
      </w:r>
      <w:r w:rsidR="005C046C">
        <w:rPr>
          <w:szCs w:val="24"/>
        </w:rPr>
        <w:t>Privacy</w:t>
      </w:r>
      <w:r w:rsidR="00D71817">
        <w:rPr>
          <w:szCs w:val="24"/>
        </w:rPr>
        <w:t xml:space="preserve"> also requires the court to weigh competing</w:t>
      </w:r>
      <w:r w:rsidR="00EA2E2F">
        <w:rPr>
          <w:szCs w:val="24"/>
        </w:rPr>
        <w:t xml:space="preserve"> </w:t>
      </w:r>
      <w:r w:rsidR="00D71817">
        <w:rPr>
          <w:szCs w:val="24"/>
        </w:rPr>
        <w:t xml:space="preserve">rights.  </w:t>
      </w:r>
      <w:r w:rsidR="006C3F24" w:rsidRPr="008F5548">
        <w:rPr>
          <w:szCs w:val="24"/>
        </w:rPr>
        <w:t>As Lord Hope explained, the question in the privacy context is</w:t>
      </w:r>
      <w:r w:rsidR="006B713A">
        <w:rPr>
          <w:szCs w:val="24"/>
        </w:rPr>
        <w:t>:</w:t>
      </w:r>
    </w:p>
    <w:p w14:paraId="489CBE9A" w14:textId="77777777" w:rsidR="0038364B" w:rsidRDefault="0038364B" w:rsidP="005D235B">
      <w:pPr>
        <w:widowControl w:val="0"/>
        <w:suppressAutoHyphens/>
        <w:autoSpaceDE w:val="0"/>
        <w:autoSpaceDN w:val="0"/>
        <w:adjustRightInd w:val="0"/>
        <w:spacing w:before="80" w:after="80" w:line="360" w:lineRule="auto"/>
        <w:rPr>
          <w:szCs w:val="24"/>
        </w:rPr>
      </w:pPr>
    </w:p>
    <w:p w14:paraId="6F55F5CA" w14:textId="4048EB78" w:rsidR="006B713A" w:rsidRDefault="006C3F24" w:rsidP="005D235B">
      <w:pPr>
        <w:widowControl w:val="0"/>
        <w:suppressAutoHyphens/>
        <w:autoSpaceDE w:val="0"/>
        <w:autoSpaceDN w:val="0"/>
        <w:adjustRightInd w:val="0"/>
        <w:spacing w:before="80" w:after="80" w:line="360" w:lineRule="auto"/>
        <w:ind w:left="720"/>
        <w:rPr>
          <w:color w:val="000000"/>
          <w:szCs w:val="24"/>
        </w:rPr>
      </w:pPr>
      <w:r w:rsidRPr="008F5548">
        <w:rPr>
          <w:szCs w:val="24"/>
        </w:rPr>
        <w:t xml:space="preserve"> </w:t>
      </w:r>
      <w:r w:rsidR="006B713A">
        <w:rPr>
          <w:szCs w:val="24"/>
        </w:rPr>
        <w:t>[W]</w:t>
      </w:r>
      <w:r w:rsidRPr="008F5548">
        <w:rPr>
          <w:color w:val="000000"/>
          <w:szCs w:val="24"/>
        </w:rPr>
        <w:t>hether the benefits that will be achieved by … publication [of the confidential information] are proportionate to the harm that may be done by the interference with the right to privacy.</w:t>
      </w:r>
      <w:r w:rsidRPr="008F5548">
        <w:rPr>
          <w:rStyle w:val="FootnoteReference"/>
          <w:color w:val="000000"/>
          <w:szCs w:val="24"/>
        </w:rPr>
        <w:footnoteReference w:id="184"/>
      </w:r>
      <w:r w:rsidR="006B244F">
        <w:rPr>
          <w:color w:val="000000"/>
          <w:szCs w:val="24"/>
        </w:rPr>
        <w:t xml:space="preserve"> </w:t>
      </w:r>
    </w:p>
    <w:p w14:paraId="487E260C" w14:textId="77777777" w:rsidR="0038364B" w:rsidRDefault="0038364B" w:rsidP="005D235B">
      <w:pPr>
        <w:widowControl w:val="0"/>
        <w:suppressAutoHyphens/>
        <w:autoSpaceDE w:val="0"/>
        <w:autoSpaceDN w:val="0"/>
        <w:adjustRightInd w:val="0"/>
        <w:spacing w:before="80" w:after="80" w:line="360" w:lineRule="auto"/>
        <w:ind w:left="720"/>
        <w:rPr>
          <w:color w:val="000000"/>
          <w:szCs w:val="24"/>
        </w:rPr>
      </w:pPr>
    </w:p>
    <w:p w14:paraId="7F5460C9" w14:textId="56D5C027" w:rsidR="003E058B" w:rsidRDefault="006B713A" w:rsidP="005D235B">
      <w:pPr>
        <w:widowControl w:val="0"/>
        <w:suppressAutoHyphens/>
        <w:autoSpaceDE w:val="0"/>
        <w:autoSpaceDN w:val="0"/>
        <w:adjustRightInd w:val="0"/>
        <w:spacing w:before="80" w:after="80" w:line="360" w:lineRule="auto"/>
        <w:rPr>
          <w:color w:val="000000"/>
          <w:szCs w:val="24"/>
        </w:rPr>
      </w:pPr>
      <w:r>
        <w:rPr>
          <w:color w:val="000000"/>
          <w:szCs w:val="24"/>
        </w:rPr>
        <w:t>T</w:t>
      </w:r>
      <w:r w:rsidR="006B244F">
        <w:rPr>
          <w:color w:val="000000"/>
          <w:szCs w:val="24"/>
        </w:rPr>
        <w:t xml:space="preserve">he question could </w:t>
      </w:r>
      <w:r w:rsidR="004C5189">
        <w:rPr>
          <w:color w:val="000000"/>
          <w:szCs w:val="24"/>
        </w:rPr>
        <w:t xml:space="preserve">be </w:t>
      </w:r>
      <w:r w:rsidR="006B244F">
        <w:rPr>
          <w:color w:val="000000"/>
          <w:szCs w:val="24"/>
        </w:rPr>
        <w:t>similarly posed</w:t>
      </w:r>
      <w:r w:rsidRPr="006B713A">
        <w:rPr>
          <w:color w:val="000000"/>
          <w:szCs w:val="24"/>
        </w:rPr>
        <w:t xml:space="preserve"> </w:t>
      </w:r>
      <w:r>
        <w:rPr>
          <w:color w:val="000000"/>
          <w:szCs w:val="24"/>
        </w:rPr>
        <w:t>in the repossession situation</w:t>
      </w:r>
      <w:r w:rsidR="006B244F">
        <w:rPr>
          <w:color w:val="000000"/>
          <w:szCs w:val="24"/>
        </w:rPr>
        <w:t xml:space="preserve">.  </w:t>
      </w:r>
      <w:r w:rsidR="00644970">
        <w:rPr>
          <w:color w:val="000000"/>
          <w:szCs w:val="24"/>
        </w:rPr>
        <w:t xml:space="preserve">The </w:t>
      </w:r>
      <w:r>
        <w:rPr>
          <w:color w:val="000000"/>
          <w:szCs w:val="24"/>
        </w:rPr>
        <w:t xml:space="preserve">point of departure </w:t>
      </w:r>
      <w:r w:rsidR="00644970">
        <w:rPr>
          <w:color w:val="000000"/>
          <w:szCs w:val="24"/>
        </w:rPr>
        <w:t xml:space="preserve">would be the </w:t>
      </w:r>
      <w:r w:rsidR="006B244F">
        <w:rPr>
          <w:color w:val="000000"/>
          <w:szCs w:val="24"/>
        </w:rPr>
        <w:t xml:space="preserve">landlord’s </w:t>
      </w:r>
      <w:r w:rsidR="00D21388">
        <w:rPr>
          <w:color w:val="000000"/>
          <w:szCs w:val="24"/>
        </w:rPr>
        <w:t xml:space="preserve">legitimate </w:t>
      </w:r>
      <w:r w:rsidR="009649DC">
        <w:rPr>
          <w:color w:val="000000"/>
          <w:szCs w:val="24"/>
        </w:rPr>
        <w:t xml:space="preserve">aim </w:t>
      </w:r>
      <w:r w:rsidR="00D21388">
        <w:rPr>
          <w:color w:val="000000"/>
          <w:szCs w:val="24"/>
        </w:rPr>
        <w:t xml:space="preserve">of vindicating </w:t>
      </w:r>
      <w:r w:rsidR="00644970">
        <w:rPr>
          <w:color w:val="000000"/>
          <w:szCs w:val="24"/>
        </w:rPr>
        <w:t xml:space="preserve">their </w:t>
      </w:r>
      <w:r w:rsidR="006B244F">
        <w:rPr>
          <w:color w:val="000000"/>
          <w:szCs w:val="24"/>
        </w:rPr>
        <w:t xml:space="preserve">property rights </w:t>
      </w:r>
      <w:r>
        <w:rPr>
          <w:color w:val="000000"/>
          <w:szCs w:val="24"/>
        </w:rPr>
        <w:t>and</w:t>
      </w:r>
      <w:r w:rsidR="00644970">
        <w:rPr>
          <w:color w:val="000000"/>
          <w:szCs w:val="24"/>
        </w:rPr>
        <w:t xml:space="preserve"> this ‘benefit’ could </w:t>
      </w:r>
      <w:r w:rsidR="006B244F">
        <w:rPr>
          <w:color w:val="000000"/>
          <w:szCs w:val="24"/>
        </w:rPr>
        <w:t xml:space="preserve">be </w:t>
      </w:r>
      <w:r w:rsidR="00644970">
        <w:rPr>
          <w:color w:val="000000"/>
          <w:szCs w:val="24"/>
        </w:rPr>
        <w:t>supplemented</w:t>
      </w:r>
      <w:r w:rsidR="006B244F">
        <w:rPr>
          <w:color w:val="000000"/>
          <w:szCs w:val="24"/>
        </w:rPr>
        <w:t xml:space="preserve"> by specific contextual factors</w:t>
      </w:r>
      <w:r w:rsidR="00F1453E">
        <w:rPr>
          <w:color w:val="000000"/>
          <w:szCs w:val="24"/>
        </w:rPr>
        <w:t xml:space="preserve">, such as the motivation for seeking possession.  </w:t>
      </w:r>
      <w:r>
        <w:rPr>
          <w:color w:val="000000"/>
          <w:szCs w:val="24"/>
        </w:rPr>
        <w:t>For example, w</w:t>
      </w:r>
      <w:r w:rsidR="00F1453E">
        <w:rPr>
          <w:color w:val="000000"/>
          <w:szCs w:val="24"/>
        </w:rPr>
        <w:t>here</w:t>
      </w:r>
      <w:r>
        <w:rPr>
          <w:color w:val="000000"/>
          <w:szCs w:val="24"/>
        </w:rPr>
        <w:t xml:space="preserve"> </w:t>
      </w:r>
      <w:r w:rsidR="00F1453E">
        <w:rPr>
          <w:color w:val="000000"/>
          <w:szCs w:val="24"/>
        </w:rPr>
        <w:t>the landlord wishes to sell the property with vacant possession</w:t>
      </w:r>
      <w:r w:rsidR="00E82B4B">
        <w:rPr>
          <w:rStyle w:val="FootnoteReference"/>
          <w:color w:val="000000"/>
          <w:szCs w:val="24"/>
        </w:rPr>
        <w:footnoteReference w:id="185"/>
      </w:r>
      <w:r w:rsidR="00F1453E">
        <w:rPr>
          <w:color w:val="000000"/>
          <w:szCs w:val="24"/>
        </w:rPr>
        <w:t xml:space="preserve"> it would require the tenant to provide </w:t>
      </w:r>
      <w:r w:rsidR="00644970">
        <w:rPr>
          <w:color w:val="000000"/>
          <w:szCs w:val="24"/>
        </w:rPr>
        <w:t xml:space="preserve">strong </w:t>
      </w:r>
      <w:r w:rsidR="00F1453E">
        <w:rPr>
          <w:color w:val="000000"/>
          <w:szCs w:val="24"/>
        </w:rPr>
        <w:t xml:space="preserve">evidence of their vulnerability </w:t>
      </w:r>
      <w:r w:rsidR="00644970">
        <w:rPr>
          <w:color w:val="000000"/>
          <w:szCs w:val="24"/>
        </w:rPr>
        <w:t>to justify</w:t>
      </w:r>
      <w:r w:rsidR="00F1453E">
        <w:rPr>
          <w:color w:val="000000"/>
          <w:szCs w:val="24"/>
        </w:rPr>
        <w:t xml:space="preserve"> delaying possession</w:t>
      </w:r>
      <w:r w:rsidR="005F0FF0">
        <w:rPr>
          <w:color w:val="000000"/>
          <w:szCs w:val="24"/>
        </w:rPr>
        <w:t xml:space="preserve">.  </w:t>
      </w:r>
      <w:r>
        <w:rPr>
          <w:color w:val="000000"/>
          <w:szCs w:val="24"/>
        </w:rPr>
        <w:t xml:space="preserve">By contrast, a landlord who </w:t>
      </w:r>
      <w:r w:rsidR="00FF5848">
        <w:rPr>
          <w:color w:val="000000"/>
          <w:szCs w:val="24"/>
        </w:rPr>
        <w:t xml:space="preserve">merely </w:t>
      </w:r>
      <w:r>
        <w:rPr>
          <w:color w:val="000000"/>
          <w:szCs w:val="24"/>
        </w:rPr>
        <w:t xml:space="preserve">wants to </w:t>
      </w:r>
      <w:r w:rsidR="00456769">
        <w:rPr>
          <w:color w:val="000000"/>
          <w:szCs w:val="24"/>
        </w:rPr>
        <w:t xml:space="preserve">replace </w:t>
      </w:r>
      <w:r w:rsidR="00CA2A7E">
        <w:rPr>
          <w:color w:val="000000"/>
          <w:szCs w:val="24"/>
        </w:rPr>
        <w:t>a tenant</w:t>
      </w:r>
      <w:r w:rsidR="00FF5848">
        <w:rPr>
          <w:color w:val="000000"/>
          <w:szCs w:val="24"/>
        </w:rPr>
        <w:t>, perhaps</w:t>
      </w:r>
      <w:r w:rsidR="00456769">
        <w:rPr>
          <w:color w:val="000000"/>
          <w:szCs w:val="24"/>
        </w:rPr>
        <w:t xml:space="preserve"> with one who </w:t>
      </w:r>
      <w:r w:rsidR="00E4225F">
        <w:rPr>
          <w:color w:val="000000"/>
          <w:szCs w:val="24"/>
        </w:rPr>
        <w:t xml:space="preserve">pays higher </w:t>
      </w:r>
      <w:r w:rsidR="00456769">
        <w:rPr>
          <w:color w:val="000000"/>
          <w:szCs w:val="24"/>
        </w:rPr>
        <w:t>rent</w:t>
      </w:r>
      <w:r w:rsidR="005C475E">
        <w:rPr>
          <w:color w:val="000000"/>
          <w:szCs w:val="24"/>
        </w:rPr>
        <w:t>,</w:t>
      </w:r>
      <w:r w:rsidR="00456769">
        <w:rPr>
          <w:color w:val="000000"/>
          <w:szCs w:val="24"/>
        </w:rPr>
        <w:t xml:space="preserve"> may be required to wait longer where, for example, the tenant suffers </w:t>
      </w:r>
      <w:r>
        <w:rPr>
          <w:color w:val="000000"/>
          <w:szCs w:val="24"/>
        </w:rPr>
        <w:t>health problems falling short of those protected under the Equality Act 2010,</w:t>
      </w:r>
      <w:r w:rsidR="001806FD">
        <w:rPr>
          <w:rStyle w:val="FootnoteReference"/>
          <w:color w:val="000000"/>
          <w:szCs w:val="24"/>
        </w:rPr>
        <w:footnoteReference w:id="186"/>
      </w:r>
      <w:r>
        <w:rPr>
          <w:color w:val="000000"/>
          <w:szCs w:val="24"/>
        </w:rPr>
        <w:t xml:space="preserve"> or requires more than two months’ notice because of </w:t>
      </w:r>
      <w:r w:rsidR="00456769">
        <w:rPr>
          <w:color w:val="000000"/>
          <w:szCs w:val="24"/>
        </w:rPr>
        <w:t xml:space="preserve">specific </w:t>
      </w:r>
      <w:r>
        <w:rPr>
          <w:color w:val="000000"/>
          <w:szCs w:val="24"/>
        </w:rPr>
        <w:t xml:space="preserve">childcare </w:t>
      </w:r>
      <w:r w:rsidR="00456769">
        <w:rPr>
          <w:color w:val="000000"/>
          <w:szCs w:val="24"/>
        </w:rPr>
        <w:t>needs</w:t>
      </w:r>
      <w:r>
        <w:rPr>
          <w:color w:val="000000"/>
          <w:szCs w:val="24"/>
        </w:rPr>
        <w:t xml:space="preserve">, or because their receipt of </w:t>
      </w:r>
      <w:r w:rsidR="000A1E37">
        <w:rPr>
          <w:color w:val="000000"/>
          <w:szCs w:val="24"/>
        </w:rPr>
        <w:t>h</w:t>
      </w:r>
      <w:r>
        <w:rPr>
          <w:color w:val="000000"/>
          <w:szCs w:val="24"/>
        </w:rPr>
        <w:t xml:space="preserve">ousing </w:t>
      </w:r>
      <w:r w:rsidR="000A1E37">
        <w:rPr>
          <w:color w:val="000000"/>
          <w:szCs w:val="24"/>
        </w:rPr>
        <w:t>b</w:t>
      </w:r>
      <w:r>
        <w:rPr>
          <w:color w:val="000000"/>
          <w:szCs w:val="24"/>
        </w:rPr>
        <w:t>enefit limits their access to rented housing</w:t>
      </w:r>
      <w:r w:rsidR="00456769">
        <w:rPr>
          <w:color w:val="000000"/>
          <w:szCs w:val="24"/>
        </w:rPr>
        <w:t>.</w:t>
      </w:r>
      <w:r>
        <w:rPr>
          <w:color w:val="000000"/>
          <w:szCs w:val="24"/>
        </w:rPr>
        <w:t xml:space="preserve">  </w:t>
      </w:r>
      <w:r w:rsidR="000A1E37">
        <w:rPr>
          <w:color w:val="000000"/>
          <w:szCs w:val="24"/>
        </w:rPr>
        <w:t xml:space="preserve">A proportionality argument could also potentially be raised where there has been discrimination outside the protection of the Equality Act 2010, or a retaliatory eviction not </w:t>
      </w:r>
      <w:r w:rsidR="00562809">
        <w:rPr>
          <w:color w:val="000000"/>
          <w:szCs w:val="24"/>
        </w:rPr>
        <w:t xml:space="preserve">effectively </w:t>
      </w:r>
      <w:r w:rsidR="000A1E37">
        <w:rPr>
          <w:color w:val="000000"/>
          <w:szCs w:val="24"/>
        </w:rPr>
        <w:t>covered by the statutory regime</w:t>
      </w:r>
      <w:r w:rsidR="0036143D">
        <w:rPr>
          <w:color w:val="000000"/>
          <w:szCs w:val="24"/>
        </w:rPr>
        <w:t xml:space="preserve"> relating to </w:t>
      </w:r>
      <w:r w:rsidR="001C1E6B">
        <w:rPr>
          <w:color w:val="000000"/>
          <w:szCs w:val="24"/>
        </w:rPr>
        <w:t>repair</w:t>
      </w:r>
      <w:r w:rsidR="000A1E37">
        <w:rPr>
          <w:color w:val="000000"/>
          <w:szCs w:val="24"/>
        </w:rPr>
        <w:t>.</w:t>
      </w:r>
      <w:r w:rsidR="000A1E37">
        <w:rPr>
          <w:rStyle w:val="FootnoteReference"/>
          <w:color w:val="000000"/>
          <w:szCs w:val="24"/>
        </w:rPr>
        <w:footnoteReference w:id="187"/>
      </w:r>
      <w:r w:rsidR="000A1E37">
        <w:rPr>
          <w:color w:val="000000"/>
          <w:szCs w:val="24"/>
        </w:rPr>
        <w:t xml:space="preserve"> </w:t>
      </w:r>
      <w:r w:rsidR="00363FBE">
        <w:rPr>
          <w:color w:val="000000"/>
          <w:szCs w:val="24"/>
        </w:rPr>
        <w:t>For example, t</w:t>
      </w:r>
      <w:r w:rsidR="0081653D">
        <w:rPr>
          <w:color w:val="000000"/>
          <w:szCs w:val="24"/>
        </w:rPr>
        <w:t>he phenomenon of ‘sex for rent’ has been reported in the media as a growing concern in situations where demand for rental properties is high, or expensive, or both.</w:t>
      </w:r>
      <w:r w:rsidR="0081653D">
        <w:rPr>
          <w:rStyle w:val="FootnoteReference"/>
          <w:color w:val="000000"/>
          <w:szCs w:val="24"/>
        </w:rPr>
        <w:footnoteReference w:id="188"/>
      </w:r>
      <w:r w:rsidR="0081653D">
        <w:rPr>
          <w:color w:val="000000"/>
          <w:szCs w:val="24"/>
        </w:rPr>
        <w:t xml:space="preserve"> </w:t>
      </w:r>
      <w:r w:rsidR="000A1E37">
        <w:rPr>
          <w:color w:val="000000"/>
          <w:szCs w:val="24"/>
        </w:rPr>
        <w:t xml:space="preserve">  </w:t>
      </w:r>
      <w:r w:rsidR="005F0FF0">
        <w:rPr>
          <w:color w:val="000000"/>
          <w:szCs w:val="24"/>
        </w:rPr>
        <w:t xml:space="preserve">To be clear, </w:t>
      </w:r>
      <w:r w:rsidR="003E058B">
        <w:rPr>
          <w:color w:val="000000"/>
          <w:szCs w:val="24"/>
        </w:rPr>
        <w:t xml:space="preserve">there are no trump cards, simply factors or indicators to be taken into account. </w:t>
      </w:r>
      <w:r w:rsidR="00E4225F">
        <w:rPr>
          <w:color w:val="000000"/>
          <w:szCs w:val="24"/>
        </w:rPr>
        <w:t xml:space="preserve"> Equally, we are not suggesting that proportionality is routinely assessed.  As outlined above, the tenant would need to surmount the initial, high threshold of having a “seriously arguable” case and the strong presumption would be the vindication of the landlord’s rights</w:t>
      </w:r>
      <w:r w:rsidR="005A340E">
        <w:rPr>
          <w:color w:val="000000"/>
          <w:szCs w:val="24"/>
        </w:rPr>
        <w:t>,</w:t>
      </w:r>
      <w:r w:rsidR="00CA2A7E">
        <w:rPr>
          <w:color w:val="000000"/>
          <w:szCs w:val="24"/>
        </w:rPr>
        <w:t xml:space="preserve"> as it is in the public sector.</w:t>
      </w:r>
      <w:r w:rsidR="00CA2A7E">
        <w:rPr>
          <w:rStyle w:val="FootnoteReference"/>
          <w:color w:val="000000"/>
          <w:szCs w:val="24"/>
        </w:rPr>
        <w:footnoteReference w:id="189"/>
      </w:r>
      <w:r w:rsidR="00E62813">
        <w:rPr>
          <w:color w:val="000000"/>
          <w:szCs w:val="24"/>
        </w:rPr>
        <w:t xml:space="preserve">  </w:t>
      </w:r>
    </w:p>
    <w:p w14:paraId="42AD1425" w14:textId="77777777" w:rsidR="003E058B" w:rsidRPr="00EE5286" w:rsidRDefault="003E058B" w:rsidP="005D235B">
      <w:pPr>
        <w:widowControl w:val="0"/>
        <w:suppressAutoHyphens/>
        <w:autoSpaceDE w:val="0"/>
        <w:autoSpaceDN w:val="0"/>
        <w:adjustRightInd w:val="0"/>
        <w:spacing w:before="80" w:after="80" w:line="360" w:lineRule="auto"/>
        <w:rPr>
          <w:color w:val="000000"/>
          <w:szCs w:val="24"/>
        </w:rPr>
      </w:pPr>
    </w:p>
    <w:p w14:paraId="497EAEC2" w14:textId="271B5C57" w:rsidR="00ED2CCE" w:rsidRDefault="00C2413D" w:rsidP="005D235B">
      <w:pPr>
        <w:spacing w:line="360" w:lineRule="auto"/>
        <w:rPr>
          <w:szCs w:val="24"/>
        </w:rPr>
      </w:pPr>
      <w:r>
        <w:rPr>
          <w:szCs w:val="24"/>
        </w:rPr>
        <w:t>As we have explained, i</w:t>
      </w:r>
      <w:r w:rsidR="00167005" w:rsidRPr="00EE5286">
        <w:rPr>
          <w:szCs w:val="24"/>
        </w:rPr>
        <w:t xml:space="preserve">dentifying </w:t>
      </w:r>
      <w:r w:rsidR="005265E0">
        <w:rPr>
          <w:szCs w:val="24"/>
        </w:rPr>
        <w:t xml:space="preserve">housing-related </w:t>
      </w:r>
      <w:r w:rsidR="00167005" w:rsidRPr="00EE5286">
        <w:rPr>
          <w:szCs w:val="24"/>
        </w:rPr>
        <w:t xml:space="preserve">vulnerability </w:t>
      </w:r>
      <w:r w:rsidR="00CA2A7E" w:rsidRPr="00EE5286">
        <w:rPr>
          <w:szCs w:val="24"/>
        </w:rPr>
        <w:t>is a</w:t>
      </w:r>
      <w:r w:rsidR="00167005" w:rsidRPr="00EE5286">
        <w:rPr>
          <w:szCs w:val="24"/>
        </w:rPr>
        <w:t xml:space="preserve"> task with which the courts are already familiar</w:t>
      </w:r>
      <w:r w:rsidR="00CA2A7E" w:rsidRPr="00EE5286">
        <w:rPr>
          <w:szCs w:val="24"/>
        </w:rPr>
        <w:t xml:space="preserve"> under the homelessness legislation</w:t>
      </w:r>
      <w:r w:rsidR="00167005" w:rsidRPr="00EE5286">
        <w:rPr>
          <w:szCs w:val="24"/>
        </w:rPr>
        <w:t>.</w:t>
      </w:r>
      <w:r w:rsidR="00167005" w:rsidRPr="00EE5286">
        <w:rPr>
          <w:rStyle w:val="FootnoteReference"/>
          <w:szCs w:val="24"/>
        </w:rPr>
        <w:footnoteReference w:id="190"/>
      </w:r>
      <w:r w:rsidR="00CA2A7E" w:rsidRPr="00EE5286">
        <w:rPr>
          <w:szCs w:val="24"/>
        </w:rPr>
        <w:t xml:space="preserve"> </w:t>
      </w:r>
      <w:r w:rsidR="005970D9" w:rsidRPr="00AE40AB">
        <w:rPr>
          <w:szCs w:val="24"/>
        </w:rPr>
        <w:t xml:space="preserve">The comparison with homelessness is </w:t>
      </w:r>
      <w:r w:rsidR="00EA2E2F">
        <w:rPr>
          <w:szCs w:val="24"/>
        </w:rPr>
        <w:t xml:space="preserve">also </w:t>
      </w:r>
      <w:r w:rsidR="005970D9" w:rsidRPr="00AE40AB">
        <w:rPr>
          <w:szCs w:val="24"/>
        </w:rPr>
        <w:t>appropriate</w:t>
      </w:r>
      <w:r w:rsidR="005265E0" w:rsidRPr="00AE40AB">
        <w:rPr>
          <w:szCs w:val="24"/>
        </w:rPr>
        <w:t xml:space="preserve"> since </w:t>
      </w:r>
      <w:r w:rsidR="005970D9" w:rsidRPr="00AE40AB">
        <w:rPr>
          <w:szCs w:val="24"/>
        </w:rPr>
        <w:t>the likely outcome of a vulnerable tenant being evicted from an AST is an application to the local housing authority under the homelessness provisions</w:t>
      </w:r>
      <w:r w:rsidR="006259EF">
        <w:rPr>
          <w:szCs w:val="24"/>
        </w:rPr>
        <w:t>, s</w:t>
      </w:r>
      <w:r w:rsidR="00AE40AB" w:rsidRPr="00AE40AB">
        <w:rPr>
          <w:szCs w:val="24"/>
        </w:rPr>
        <w:t xml:space="preserve">o </w:t>
      </w:r>
      <w:r w:rsidR="00622518" w:rsidRPr="00AE40AB">
        <w:rPr>
          <w:szCs w:val="24"/>
        </w:rPr>
        <w:t xml:space="preserve">demonstrating a further interface between public and private </w:t>
      </w:r>
      <w:r w:rsidR="00406E07" w:rsidRPr="00AE40AB">
        <w:rPr>
          <w:szCs w:val="24"/>
        </w:rPr>
        <w:t xml:space="preserve">housing </w:t>
      </w:r>
      <w:r w:rsidR="00622518" w:rsidRPr="00AE40AB">
        <w:rPr>
          <w:szCs w:val="24"/>
        </w:rPr>
        <w:t xml:space="preserve">spheres </w:t>
      </w:r>
      <w:r w:rsidR="005265E0" w:rsidRPr="00AE40AB">
        <w:rPr>
          <w:szCs w:val="24"/>
        </w:rPr>
        <w:t>and militating</w:t>
      </w:r>
      <w:r w:rsidR="00A91636" w:rsidRPr="00AE40AB">
        <w:rPr>
          <w:szCs w:val="24"/>
        </w:rPr>
        <w:t xml:space="preserve"> against the validity of the Supreme Court’s dichotomous approach.</w:t>
      </w:r>
      <w:r w:rsidR="005265E0" w:rsidRPr="00AE40AB">
        <w:rPr>
          <w:szCs w:val="24"/>
        </w:rPr>
        <w:t xml:space="preserve">  </w:t>
      </w:r>
      <w:r w:rsidR="00F92D7E">
        <w:rPr>
          <w:szCs w:val="24"/>
        </w:rPr>
        <w:t xml:space="preserve">For these reasons, we </w:t>
      </w:r>
      <w:r w:rsidR="005A0BF1">
        <w:rPr>
          <w:szCs w:val="24"/>
        </w:rPr>
        <w:t xml:space="preserve">conclude </w:t>
      </w:r>
      <w:r w:rsidR="00F92D7E">
        <w:rPr>
          <w:szCs w:val="24"/>
        </w:rPr>
        <w:t xml:space="preserve">that </w:t>
      </w:r>
      <w:r w:rsidR="00F10BA0">
        <w:rPr>
          <w:szCs w:val="24"/>
        </w:rPr>
        <w:t xml:space="preserve">a contextual or situational </w:t>
      </w:r>
      <w:r w:rsidR="00F92D7E">
        <w:rPr>
          <w:szCs w:val="24"/>
        </w:rPr>
        <w:t xml:space="preserve">concept of vulnerability – in the terms we have identified – </w:t>
      </w:r>
      <w:r w:rsidR="001A1238">
        <w:rPr>
          <w:szCs w:val="24"/>
        </w:rPr>
        <w:t xml:space="preserve">provides </w:t>
      </w:r>
      <w:r w:rsidR="00F92D7E">
        <w:rPr>
          <w:szCs w:val="24"/>
        </w:rPr>
        <w:t xml:space="preserve">a useful framework within which to assess a ‘fair balance’ between the parties.  </w:t>
      </w:r>
    </w:p>
    <w:p w14:paraId="13611ECD" w14:textId="77777777" w:rsidR="001A1238" w:rsidRDefault="001A1238" w:rsidP="005D235B">
      <w:pPr>
        <w:spacing w:line="360" w:lineRule="auto"/>
        <w:rPr>
          <w:szCs w:val="24"/>
        </w:rPr>
      </w:pPr>
    </w:p>
    <w:p w14:paraId="506A6572" w14:textId="77777777" w:rsidR="00133D64" w:rsidRPr="002869D4" w:rsidRDefault="00133D64" w:rsidP="00133D64">
      <w:pPr>
        <w:spacing w:line="360" w:lineRule="auto"/>
        <w:rPr>
          <w:i/>
          <w:szCs w:val="24"/>
        </w:rPr>
      </w:pPr>
      <w:r>
        <w:rPr>
          <w:i/>
          <w:szCs w:val="24"/>
        </w:rPr>
        <w:t>Community Orientated Property?</w:t>
      </w:r>
    </w:p>
    <w:p w14:paraId="74AA1C5A" w14:textId="511579D8" w:rsidR="00C24390" w:rsidRPr="009A5360" w:rsidRDefault="002617DA" w:rsidP="005D235B">
      <w:pPr>
        <w:spacing w:line="360" w:lineRule="auto"/>
        <w:rPr>
          <w:szCs w:val="24"/>
        </w:rPr>
      </w:pPr>
      <w:r>
        <w:rPr>
          <w:szCs w:val="24"/>
        </w:rPr>
        <w:t xml:space="preserve">The absolute nature of property rights </w:t>
      </w:r>
      <w:r w:rsidR="005F5712">
        <w:rPr>
          <w:szCs w:val="24"/>
        </w:rPr>
        <w:t>ha</w:t>
      </w:r>
      <w:r w:rsidR="00A541A2">
        <w:rPr>
          <w:szCs w:val="24"/>
        </w:rPr>
        <w:t>s</w:t>
      </w:r>
      <w:r w:rsidR="005F5712">
        <w:rPr>
          <w:szCs w:val="24"/>
        </w:rPr>
        <w:t xml:space="preserve"> long been qualified </w:t>
      </w:r>
      <w:r>
        <w:rPr>
          <w:szCs w:val="24"/>
        </w:rPr>
        <w:t xml:space="preserve">from their zenith </w:t>
      </w:r>
      <w:r w:rsidR="001A4102">
        <w:rPr>
          <w:szCs w:val="24"/>
        </w:rPr>
        <w:t>of self</w:t>
      </w:r>
      <w:r w:rsidR="00167577">
        <w:rPr>
          <w:szCs w:val="24"/>
        </w:rPr>
        <w:t>-</w:t>
      </w:r>
      <w:r w:rsidR="001A4102">
        <w:rPr>
          <w:szCs w:val="24"/>
        </w:rPr>
        <w:t xml:space="preserve">interest </w:t>
      </w:r>
      <w:r>
        <w:rPr>
          <w:szCs w:val="24"/>
        </w:rPr>
        <w:t>in the 19</w:t>
      </w:r>
      <w:r w:rsidRPr="002617DA">
        <w:rPr>
          <w:szCs w:val="24"/>
          <w:vertAlign w:val="superscript"/>
        </w:rPr>
        <w:t>th</w:t>
      </w:r>
      <w:r>
        <w:rPr>
          <w:szCs w:val="24"/>
        </w:rPr>
        <w:t xml:space="preserve"> century</w:t>
      </w:r>
      <w:r w:rsidR="0074657F">
        <w:rPr>
          <w:szCs w:val="24"/>
        </w:rPr>
        <w:t>.</w:t>
      </w:r>
      <w:r w:rsidR="002D5CB5" w:rsidRPr="002D5CB5">
        <w:rPr>
          <w:rStyle w:val="FootnoteReference"/>
          <w:szCs w:val="24"/>
        </w:rPr>
        <w:footnoteReference w:id="191"/>
      </w:r>
      <w:r w:rsidRPr="00167577">
        <w:rPr>
          <w:szCs w:val="24"/>
        </w:rPr>
        <w:t xml:space="preserve"> </w:t>
      </w:r>
      <w:r w:rsidRPr="001A4102">
        <w:rPr>
          <w:szCs w:val="24"/>
        </w:rPr>
        <w:t xml:space="preserve"> </w:t>
      </w:r>
      <w:r w:rsidR="00141F73">
        <w:rPr>
          <w:szCs w:val="24"/>
        </w:rPr>
        <w:t xml:space="preserve">Freedom of contract is also acknowledged as largely illusory in the consumer context. </w:t>
      </w:r>
      <w:r w:rsidR="005F5712">
        <w:rPr>
          <w:color w:val="000000"/>
          <w:szCs w:val="24"/>
        </w:rPr>
        <w:t>T</w:t>
      </w:r>
      <w:r w:rsidR="00BB4802">
        <w:rPr>
          <w:color w:val="000000"/>
          <w:szCs w:val="24"/>
        </w:rPr>
        <w:t>here is an ever</w:t>
      </w:r>
      <w:r w:rsidR="00167577">
        <w:rPr>
          <w:color w:val="000000"/>
          <w:szCs w:val="24"/>
        </w:rPr>
        <w:t>-</w:t>
      </w:r>
      <w:r w:rsidR="00BB4802">
        <w:rPr>
          <w:color w:val="000000"/>
          <w:szCs w:val="24"/>
        </w:rPr>
        <w:t xml:space="preserve">growing raft of legislation </w:t>
      </w:r>
      <w:r w:rsidR="00BB4802">
        <w:rPr>
          <w:szCs w:val="24"/>
        </w:rPr>
        <w:t xml:space="preserve">and regulatory measures </w:t>
      </w:r>
      <w:r w:rsidR="00167577">
        <w:rPr>
          <w:szCs w:val="24"/>
        </w:rPr>
        <w:t>limiting</w:t>
      </w:r>
      <w:r w:rsidR="00BB4802">
        <w:rPr>
          <w:szCs w:val="24"/>
        </w:rPr>
        <w:t xml:space="preserve"> a landowner’s ability to act in their own interests</w:t>
      </w:r>
      <w:r w:rsidR="00141F73">
        <w:rPr>
          <w:szCs w:val="24"/>
        </w:rPr>
        <w:t xml:space="preserve"> and seek</w:t>
      </w:r>
      <w:r w:rsidR="00A120F6">
        <w:rPr>
          <w:szCs w:val="24"/>
        </w:rPr>
        <w:t>ing</w:t>
      </w:r>
      <w:r w:rsidR="00141F73">
        <w:rPr>
          <w:szCs w:val="24"/>
        </w:rPr>
        <w:t xml:space="preserve"> to protect consumers from the superior strength of suppliers of goods and services</w:t>
      </w:r>
      <w:r w:rsidR="005F5712">
        <w:rPr>
          <w:szCs w:val="24"/>
        </w:rPr>
        <w:t xml:space="preserve">. The private landlord and tenant relationship is no exception with regulation in such areas </w:t>
      </w:r>
      <w:r w:rsidR="00167577">
        <w:rPr>
          <w:szCs w:val="24"/>
        </w:rPr>
        <w:t>as</w:t>
      </w:r>
      <w:r w:rsidR="005F5712">
        <w:rPr>
          <w:szCs w:val="24"/>
        </w:rPr>
        <w:t xml:space="preserve"> repair</w:t>
      </w:r>
      <w:r w:rsidR="0072180E">
        <w:rPr>
          <w:szCs w:val="24"/>
        </w:rPr>
        <w:t>,</w:t>
      </w:r>
      <w:r w:rsidR="000F4774">
        <w:rPr>
          <w:rStyle w:val="FootnoteReference"/>
          <w:szCs w:val="24"/>
        </w:rPr>
        <w:footnoteReference w:id="192"/>
      </w:r>
      <w:r w:rsidR="005F5712">
        <w:rPr>
          <w:szCs w:val="24"/>
        </w:rPr>
        <w:t xml:space="preserve"> the protection of tenants</w:t>
      </w:r>
      <w:r w:rsidR="00E560C7">
        <w:rPr>
          <w:szCs w:val="24"/>
        </w:rPr>
        <w:t>’</w:t>
      </w:r>
      <w:r w:rsidR="005F5712">
        <w:rPr>
          <w:szCs w:val="24"/>
        </w:rPr>
        <w:t xml:space="preserve"> deposits</w:t>
      </w:r>
      <w:r w:rsidR="000F4774">
        <w:rPr>
          <w:rStyle w:val="FootnoteReference"/>
          <w:szCs w:val="24"/>
        </w:rPr>
        <w:footnoteReference w:id="193"/>
      </w:r>
      <w:r w:rsidR="00141F73">
        <w:rPr>
          <w:szCs w:val="24"/>
        </w:rPr>
        <w:t xml:space="preserve">and </w:t>
      </w:r>
      <w:r w:rsidR="00DA4470">
        <w:rPr>
          <w:szCs w:val="24"/>
        </w:rPr>
        <w:t>the control of unfair terms.</w:t>
      </w:r>
      <w:r w:rsidR="00DA4470">
        <w:rPr>
          <w:rStyle w:val="FootnoteReference"/>
          <w:szCs w:val="24"/>
        </w:rPr>
        <w:footnoteReference w:id="194"/>
      </w:r>
      <w:r w:rsidR="005F5712">
        <w:rPr>
          <w:szCs w:val="24"/>
        </w:rPr>
        <w:t xml:space="preserve"> </w:t>
      </w:r>
      <w:r w:rsidR="005F5712" w:rsidRPr="001A4102">
        <w:rPr>
          <w:szCs w:val="24"/>
        </w:rPr>
        <w:t>Parliament has even impose</w:t>
      </w:r>
      <w:r w:rsidR="001F28A2">
        <w:rPr>
          <w:szCs w:val="24"/>
        </w:rPr>
        <w:t>d</w:t>
      </w:r>
      <w:r w:rsidR="005F5712" w:rsidRPr="001A4102">
        <w:rPr>
          <w:szCs w:val="24"/>
        </w:rPr>
        <w:t xml:space="preserve"> additional burdens on private landlords to achieve broader social objectives</w:t>
      </w:r>
      <w:r w:rsidR="0074657F">
        <w:rPr>
          <w:szCs w:val="24"/>
        </w:rPr>
        <w:t>,</w:t>
      </w:r>
      <w:r w:rsidR="005F5712" w:rsidRPr="001A4102">
        <w:rPr>
          <w:szCs w:val="24"/>
        </w:rPr>
        <w:t xml:space="preserve"> </w:t>
      </w:r>
      <w:r w:rsidR="00E560C7">
        <w:rPr>
          <w:szCs w:val="24"/>
        </w:rPr>
        <w:t>such as</w:t>
      </w:r>
      <w:r w:rsidR="005F5712" w:rsidRPr="001A4102">
        <w:rPr>
          <w:szCs w:val="24"/>
        </w:rPr>
        <w:t xml:space="preserve"> the detection of illegal immigration</w:t>
      </w:r>
      <w:r w:rsidR="00E560C7">
        <w:rPr>
          <w:szCs w:val="24"/>
        </w:rPr>
        <w:t xml:space="preserve">, </w:t>
      </w:r>
      <w:r w:rsidR="005F5712" w:rsidRPr="001A4102">
        <w:rPr>
          <w:szCs w:val="24"/>
        </w:rPr>
        <w:t>by requiring landlords to ascertain potential tenants’ ‘right to rent’.</w:t>
      </w:r>
      <w:r w:rsidR="005F5712" w:rsidRPr="001A4102">
        <w:rPr>
          <w:rStyle w:val="FootnoteReference"/>
          <w:szCs w:val="24"/>
        </w:rPr>
        <w:footnoteReference w:id="195"/>
      </w:r>
      <w:r w:rsidR="005F5712" w:rsidRPr="001A4102">
        <w:rPr>
          <w:szCs w:val="24"/>
        </w:rPr>
        <w:t xml:space="preserve">  </w:t>
      </w:r>
      <w:r w:rsidR="00C24390">
        <w:rPr>
          <w:szCs w:val="24"/>
        </w:rPr>
        <w:t xml:space="preserve">Gray </w:t>
      </w:r>
      <w:r w:rsidR="000715B4">
        <w:rPr>
          <w:szCs w:val="24"/>
        </w:rPr>
        <w:t xml:space="preserve">poses </w:t>
      </w:r>
      <w:r w:rsidR="00C24390" w:rsidRPr="009A5360">
        <w:rPr>
          <w:szCs w:val="24"/>
        </w:rPr>
        <w:t>the question which lies at the heart of balancing the landlord’s and tenant’s human rights</w:t>
      </w:r>
      <w:r w:rsidR="00C24390">
        <w:rPr>
          <w:szCs w:val="24"/>
        </w:rPr>
        <w:t xml:space="preserve"> in the following terms</w:t>
      </w:r>
      <w:r w:rsidR="00E560C7">
        <w:rPr>
          <w:szCs w:val="24"/>
        </w:rPr>
        <w:t>:</w:t>
      </w:r>
      <w:r w:rsidR="00C24390">
        <w:rPr>
          <w:rStyle w:val="FootnoteReference"/>
          <w:szCs w:val="24"/>
        </w:rPr>
        <w:footnoteReference w:id="196"/>
      </w:r>
    </w:p>
    <w:p w14:paraId="3D0E9258" w14:textId="77777777" w:rsidR="00C24390" w:rsidRDefault="00C24390" w:rsidP="005D235B">
      <w:pPr>
        <w:autoSpaceDE w:val="0"/>
        <w:autoSpaceDN w:val="0"/>
        <w:adjustRightInd w:val="0"/>
        <w:spacing w:after="0" w:line="360" w:lineRule="auto"/>
        <w:rPr>
          <w:rFonts w:ascii="Arial" w:hAnsi="Arial" w:cs="Arial"/>
          <w:sz w:val="19"/>
          <w:szCs w:val="19"/>
        </w:rPr>
      </w:pPr>
    </w:p>
    <w:p w14:paraId="7311184D" w14:textId="56E73E4E" w:rsidR="00C24390" w:rsidRDefault="00C24390" w:rsidP="005D235B">
      <w:pPr>
        <w:autoSpaceDE w:val="0"/>
        <w:autoSpaceDN w:val="0"/>
        <w:adjustRightInd w:val="0"/>
        <w:spacing w:after="0" w:line="360" w:lineRule="auto"/>
        <w:ind w:left="720"/>
        <w:rPr>
          <w:szCs w:val="24"/>
        </w:rPr>
      </w:pPr>
      <w:r w:rsidRPr="009A5360">
        <w:rPr>
          <w:szCs w:val="24"/>
        </w:rPr>
        <w:t>Consideration of the impact of regulation requires some assessment of the degree to which the idea of 'property' comprises not merely notions of private right, but also elements of public duty. Of critical importance here is the exact scope of the community directed obligations which define or delimit any landowner's 'bundle of rights'.</w:t>
      </w:r>
    </w:p>
    <w:p w14:paraId="004E0FE1" w14:textId="77777777" w:rsidR="00ED2CCE" w:rsidRPr="009A5360" w:rsidRDefault="00ED2CCE" w:rsidP="005D235B">
      <w:pPr>
        <w:autoSpaceDE w:val="0"/>
        <w:autoSpaceDN w:val="0"/>
        <w:adjustRightInd w:val="0"/>
        <w:spacing w:after="0" w:line="360" w:lineRule="auto"/>
        <w:ind w:left="720"/>
        <w:rPr>
          <w:color w:val="000000"/>
          <w:szCs w:val="24"/>
        </w:rPr>
      </w:pPr>
    </w:p>
    <w:p w14:paraId="74CEBEFD" w14:textId="7C131DF8" w:rsidR="000B4124" w:rsidRPr="008E2377" w:rsidRDefault="00C5404D" w:rsidP="00AB53C1">
      <w:pPr>
        <w:widowControl w:val="0"/>
        <w:autoSpaceDE w:val="0"/>
        <w:autoSpaceDN w:val="0"/>
        <w:adjustRightInd w:val="0"/>
        <w:spacing w:line="360" w:lineRule="auto"/>
        <w:rPr>
          <w:szCs w:val="24"/>
        </w:rPr>
      </w:pPr>
      <w:r>
        <w:rPr>
          <w:color w:val="000000"/>
        </w:rPr>
        <w:t xml:space="preserve">Grear too </w:t>
      </w:r>
      <w:r w:rsidR="003A5463">
        <w:rPr>
          <w:color w:val="000000"/>
        </w:rPr>
        <w:t xml:space="preserve">promotes tempering the traditional exclusionary rhetoric associated with property ownership </w:t>
      </w:r>
      <w:r w:rsidR="00433E55">
        <w:rPr>
          <w:color w:val="000000"/>
        </w:rPr>
        <w:t xml:space="preserve">by </w:t>
      </w:r>
      <w:r w:rsidR="003A5463">
        <w:rPr>
          <w:color w:val="000000"/>
        </w:rPr>
        <w:t>shift</w:t>
      </w:r>
      <w:r w:rsidR="00433E55">
        <w:rPr>
          <w:color w:val="000000"/>
        </w:rPr>
        <w:t>ing</w:t>
      </w:r>
      <w:r w:rsidR="003A5463">
        <w:rPr>
          <w:color w:val="000000"/>
        </w:rPr>
        <w:t xml:space="preserve"> to a </w:t>
      </w:r>
      <w:r>
        <w:rPr>
          <w:color w:val="000000"/>
        </w:rPr>
        <w:t xml:space="preserve">discourse of </w:t>
      </w:r>
      <w:r w:rsidR="003A5463">
        <w:rPr>
          <w:color w:val="000000"/>
        </w:rPr>
        <w:t xml:space="preserve">social </w:t>
      </w:r>
      <w:r>
        <w:rPr>
          <w:color w:val="000000"/>
        </w:rPr>
        <w:t>inclusion</w:t>
      </w:r>
      <w:r w:rsidR="003A5463">
        <w:rPr>
          <w:color w:val="000000"/>
        </w:rPr>
        <w:t xml:space="preserve"> in which human rights has a part to play</w:t>
      </w:r>
      <w:r>
        <w:rPr>
          <w:color w:val="000000"/>
        </w:rPr>
        <w:t>.</w:t>
      </w:r>
      <w:r>
        <w:rPr>
          <w:rStyle w:val="FootnoteReference"/>
          <w:color w:val="000000"/>
        </w:rPr>
        <w:footnoteReference w:id="197"/>
      </w:r>
      <w:r>
        <w:rPr>
          <w:color w:val="000000"/>
        </w:rPr>
        <w:t xml:space="preserve"> Acr</w:t>
      </w:r>
      <w:r w:rsidR="001A4102">
        <w:rPr>
          <w:color w:val="000000"/>
        </w:rPr>
        <w:t>o</w:t>
      </w:r>
      <w:r>
        <w:rPr>
          <w:color w:val="000000"/>
        </w:rPr>
        <w:t>ss the Atlantic w</w:t>
      </w:r>
      <w:r w:rsidR="000A6B2B">
        <w:rPr>
          <w:color w:val="000000"/>
        </w:rPr>
        <w:t xml:space="preserve">ithin American jurisprudence there is </w:t>
      </w:r>
      <w:r>
        <w:rPr>
          <w:color w:val="000000"/>
        </w:rPr>
        <w:t xml:space="preserve">also </w:t>
      </w:r>
      <w:r w:rsidR="000A6B2B">
        <w:rPr>
          <w:color w:val="000000"/>
        </w:rPr>
        <w:t xml:space="preserve">a </w:t>
      </w:r>
      <w:r w:rsidR="0075508F">
        <w:rPr>
          <w:color w:val="000000"/>
        </w:rPr>
        <w:t xml:space="preserve">vigorous </w:t>
      </w:r>
      <w:r w:rsidR="000A6B2B">
        <w:rPr>
          <w:color w:val="000000"/>
        </w:rPr>
        <w:t xml:space="preserve">debate </w:t>
      </w:r>
      <w:r w:rsidR="0073712E">
        <w:rPr>
          <w:color w:val="000000"/>
        </w:rPr>
        <w:t xml:space="preserve">as to the extent to which </w:t>
      </w:r>
      <w:r w:rsidR="000A6B2B">
        <w:rPr>
          <w:color w:val="000000"/>
        </w:rPr>
        <w:t xml:space="preserve">property </w:t>
      </w:r>
      <w:r w:rsidR="0073712E">
        <w:rPr>
          <w:color w:val="000000"/>
        </w:rPr>
        <w:t xml:space="preserve">should acknowledge and </w:t>
      </w:r>
      <w:r w:rsidR="000A6B2B">
        <w:rPr>
          <w:color w:val="000000"/>
        </w:rPr>
        <w:t xml:space="preserve">promote community </w:t>
      </w:r>
      <w:r w:rsidR="001D217E">
        <w:rPr>
          <w:color w:val="000000"/>
        </w:rPr>
        <w:t xml:space="preserve">directed </w:t>
      </w:r>
      <w:r w:rsidR="00B93577">
        <w:rPr>
          <w:color w:val="000000"/>
        </w:rPr>
        <w:t>values</w:t>
      </w:r>
      <w:r w:rsidR="000A6B2B">
        <w:rPr>
          <w:color w:val="000000"/>
        </w:rPr>
        <w:t>.</w:t>
      </w:r>
      <w:r w:rsidR="000A6B2B">
        <w:rPr>
          <w:rStyle w:val="FootnoteReference"/>
          <w:color w:val="000000"/>
        </w:rPr>
        <w:footnoteReference w:id="198"/>
      </w:r>
      <w:r w:rsidR="000A6B2B">
        <w:rPr>
          <w:color w:val="000000"/>
        </w:rPr>
        <w:t xml:space="preserve"> </w:t>
      </w:r>
      <w:r w:rsidR="00DA4470">
        <w:rPr>
          <w:color w:val="000000"/>
        </w:rPr>
        <w:t xml:space="preserve">Meanwhile in Europe there is an emerging jurisprudence around the concept of </w:t>
      </w:r>
      <w:r w:rsidR="00A25481">
        <w:rPr>
          <w:color w:val="000000"/>
        </w:rPr>
        <w:t>L</w:t>
      </w:r>
      <w:r w:rsidR="00DA4470">
        <w:rPr>
          <w:color w:val="000000"/>
        </w:rPr>
        <w:t>ife</w:t>
      </w:r>
      <w:r w:rsidR="008E2377">
        <w:rPr>
          <w:color w:val="000000"/>
        </w:rPr>
        <w:t xml:space="preserve"> </w:t>
      </w:r>
      <w:r w:rsidR="00A25481">
        <w:rPr>
          <w:color w:val="000000"/>
        </w:rPr>
        <w:t>T</w:t>
      </w:r>
      <w:r w:rsidR="00DA4470">
        <w:rPr>
          <w:color w:val="000000"/>
        </w:rPr>
        <w:t>ime contracts</w:t>
      </w:r>
      <w:r w:rsidR="005928F4">
        <w:rPr>
          <w:color w:val="000000"/>
        </w:rPr>
        <w:t>; those</w:t>
      </w:r>
      <w:r w:rsidR="00DA4470">
        <w:rPr>
          <w:color w:val="000000"/>
        </w:rPr>
        <w:t xml:space="preserve"> </w:t>
      </w:r>
      <w:r w:rsidR="00A25481">
        <w:rPr>
          <w:color w:val="000000"/>
        </w:rPr>
        <w:t xml:space="preserve">which are </w:t>
      </w:r>
      <w:r w:rsidR="00A25481" w:rsidRPr="00A25481">
        <w:rPr>
          <w:color w:val="000000"/>
        </w:rPr>
        <w:t xml:space="preserve">necessary </w:t>
      </w:r>
      <w:r w:rsidR="00A25481" w:rsidRPr="008E2377">
        <w:rPr>
          <w:rFonts w:eastAsiaTheme="minorEastAsia"/>
          <w:lang w:val="en-US"/>
        </w:rPr>
        <w:t>for individual self</w:t>
      </w:r>
      <w:r w:rsidR="00A25481">
        <w:rPr>
          <w:rFonts w:eastAsiaTheme="minorEastAsia"/>
          <w:lang w:val="en-US"/>
        </w:rPr>
        <w:t>-realisation</w:t>
      </w:r>
      <w:r w:rsidR="00A25481" w:rsidRPr="008E2377">
        <w:rPr>
          <w:rFonts w:eastAsiaTheme="minorEastAsia"/>
          <w:lang w:val="en-US"/>
        </w:rPr>
        <w:t xml:space="preserve"> and participation in society</w:t>
      </w:r>
      <w:r w:rsidR="00A25481">
        <w:rPr>
          <w:rFonts w:eastAsiaTheme="minorEastAsia"/>
          <w:lang w:val="en-US"/>
        </w:rPr>
        <w:t xml:space="preserve"> </w:t>
      </w:r>
      <w:r w:rsidR="005928F4">
        <w:rPr>
          <w:rFonts w:eastAsiaTheme="minorEastAsia"/>
          <w:lang w:val="en-US"/>
        </w:rPr>
        <w:t xml:space="preserve">and </w:t>
      </w:r>
      <w:r w:rsidR="00A25481">
        <w:rPr>
          <w:rFonts w:eastAsiaTheme="minorEastAsia"/>
          <w:lang w:val="en-US"/>
        </w:rPr>
        <w:t xml:space="preserve">which encompass </w:t>
      </w:r>
      <w:r w:rsidR="005928F4">
        <w:rPr>
          <w:rFonts w:eastAsiaTheme="minorEastAsia"/>
          <w:lang w:val="en-US"/>
        </w:rPr>
        <w:t xml:space="preserve">housing-related </w:t>
      </w:r>
      <w:r w:rsidR="00A25481" w:rsidRPr="008E2377">
        <w:rPr>
          <w:rFonts w:eastAsiaTheme="minorEastAsia"/>
          <w:lang w:val="en-US"/>
        </w:rPr>
        <w:t xml:space="preserve">contracts </w:t>
      </w:r>
      <w:r w:rsidR="00621FBB">
        <w:rPr>
          <w:rFonts w:eastAsiaTheme="minorEastAsia"/>
          <w:lang w:val="en-US"/>
        </w:rPr>
        <w:t>.</w:t>
      </w:r>
      <w:r w:rsidR="008E2377" w:rsidRPr="008E2377">
        <w:rPr>
          <w:rStyle w:val="FootnoteReference"/>
          <w:color w:val="000000"/>
        </w:rPr>
        <w:t xml:space="preserve"> </w:t>
      </w:r>
      <w:r w:rsidR="008E2377">
        <w:rPr>
          <w:rStyle w:val="FootnoteReference"/>
          <w:color w:val="000000"/>
        </w:rPr>
        <w:footnoteReference w:id="199"/>
      </w:r>
      <w:r w:rsidR="008E2377">
        <w:rPr>
          <w:rFonts w:eastAsiaTheme="minorEastAsia"/>
          <w:lang w:val="en-US"/>
        </w:rPr>
        <w:t xml:space="preserve"> In a challenge to </w:t>
      </w:r>
      <w:r w:rsidR="005928F4">
        <w:rPr>
          <w:rFonts w:eastAsiaTheme="minorEastAsia"/>
          <w:lang w:val="en-US"/>
        </w:rPr>
        <w:t xml:space="preserve">a </w:t>
      </w:r>
      <w:r w:rsidR="00621FBB">
        <w:rPr>
          <w:rFonts w:eastAsiaTheme="minorEastAsia"/>
          <w:lang w:val="en-US"/>
        </w:rPr>
        <w:t xml:space="preserve">classic contractual </w:t>
      </w:r>
      <w:r w:rsidR="008E2377">
        <w:rPr>
          <w:rFonts w:eastAsiaTheme="minorEastAsia"/>
          <w:lang w:val="en-US"/>
        </w:rPr>
        <w:t xml:space="preserve">approach, sixteen essential principles </w:t>
      </w:r>
      <w:r w:rsidR="005928F4">
        <w:rPr>
          <w:rFonts w:eastAsiaTheme="minorEastAsia"/>
          <w:lang w:val="en-US"/>
        </w:rPr>
        <w:t xml:space="preserve"> are</w:t>
      </w:r>
      <w:r w:rsidR="008E2377">
        <w:rPr>
          <w:rFonts w:eastAsiaTheme="minorEastAsia"/>
          <w:lang w:val="en-US"/>
        </w:rPr>
        <w:t xml:space="preserve"> </w:t>
      </w:r>
      <w:r w:rsidR="00621FBB">
        <w:rPr>
          <w:rFonts w:eastAsiaTheme="minorEastAsia"/>
          <w:lang w:val="en-US"/>
        </w:rPr>
        <w:t xml:space="preserve">promoted to govern </w:t>
      </w:r>
      <w:r w:rsidR="008E2377">
        <w:rPr>
          <w:rFonts w:eastAsiaTheme="minorEastAsia"/>
          <w:lang w:val="en-US"/>
        </w:rPr>
        <w:t>Life Time contracts</w:t>
      </w:r>
      <w:r w:rsidR="005928F4">
        <w:rPr>
          <w:rFonts w:eastAsiaTheme="minorEastAsia"/>
          <w:lang w:val="en-US"/>
        </w:rPr>
        <w:t>,</w:t>
      </w:r>
      <w:r w:rsidR="008E2377">
        <w:rPr>
          <w:rFonts w:eastAsiaTheme="minorEastAsia"/>
          <w:lang w:val="en-US"/>
        </w:rPr>
        <w:t xml:space="preserve"> including </w:t>
      </w:r>
      <w:r w:rsidR="008E2377" w:rsidRPr="008E2377">
        <w:rPr>
          <w:rFonts w:eastAsiaTheme="minorEastAsia"/>
          <w:lang w:val="en-US"/>
        </w:rPr>
        <w:t xml:space="preserve">a principle of </w:t>
      </w:r>
      <w:r w:rsidR="008E2377" w:rsidRPr="008E2377">
        <w:t>transparent and socially responsible termination</w:t>
      </w:r>
      <w:r w:rsidR="008E2377">
        <w:t xml:space="preserve">. </w:t>
      </w:r>
      <w:r w:rsidR="008E2377" w:rsidRPr="008E2377">
        <w:rPr>
          <w:rFonts w:eastAsiaTheme="minorEastAsia"/>
          <w:lang w:val="en-US"/>
        </w:rPr>
        <w:t xml:space="preserve">  </w:t>
      </w:r>
    </w:p>
    <w:p w14:paraId="4B343F79" w14:textId="77777777" w:rsidR="0038364B" w:rsidRDefault="0038364B" w:rsidP="005D235B">
      <w:pPr>
        <w:spacing w:line="360" w:lineRule="auto"/>
        <w:ind w:left="720"/>
        <w:rPr>
          <w:color w:val="000000"/>
          <w:szCs w:val="24"/>
        </w:rPr>
      </w:pPr>
    </w:p>
    <w:p w14:paraId="3A81E2A0" w14:textId="2E73ECBC" w:rsidR="006D1C0E" w:rsidRDefault="00C5404D" w:rsidP="005D235B">
      <w:pPr>
        <w:spacing w:line="360" w:lineRule="auto"/>
        <w:rPr>
          <w:color w:val="000000"/>
        </w:rPr>
      </w:pPr>
      <w:r>
        <w:rPr>
          <w:color w:val="000000"/>
        </w:rPr>
        <w:t>It is easy to forget that no fault evictions</w:t>
      </w:r>
      <w:r w:rsidR="002575E7">
        <w:rPr>
          <w:color w:val="000000"/>
        </w:rPr>
        <w:t>,</w:t>
      </w:r>
      <w:r>
        <w:rPr>
          <w:color w:val="000000"/>
        </w:rPr>
        <w:t xml:space="preserve"> </w:t>
      </w:r>
      <w:r w:rsidR="002575E7">
        <w:rPr>
          <w:color w:val="000000"/>
        </w:rPr>
        <w:t xml:space="preserve">exemplified by </w:t>
      </w:r>
      <w:r w:rsidR="00E560C7">
        <w:rPr>
          <w:color w:val="000000"/>
        </w:rPr>
        <w:t>ASTs</w:t>
      </w:r>
      <w:r w:rsidR="002575E7">
        <w:rPr>
          <w:color w:val="000000"/>
        </w:rPr>
        <w:t xml:space="preserve">, </w:t>
      </w:r>
      <w:r>
        <w:rPr>
          <w:color w:val="000000"/>
        </w:rPr>
        <w:t xml:space="preserve">have only been a feature of the private rental sector for three decades. </w:t>
      </w:r>
      <w:r w:rsidR="002575E7">
        <w:rPr>
          <w:color w:val="000000"/>
        </w:rPr>
        <w:t xml:space="preserve"> F</w:t>
      </w:r>
      <w:r w:rsidR="009E2B59">
        <w:rPr>
          <w:color w:val="000000"/>
        </w:rPr>
        <w:t xml:space="preserve">or much of the twentieth century varying degrees of </w:t>
      </w:r>
      <w:r>
        <w:rPr>
          <w:color w:val="000000"/>
        </w:rPr>
        <w:t xml:space="preserve">security of tenure </w:t>
      </w:r>
      <w:r w:rsidR="009E2B59">
        <w:rPr>
          <w:color w:val="000000"/>
        </w:rPr>
        <w:t xml:space="preserve">of the home </w:t>
      </w:r>
      <w:r>
        <w:rPr>
          <w:color w:val="000000"/>
        </w:rPr>
        <w:t xml:space="preserve">was </w:t>
      </w:r>
      <w:r w:rsidR="009E2B59">
        <w:rPr>
          <w:color w:val="000000"/>
        </w:rPr>
        <w:t xml:space="preserve">the norm.  </w:t>
      </w:r>
      <w:r w:rsidR="00433E55">
        <w:rPr>
          <w:color w:val="000000"/>
        </w:rPr>
        <w:t xml:space="preserve">ASTs </w:t>
      </w:r>
      <w:r w:rsidR="009E2B59">
        <w:rPr>
          <w:color w:val="000000"/>
        </w:rPr>
        <w:t>were introduced at a time when home ownership was burgeoning</w:t>
      </w:r>
      <w:r w:rsidR="00A541A2">
        <w:rPr>
          <w:color w:val="000000"/>
        </w:rPr>
        <w:t xml:space="preserve"> </w:t>
      </w:r>
      <w:r w:rsidR="00433E55">
        <w:rPr>
          <w:color w:val="000000"/>
        </w:rPr>
        <w:t xml:space="preserve">to </w:t>
      </w:r>
      <w:r w:rsidR="002575E7">
        <w:rPr>
          <w:color w:val="000000"/>
        </w:rPr>
        <w:t>provid</w:t>
      </w:r>
      <w:r w:rsidR="00433E55">
        <w:rPr>
          <w:color w:val="000000"/>
        </w:rPr>
        <w:t>e</w:t>
      </w:r>
      <w:r w:rsidR="002575E7">
        <w:rPr>
          <w:color w:val="000000"/>
        </w:rPr>
        <w:t xml:space="preserve"> </w:t>
      </w:r>
      <w:r w:rsidR="009E2B59">
        <w:rPr>
          <w:color w:val="000000"/>
        </w:rPr>
        <w:t xml:space="preserve">a housing solution </w:t>
      </w:r>
      <w:r w:rsidR="002575E7">
        <w:rPr>
          <w:color w:val="000000"/>
        </w:rPr>
        <w:t xml:space="preserve">to tenants </w:t>
      </w:r>
      <w:r w:rsidR="009E2B59">
        <w:rPr>
          <w:color w:val="000000"/>
        </w:rPr>
        <w:t>not necessarily seeking long term accommodation. As already noted</w:t>
      </w:r>
      <w:r w:rsidR="00E560C7">
        <w:rPr>
          <w:color w:val="000000"/>
        </w:rPr>
        <w:t>,</w:t>
      </w:r>
      <w:r w:rsidR="009E2B59">
        <w:rPr>
          <w:color w:val="000000"/>
        </w:rPr>
        <w:t xml:space="preserve"> times have changed</w:t>
      </w:r>
      <w:r w:rsidR="006C2516">
        <w:rPr>
          <w:color w:val="000000"/>
        </w:rPr>
        <w:t xml:space="preserve">. </w:t>
      </w:r>
      <w:r w:rsidR="001D46E6">
        <w:rPr>
          <w:color w:val="000000"/>
        </w:rPr>
        <w:t>Scotland has already abandoned no fault evictions</w:t>
      </w:r>
      <w:r w:rsidR="001D46E6">
        <w:rPr>
          <w:rStyle w:val="FootnoteReference"/>
          <w:color w:val="000000"/>
        </w:rPr>
        <w:footnoteReference w:id="200"/>
      </w:r>
      <w:r w:rsidR="001D46E6">
        <w:rPr>
          <w:color w:val="000000"/>
        </w:rPr>
        <w:t xml:space="preserve">and </w:t>
      </w:r>
      <w:r w:rsidR="00501E15">
        <w:rPr>
          <w:color w:val="000000"/>
        </w:rPr>
        <w:t>w</w:t>
      </w:r>
      <w:r w:rsidR="004F7667">
        <w:rPr>
          <w:color w:val="000000"/>
        </w:rPr>
        <w:t>e have referred to the</w:t>
      </w:r>
      <w:r w:rsidR="00C47C30">
        <w:rPr>
          <w:color w:val="000000"/>
        </w:rPr>
        <w:t xml:space="preserve"> </w:t>
      </w:r>
      <w:r w:rsidR="008532BA">
        <w:rPr>
          <w:color w:val="000000"/>
        </w:rPr>
        <w:t>range of alternative evidence</w:t>
      </w:r>
      <w:r w:rsidR="006C2516">
        <w:rPr>
          <w:color w:val="000000"/>
        </w:rPr>
        <w:t>d</w:t>
      </w:r>
      <w:r w:rsidR="009F0548">
        <w:rPr>
          <w:color w:val="000000"/>
        </w:rPr>
        <w:t>-</w:t>
      </w:r>
      <w:r w:rsidR="006C2516">
        <w:rPr>
          <w:color w:val="000000"/>
        </w:rPr>
        <w:t xml:space="preserve"> based </w:t>
      </w:r>
      <w:r w:rsidR="008532BA">
        <w:rPr>
          <w:color w:val="000000"/>
        </w:rPr>
        <w:t xml:space="preserve">grounds upon which a landlord can seek eviction </w:t>
      </w:r>
      <w:r w:rsidR="00210EF1">
        <w:rPr>
          <w:color w:val="000000"/>
        </w:rPr>
        <w:t xml:space="preserve">and </w:t>
      </w:r>
      <w:r w:rsidR="00313123">
        <w:rPr>
          <w:color w:val="000000"/>
        </w:rPr>
        <w:t xml:space="preserve">appropriately </w:t>
      </w:r>
      <w:r w:rsidR="00210EF1">
        <w:rPr>
          <w:color w:val="000000"/>
        </w:rPr>
        <w:t xml:space="preserve">vindicate </w:t>
      </w:r>
      <w:r w:rsidR="005B2B32">
        <w:rPr>
          <w:color w:val="000000"/>
        </w:rPr>
        <w:t>his</w:t>
      </w:r>
      <w:r w:rsidR="00946575">
        <w:rPr>
          <w:color w:val="000000"/>
        </w:rPr>
        <w:t xml:space="preserve"> or her </w:t>
      </w:r>
      <w:r w:rsidR="00210EF1">
        <w:rPr>
          <w:color w:val="000000"/>
        </w:rPr>
        <w:t>property right.</w:t>
      </w:r>
      <w:r w:rsidR="00860A6F">
        <w:rPr>
          <w:color w:val="000000"/>
        </w:rPr>
        <w:t xml:space="preserve"> </w:t>
      </w:r>
      <w:r w:rsidR="006D1C0E">
        <w:rPr>
          <w:color w:val="000000"/>
        </w:rPr>
        <w:t>Given the narrow formulation of proportionality outlined above</w:t>
      </w:r>
      <w:r w:rsidR="005B2B32">
        <w:rPr>
          <w:color w:val="000000"/>
        </w:rPr>
        <w:t>,</w:t>
      </w:r>
      <w:r w:rsidR="006D1C0E">
        <w:rPr>
          <w:color w:val="000000"/>
        </w:rPr>
        <w:t xml:space="preserve"> we do not believe that procedural horizontality poses a disproportionate control of landlords</w:t>
      </w:r>
      <w:r w:rsidR="00666A6A">
        <w:rPr>
          <w:color w:val="000000"/>
        </w:rPr>
        <w:t>’</w:t>
      </w:r>
      <w:r w:rsidR="006D1C0E">
        <w:rPr>
          <w:color w:val="000000"/>
        </w:rPr>
        <w:t xml:space="preserve"> </w:t>
      </w:r>
      <w:r w:rsidR="00B27664">
        <w:rPr>
          <w:color w:val="000000"/>
        </w:rPr>
        <w:t xml:space="preserve">property </w:t>
      </w:r>
      <w:r w:rsidR="006D1C0E">
        <w:rPr>
          <w:color w:val="000000"/>
        </w:rPr>
        <w:t>rights but provides some minimal</w:t>
      </w:r>
      <w:r w:rsidR="005B2B32">
        <w:rPr>
          <w:color w:val="000000"/>
        </w:rPr>
        <w:t>,</w:t>
      </w:r>
      <w:r w:rsidR="006D1C0E">
        <w:rPr>
          <w:color w:val="000000"/>
        </w:rPr>
        <w:t xml:space="preserve"> </w:t>
      </w:r>
      <w:r w:rsidR="00327E6F">
        <w:rPr>
          <w:color w:val="000000"/>
        </w:rPr>
        <w:t xml:space="preserve">yet </w:t>
      </w:r>
      <w:r w:rsidR="005B2B32">
        <w:rPr>
          <w:color w:val="000000"/>
        </w:rPr>
        <w:t xml:space="preserve">necessary, </w:t>
      </w:r>
      <w:r w:rsidR="006D1C0E">
        <w:rPr>
          <w:color w:val="000000"/>
        </w:rPr>
        <w:t>substance to respect for the tenant’s home. One is thus left wondering what the Supreme Court, as well as landlords, are afraid of in admitting a proportionality defence in possession proceedings between private parties.</w:t>
      </w:r>
      <w:r w:rsidR="006D1C0E">
        <w:rPr>
          <w:rStyle w:val="FootnoteReference"/>
          <w:color w:val="000000"/>
        </w:rPr>
        <w:footnoteReference w:id="201"/>
      </w:r>
    </w:p>
    <w:p w14:paraId="304DB1BA" w14:textId="77777777" w:rsidR="0038364B" w:rsidRDefault="0038364B" w:rsidP="005D235B">
      <w:pPr>
        <w:spacing w:line="360" w:lineRule="auto"/>
        <w:rPr>
          <w:color w:val="000000"/>
        </w:rPr>
      </w:pPr>
    </w:p>
    <w:p w14:paraId="23DFF190" w14:textId="77777777" w:rsidR="001403F1" w:rsidRPr="00520BDC" w:rsidRDefault="00DE2589" w:rsidP="005D235B">
      <w:pPr>
        <w:spacing w:line="360" w:lineRule="auto"/>
        <w:rPr>
          <w:b/>
          <w:color w:val="000000"/>
        </w:rPr>
      </w:pPr>
      <w:r w:rsidRPr="00520BDC">
        <w:rPr>
          <w:b/>
          <w:color w:val="000000"/>
        </w:rPr>
        <w:t>Conclusion</w:t>
      </w:r>
    </w:p>
    <w:p w14:paraId="5ED2998F" w14:textId="112839A9" w:rsidR="00C5404D" w:rsidRDefault="00DE2589" w:rsidP="005D235B">
      <w:pPr>
        <w:spacing w:line="360" w:lineRule="auto"/>
        <w:rPr>
          <w:color w:val="000000"/>
        </w:rPr>
      </w:pPr>
      <w:r>
        <w:rPr>
          <w:color w:val="000000"/>
        </w:rPr>
        <w:t xml:space="preserve">We have </w:t>
      </w:r>
      <w:r w:rsidR="00511FBE">
        <w:rPr>
          <w:color w:val="000000"/>
        </w:rPr>
        <w:t xml:space="preserve">utilised </w:t>
      </w:r>
      <w:r w:rsidR="00511FBE">
        <w:rPr>
          <w:i/>
          <w:color w:val="000000"/>
        </w:rPr>
        <w:t xml:space="preserve">McDonald </w:t>
      </w:r>
      <w:r w:rsidR="00511FBE">
        <w:rPr>
          <w:color w:val="000000"/>
        </w:rPr>
        <w:t xml:space="preserve">to </w:t>
      </w:r>
      <w:r>
        <w:rPr>
          <w:color w:val="000000"/>
        </w:rPr>
        <w:t xml:space="preserve">highlight the fallacy of the courts’ adoption of a clear divide between the public and private </w:t>
      </w:r>
      <w:r w:rsidR="00511FBE">
        <w:rPr>
          <w:color w:val="000000"/>
        </w:rPr>
        <w:t xml:space="preserve">sectors when human rights are </w:t>
      </w:r>
      <w:r w:rsidR="00DC27BC">
        <w:rPr>
          <w:color w:val="000000"/>
        </w:rPr>
        <w:t>in issue.</w:t>
      </w:r>
      <w:r w:rsidR="00511FBE">
        <w:rPr>
          <w:color w:val="000000"/>
        </w:rPr>
        <w:t xml:space="preserve"> </w:t>
      </w:r>
      <w:r w:rsidR="00511FBE" w:rsidRPr="003F34BD">
        <w:rPr>
          <w:i/>
          <w:color w:val="000000"/>
        </w:rPr>
        <w:t xml:space="preserve">McDonald </w:t>
      </w:r>
      <w:r w:rsidR="00511FBE" w:rsidRPr="003F34BD">
        <w:rPr>
          <w:color w:val="000000"/>
        </w:rPr>
        <w:t>illustrates</w:t>
      </w:r>
      <w:r w:rsidR="00511FBE">
        <w:rPr>
          <w:i/>
          <w:color w:val="000000"/>
        </w:rPr>
        <w:t xml:space="preserve"> </w:t>
      </w:r>
      <w:r w:rsidR="00511FBE">
        <w:rPr>
          <w:color w:val="000000"/>
        </w:rPr>
        <w:t xml:space="preserve">how such a divide </w:t>
      </w:r>
      <w:r w:rsidR="000C3DB5">
        <w:rPr>
          <w:color w:val="000000"/>
        </w:rPr>
        <w:t>fails to</w:t>
      </w:r>
      <w:r>
        <w:rPr>
          <w:color w:val="000000"/>
        </w:rPr>
        <w:t xml:space="preserve"> reflect the reality of </w:t>
      </w:r>
      <w:r w:rsidR="00520BDC">
        <w:rPr>
          <w:color w:val="000000"/>
        </w:rPr>
        <w:t>the public</w:t>
      </w:r>
      <w:r w:rsidR="006201CC">
        <w:rPr>
          <w:color w:val="000000"/>
        </w:rPr>
        <w:t>-</w:t>
      </w:r>
      <w:r w:rsidR="00520BDC">
        <w:rPr>
          <w:color w:val="000000"/>
        </w:rPr>
        <w:t xml:space="preserve">private interface, specifically in </w:t>
      </w:r>
      <w:r>
        <w:rPr>
          <w:color w:val="000000"/>
        </w:rPr>
        <w:t>housing provision</w:t>
      </w:r>
      <w:r w:rsidR="00520BDC">
        <w:rPr>
          <w:color w:val="000000"/>
        </w:rPr>
        <w:t>,</w:t>
      </w:r>
      <w:r>
        <w:rPr>
          <w:color w:val="000000"/>
        </w:rPr>
        <w:t xml:space="preserve"> </w:t>
      </w:r>
      <w:r w:rsidR="00520BDC">
        <w:rPr>
          <w:color w:val="000000"/>
        </w:rPr>
        <w:t>to</w:t>
      </w:r>
      <w:r>
        <w:rPr>
          <w:color w:val="000000"/>
        </w:rPr>
        <w:t xml:space="preserve"> </w:t>
      </w:r>
      <w:r w:rsidR="00520BDC">
        <w:rPr>
          <w:color w:val="000000"/>
        </w:rPr>
        <w:t>deny the</w:t>
      </w:r>
      <w:r>
        <w:rPr>
          <w:color w:val="000000"/>
        </w:rPr>
        <w:t xml:space="preserve"> article 8 rights </w:t>
      </w:r>
      <w:r w:rsidR="00520BDC">
        <w:rPr>
          <w:color w:val="000000"/>
        </w:rPr>
        <w:t>of</w:t>
      </w:r>
      <w:r>
        <w:rPr>
          <w:color w:val="000000"/>
        </w:rPr>
        <w:t xml:space="preserve"> all private tenants</w:t>
      </w:r>
      <w:r w:rsidR="00A0079B">
        <w:rPr>
          <w:color w:val="000000"/>
        </w:rPr>
        <w:t>, irrespective of context.</w:t>
      </w:r>
      <w:r>
        <w:rPr>
          <w:color w:val="000000"/>
        </w:rPr>
        <w:t xml:space="preserve">  </w:t>
      </w:r>
      <w:r w:rsidR="00CD62E5">
        <w:rPr>
          <w:color w:val="000000"/>
        </w:rPr>
        <w:t xml:space="preserve">We argue that </w:t>
      </w:r>
      <w:r w:rsidR="00511FBE">
        <w:rPr>
          <w:color w:val="000000"/>
        </w:rPr>
        <w:t>t</w:t>
      </w:r>
      <w:r>
        <w:rPr>
          <w:color w:val="000000"/>
        </w:rPr>
        <w:t xml:space="preserve">he courts </w:t>
      </w:r>
      <w:r w:rsidR="00511FBE">
        <w:rPr>
          <w:color w:val="000000"/>
        </w:rPr>
        <w:t>should</w:t>
      </w:r>
      <w:r>
        <w:rPr>
          <w:color w:val="000000"/>
        </w:rPr>
        <w:t xml:space="preserve"> </w:t>
      </w:r>
      <w:r w:rsidR="000D69F5">
        <w:rPr>
          <w:color w:val="000000"/>
        </w:rPr>
        <w:t>not sh</w:t>
      </w:r>
      <w:r w:rsidR="002E3B51">
        <w:rPr>
          <w:color w:val="000000"/>
        </w:rPr>
        <w:t>rink</w:t>
      </w:r>
      <w:r w:rsidR="000D69F5">
        <w:rPr>
          <w:color w:val="000000"/>
        </w:rPr>
        <w:t xml:space="preserve"> </w:t>
      </w:r>
      <w:r w:rsidR="002E3B51">
        <w:rPr>
          <w:color w:val="000000"/>
        </w:rPr>
        <w:t>from procedural horizontality in home repossession proceedings w</w:t>
      </w:r>
      <w:r w:rsidR="00830446">
        <w:rPr>
          <w:color w:val="000000"/>
        </w:rPr>
        <w:t>here</w:t>
      </w:r>
      <w:r w:rsidR="002E3B51">
        <w:rPr>
          <w:color w:val="000000"/>
        </w:rPr>
        <w:t xml:space="preserve"> article 8 is </w:t>
      </w:r>
      <w:r w:rsidR="00830446">
        <w:rPr>
          <w:color w:val="000000"/>
        </w:rPr>
        <w:t xml:space="preserve">so clearly and seriously infringed  </w:t>
      </w:r>
      <w:r w:rsidR="002E3B51">
        <w:rPr>
          <w:color w:val="000000"/>
        </w:rPr>
        <w:t xml:space="preserve"> </w:t>
      </w:r>
      <w:r w:rsidR="000D69F5">
        <w:rPr>
          <w:color w:val="000000"/>
        </w:rPr>
        <w:t xml:space="preserve"> </w:t>
      </w:r>
      <w:r w:rsidR="00BE0D3F">
        <w:rPr>
          <w:color w:val="000000"/>
        </w:rPr>
        <w:t>but</w:t>
      </w:r>
      <w:r w:rsidR="00830446">
        <w:rPr>
          <w:color w:val="000000"/>
        </w:rPr>
        <w:t xml:space="preserve"> </w:t>
      </w:r>
      <w:r w:rsidR="000D69F5">
        <w:rPr>
          <w:color w:val="000000"/>
        </w:rPr>
        <w:t xml:space="preserve">should </w:t>
      </w:r>
      <w:r>
        <w:rPr>
          <w:color w:val="000000"/>
        </w:rPr>
        <w:t xml:space="preserve">adopt a more nuanced approach </w:t>
      </w:r>
      <w:r w:rsidR="006A5BE3">
        <w:rPr>
          <w:color w:val="000000"/>
        </w:rPr>
        <w:t xml:space="preserve">which </w:t>
      </w:r>
      <w:r w:rsidR="00201757">
        <w:rPr>
          <w:color w:val="000000"/>
        </w:rPr>
        <w:t>acknowledge</w:t>
      </w:r>
      <w:r w:rsidR="006A5BE3">
        <w:rPr>
          <w:color w:val="000000"/>
        </w:rPr>
        <w:t>s</w:t>
      </w:r>
      <w:r>
        <w:rPr>
          <w:color w:val="000000"/>
        </w:rPr>
        <w:t xml:space="preserve"> the spectrum of contexts </w:t>
      </w:r>
      <w:r w:rsidR="00DC27BC">
        <w:rPr>
          <w:color w:val="000000"/>
        </w:rPr>
        <w:t>in which human rights are engaged within the public</w:t>
      </w:r>
      <w:r w:rsidR="00F67F93">
        <w:rPr>
          <w:color w:val="000000"/>
        </w:rPr>
        <w:t>-</w:t>
      </w:r>
      <w:r w:rsidR="00DC27BC">
        <w:rPr>
          <w:color w:val="000000"/>
        </w:rPr>
        <w:t xml:space="preserve">private continuum </w:t>
      </w:r>
      <w:r w:rsidR="00201757">
        <w:rPr>
          <w:color w:val="000000"/>
        </w:rPr>
        <w:t xml:space="preserve">and </w:t>
      </w:r>
      <w:r w:rsidR="00DC27BC">
        <w:rPr>
          <w:color w:val="000000"/>
        </w:rPr>
        <w:t xml:space="preserve">should </w:t>
      </w:r>
      <w:r w:rsidR="00201757">
        <w:rPr>
          <w:color w:val="000000"/>
        </w:rPr>
        <w:t xml:space="preserve">embrace proportionality as an appropriate mechanism to reflect that </w:t>
      </w:r>
      <w:r w:rsidR="009835BD">
        <w:rPr>
          <w:color w:val="000000"/>
        </w:rPr>
        <w:t>spectrum</w:t>
      </w:r>
      <w:r w:rsidR="00201757">
        <w:rPr>
          <w:color w:val="000000"/>
        </w:rPr>
        <w:t>.</w:t>
      </w:r>
      <w:r w:rsidR="00892828">
        <w:rPr>
          <w:color w:val="000000"/>
        </w:rPr>
        <w:t xml:space="preserve">  </w:t>
      </w:r>
      <w:r w:rsidR="00DC27BC">
        <w:rPr>
          <w:color w:val="000000"/>
        </w:rPr>
        <w:t>Accordingly</w:t>
      </w:r>
      <w:r w:rsidR="00ED2CCE">
        <w:rPr>
          <w:color w:val="000000"/>
        </w:rPr>
        <w:t>,</w:t>
      </w:r>
      <w:r w:rsidR="00DC27BC">
        <w:rPr>
          <w:color w:val="000000"/>
        </w:rPr>
        <w:t xml:space="preserve"> w</w:t>
      </w:r>
      <w:r w:rsidR="009A5EFD">
        <w:rPr>
          <w:color w:val="000000"/>
        </w:rPr>
        <w:t xml:space="preserve">e </w:t>
      </w:r>
      <w:r w:rsidR="00DC27BC">
        <w:rPr>
          <w:color w:val="000000"/>
        </w:rPr>
        <w:t>illustrate</w:t>
      </w:r>
      <w:r w:rsidR="004F25DA">
        <w:rPr>
          <w:color w:val="000000"/>
        </w:rPr>
        <w:t xml:space="preserve"> how a proportionality review could be undertaken by the domestic courts</w:t>
      </w:r>
      <w:r w:rsidR="00DC27BC">
        <w:rPr>
          <w:color w:val="000000"/>
        </w:rPr>
        <w:t xml:space="preserve"> in private rental relationships</w:t>
      </w:r>
      <w:r w:rsidR="009A5EFD">
        <w:rPr>
          <w:color w:val="000000"/>
        </w:rPr>
        <w:t>, to give effect to private renters’ article 8 rights, while respecting</w:t>
      </w:r>
      <w:r w:rsidR="004F25DA">
        <w:rPr>
          <w:color w:val="000000"/>
        </w:rPr>
        <w:t xml:space="preserve"> the landlord’s competing </w:t>
      </w:r>
      <w:r w:rsidR="007E00D3">
        <w:rPr>
          <w:color w:val="000000"/>
        </w:rPr>
        <w:t xml:space="preserve">A1 P1 </w:t>
      </w:r>
      <w:r w:rsidR="004F25DA">
        <w:rPr>
          <w:color w:val="000000"/>
        </w:rPr>
        <w:t>rights, as well as the State’s authority as legislator.</w:t>
      </w:r>
      <w:r w:rsidR="005D75BE">
        <w:rPr>
          <w:color w:val="000000"/>
        </w:rPr>
        <w:t xml:space="preserve">  </w:t>
      </w:r>
      <w:r w:rsidR="00DC27BC">
        <w:rPr>
          <w:color w:val="000000"/>
        </w:rPr>
        <w:t>L</w:t>
      </w:r>
      <w:r w:rsidR="005D75BE">
        <w:rPr>
          <w:color w:val="000000"/>
        </w:rPr>
        <w:t xml:space="preserve">andlords and mortgage lenders may initially react negatively </w:t>
      </w:r>
      <w:r w:rsidR="00DC27BC">
        <w:rPr>
          <w:color w:val="000000"/>
        </w:rPr>
        <w:t xml:space="preserve">but </w:t>
      </w:r>
      <w:r w:rsidR="003A2B0C">
        <w:rPr>
          <w:color w:val="000000"/>
        </w:rPr>
        <w:t xml:space="preserve">we contend that the argument advanced here would </w:t>
      </w:r>
      <w:r w:rsidR="00191589">
        <w:rPr>
          <w:color w:val="000000"/>
        </w:rPr>
        <w:t xml:space="preserve">minimally </w:t>
      </w:r>
      <w:r w:rsidR="003A2B0C">
        <w:rPr>
          <w:color w:val="000000"/>
        </w:rPr>
        <w:t xml:space="preserve">disrupt the </w:t>
      </w:r>
      <w:r w:rsidR="00A0079B">
        <w:rPr>
          <w:color w:val="000000"/>
        </w:rPr>
        <w:t xml:space="preserve">existing </w:t>
      </w:r>
      <w:r w:rsidR="003A2B0C">
        <w:rPr>
          <w:color w:val="000000"/>
        </w:rPr>
        <w:t>balance of rights in the landlord-tenant relationship.</w:t>
      </w:r>
      <w:r w:rsidR="00217F78" w:rsidRPr="00217F78">
        <w:rPr>
          <w:color w:val="000000"/>
          <w:szCs w:val="24"/>
        </w:rPr>
        <w:t xml:space="preserve"> </w:t>
      </w:r>
      <w:r w:rsidR="00217F78">
        <w:rPr>
          <w:color w:val="000000"/>
          <w:szCs w:val="24"/>
        </w:rPr>
        <w:t>Maintaining absolute certainty of repossession, in all cases, could only be achieved by denying the applicability of human rights: a position we have argued is untenable.</w:t>
      </w:r>
    </w:p>
    <w:p w14:paraId="5059E328" w14:textId="77777777" w:rsidR="00F73E2C" w:rsidRPr="00F73E2C" w:rsidRDefault="00F73E2C" w:rsidP="005D235B">
      <w:pPr>
        <w:spacing w:line="360" w:lineRule="auto"/>
        <w:rPr>
          <w:szCs w:val="24"/>
        </w:rPr>
      </w:pPr>
    </w:p>
    <w:sectPr w:rsidR="00F73E2C" w:rsidRPr="00F73E2C" w:rsidSect="005847E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6E108" w14:textId="77777777" w:rsidR="003001A3" w:rsidRDefault="003001A3" w:rsidP="00F73E2C">
      <w:pPr>
        <w:spacing w:after="0" w:line="240" w:lineRule="auto"/>
      </w:pPr>
      <w:r>
        <w:separator/>
      </w:r>
    </w:p>
  </w:endnote>
  <w:endnote w:type="continuationSeparator" w:id="0">
    <w:p w14:paraId="550BE84C" w14:textId="77777777" w:rsidR="003001A3" w:rsidRDefault="003001A3" w:rsidP="00F7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634606"/>
      <w:docPartObj>
        <w:docPartGallery w:val="Page Numbers (Bottom of Page)"/>
        <w:docPartUnique/>
      </w:docPartObj>
    </w:sdtPr>
    <w:sdtEndPr>
      <w:rPr>
        <w:noProof/>
      </w:rPr>
    </w:sdtEndPr>
    <w:sdtContent>
      <w:p w14:paraId="62B0B37A" w14:textId="4E6035E3" w:rsidR="00B16CA4" w:rsidRDefault="00B16CA4">
        <w:pPr>
          <w:pStyle w:val="Footer"/>
          <w:jc w:val="right"/>
        </w:pPr>
        <w:r>
          <w:fldChar w:fldCharType="begin"/>
        </w:r>
        <w:r>
          <w:instrText xml:space="preserve"> PAGE   \* MERGEFORMAT </w:instrText>
        </w:r>
        <w:r>
          <w:fldChar w:fldCharType="separate"/>
        </w:r>
        <w:r w:rsidR="00FE4AFF">
          <w:rPr>
            <w:noProof/>
          </w:rPr>
          <w:t>4</w:t>
        </w:r>
        <w:r>
          <w:rPr>
            <w:noProof/>
          </w:rPr>
          <w:fldChar w:fldCharType="end"/>
        </w:r>
      </w:p>
    </w:sdtContent>
  </w:sdt>
  <w:p w14:paraId="2FE2414A" w14:textId="77777777" w:rsidR="00B16CA4" w:rsidRDefault="00B16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E5F2B" w14:textId="77777777" w:rsidR="003001A3" w:rsidRDefault="003001A3" w:rsidP="00F73E2C">
      <w:pPr>
        <w:spacing w:after="0" w:line="240" w:lineRule="auto"/>
      </w:pPr>
      <w:r>
        <w:separator/>
      </w:r>
    </w:p>
  </w:footnote>
  <w:footnote w:type="continuationSeparator" w:id="0">
    <w:p w14:paraId="7BAD7FFC" w14:textId="77777777" w:rsidR="003001A3" w:rsidRDefault="003001A3" w:rsidP="00F73E2C">
      <w:pPr>
        <w:spacing w:after="0" w:line="240" w:lineRule="auto"/>
      </w:pPr>
      <w:r>
        <w:continuationSeparator/>
      </w:r>
    </w:p>
  </w:footnote>
  <w:footnote w:id="1">
    <w:p w14:paraId="1C00B878" w14:textId="4626F002" w:rsidR="00B16CA4" w:rsidRDefault="00B16CA4" w:rsidP="00481110">
      <w:pPr>
        <w:pStyle w:val="FootnoteText"/>
      </w:pPr>
      <w:r>
        <w:t>*</w:t>
      </w:r>
      <w:r w:rsidRPr="00D413D5">
        <w:t xml:space="preserve"> </w:t>
      </w:r>
      <w:r>
        <w:t xml:space="preserve">We are extremely grateful to Professor Ian Loveland and to our colleagues Dr Alun Gibbs, Professor David Gurnham and Mark Jordan and the anonymous reviewers for their insightful comments.  </w:t>
      </w:r>
      <w:r w:rsidR="007B314E">
        <w:t xml:space="preserve">We would also like to thank the Editor of the journal for his encouragement to persevere with this piece. </w:t>
      </w:r>
      <w:r>
        <w:t>All errors remain our own.</w:t>
      </w:r>
    </w:p>
    <w:p w14:paraId="7B117083" w14:textId="7AD6C2EB" w:rsidR="00B16CA4" w:rsidRPr="00AD745A" w:rsidRDefault="00B16CA4" w:rsidP="00481110">
      <w:pPr>
        <w:pStyle w:val="FootnoteText"/>
      </w:pPr>
      <w:r>
        <w:rPr>
          <w:rStyle w:val="FootnoteReference"/>
        </w:rPr>
        <w:footnoteRef/>
      </w:r>
      <w:r>
        <w:t xml:space="preserve"> </w:t>
      </w:r>
      <w:r>
        <w:rPr>
          <w:i/>
        </w:rPr>
        <w:t>McDonald v McDonald</w:t>
      </w:r>
      <w:r>
        <w:t xml:space="preserve"> [2016] UKSC 28; [2016] H.L.R. 28.</w:t>
      </w:r>
    </w:p>
  </w:footnote>
  <w:footnote w:id="2">
    <w:p w14:paraId="5648E815" w14:textId="77777777" w:rsidR="00B16CA4" w:rsidRPr="00963237" w:rsidRDefault="00B16CA4" w:rsidP="00F53A26">
      <w:pPr>
        <w:pStyle w:val="FootnoteText"/>
      </w:pPr>
      <w:r>
        <w:rPr>
          <w:rStyle w:val="FootnoteReference"/>
        </w:rPr>
        <w:footnoteRef/>
      </w:r>
      <w:r>
        <w:t xml:space="preserve"> I. Loveland, “Twenty years later – assessing the significance of the Human Rights Act 1998 to residential possession proceedings” (2017) Conv. 174, 191.</w:t>
      </w:r>
    </w:p>
  </w:footnote>
  <w:footnote w:id="3">
    <w:p w14:paraId="6269957C" w14:textId="506C3616" w:rsidR="00B16CA4" w:rsidRPr="00941725" w:rsidRDefault="00B16CA4">
      <w:pPr>
        <w:pStyle w:val="FootnoteText"/>
      </w:pPr>
      <w:r>
        <w:rPr>
          <w:rStyle w:val="FootnoteReference"/>
        </w:rPr>
        <w:footnoteRef/>
      </w:r>
      <w:r>
        <w:t xml:space="preserve"> Application no. 76202/16 decided 29/11/18.</w:t>
      </w:r>
    </w:p>
  </w:footnote>
  <w:footnote w:id="4">
    <w:p w14:paraId="5F90DFEE" w14:textId="69E946D5" w:rsidR="00B16CA4" w:rsidRDefault="00B16CA4" w:rsidP="009C7DC4">
      <w:pPr>
        <w:pStyle w:val="FootnoteText"/>
      </w:pPr>
      <w:r>
        <w:rPr>
          <w:rStyle w:val="FootnoteReference"/>
        </w:rPr>
        <w:footnoteRef/>
      </w:r>
      <w:r>
        <w:t xml:space="preserve"> </w:t>
      </w:r>
      <w:bookmarkStart w:id="1" w:name="_Hlk534618479"/>
      <w:r>
        <w:rPr>
          <w:i/>
          <w:color w:val="000000"/>
          <w:szCs w:val="24"/>
        </w:rPr>
        <w:t>Ivanova and Cherkezov v Bulgaria</w:t>
      </w:r>
      <w:r>
        <w:t xml:space="preserve">, Application no. 4677/15 </w:t>
      </w:r>
      <w:bookmarkEnd w:id="1"/>
      <w:r>
        <w:t>[54].</w:t>
      </w:r>
    </w:p>
  </w:footnote>
  <w:footnote w:id="5">
    <w:p w14:paraId="032D9B4D" w14:textId="01B7C4A6" w:rsidR="00B16CA4" w:rsidRDefault="00B16CA4" w:rsidP="00487C1C">
      <w:pPr>
        <w:pStyle w:val="FootnoteText"/>
      </w:pPr>
      <w:r>
        <w:rPr>
          <w:rStyle w:val="FootnoteReference"/>
        </w:rPr>
        <w:footnoteRef/>
      </w:r>
      <w:r>
        <w:t xml:space="preserve"> </w:t>
      </w:r>
      <w:r>
        <w:rPr>
          <w:i/>
        </w:rPr>
        <w:t xml:space="preserve">Connors v UK </w:t>
      </w:r>
      <w:r>
        <w:t xml:space="preserve">(2005) 40 E.H.R.R. 9, </w:t>
      </w:r>
      <w:r>
        <w:rPr>
          <w:i/>
        </w:rPr>
        <w:t xml:space="preserve">McCann v UK </w:t>
      </w:r>
      <w:r>
        <w:t>(2008) 47 E.H.R.R. 40;</w:t>
      </w:r>
      <w:r>
        <w:rPr>
          <w:i/>
        </w:rPr>
        <w:t xml:space="preserve"> Kay v UK </w:t>
      </w:r>
      <w:r w:rsidRPr="00B73038">
        <w:t>[2011] H</w:t>
      </w:r>
      <w:r>
        <w:t>.</w:t>
      </w:r>
      <w:r w:rsidRPr="00B73038">
        <w:t>L</w:t>
      </w:r>
      <w:r>
        <w:t>.</w:t>
      </w:r>
      <w:r w:rsidRPr="00B73038">
        <w:t>R</w:t>
      </w:r>
      <w:r>
        <w:t>.</w:t>
      </w:r>
      <w:r w:rsidRPr="00B73038">
        <w:t xml:space="preserve"> 2</w:t>
      </w:r>
      <w:r>
        <w:t xml:space="preserve">; </w:t>
      </w:r>
      <w:r>
        <w:rPr>
          <w:i/>
        </w:rPr>
        <w:t xml:space="preserve">Cosic v Croatia </w:t>
      </w:r>
      <w:r>
        <w:t xml:space="preserve">[2011] 52 E.H.R.R. 39; </w:t>
      </w:r>
      <w:r>
        <w:rPr>
          <w:i/>
        </w:rPr>
        <w:t xml:space="preserve">Paulic v Croatia </w:t>
      </w:r>
      <w:r>
        <w:t xml:space="preserve">App No. 3572/06 and </w:t>
      </w:r>
      <w:r>
        <w:rPr>
          <w:i/>
        </w:rPr>
        <w:t xml:space="preserve">Bedjov v Croatia </w:t>
      </w:r>
      <w:r>
        <w:t>App No. 42150/09.</w:t>
      </w:r>
    </w:p>
  </w:footnote>
  <w:footnote w:id="6">
    <w:p w14:paraId="756704B2" w14:textId="77777777" w:rsidR="00B16CA4" w:rsidRDefault="00B16CA4" w:rsidP="00487C1C">
      <w:pPr>
        <w:pStyle w:val="FootnoteText"/>
      </w:pPr>
      <w:r>
        <w:rPr>
          <w:rStyle w:val="FootnoteReference"/>
        </w:rPr>
        <w:footnoteRef/>
      </w:r>
      <w:r>
        <w:t xml:space="preserve"> S.</w:t>
      </w:r>
      <w:r w:rsidRPr="00A0079B">
        <w:t xml:space="preserve"> </w:t>
      </w:r>
      <w:r w:rsidRPr="004B070E">
        <w:t xml:space="preserve">Nield, </w:t>
      </w:r>
      <w:r>
        <w:t>“</w:t>
      </w:r>
      <w:r w:rsidRPr="004B070E">
        <w:t>Clash of the Titans: Article 8, Occupiers and Their Home</w:t>
      </w:r>
      <w:r>
        <w:t>” in S. Bright (ed.)</w:t>
      </w:r>
      <w:r w:rsidRPr="004B070E">
        <w:t xml:space="preserve"> </w:t>
      </w:r>
      <w:r w:rsidRPr="004B070E">
        <w:rPr>
          <w:i/>
        </w:rPr>
        <w:t>Modern Studies in Property Law</w:t>
      </w:r>
      <w:r w:rsidRPr="004B070E">
        <w:t xml:space="preserve"> </w:t>
      </w:r>
      <w:r>
        <w:t xml:space="preserve">Volume 6 </w:t>
      </w:r>
      <w:r w:rsidRPr="004B070E">
        <w:t>(</w:t>
      </w:r>
      <w:r>
        <w:t xml:space="preserve">Hart, </w:t>
      </w:r>
      <w:r w:rsidRPr="004B070E">
        <w:t>2011)</w:t>
      </w:r>
      <w:r>
        <w:t>.</w:t>
      </w:r>
    </w:p>
  </w:footnote>
  <w:footnote w:id="7">
    <w:p w14:paraId="15E71CC7" w14:textId="5005B86B" w:rsidR="00B16CA4" w:rsidRDefault="00B16CA4" w:rsidP="00BA0FC2">
      <w:pPr>
        <w:pStyle w:val="FootnoteText"/>
      </w:pPr>
      <w:r>
        <w:rPr>
          <w:rStyle w:val="FootnoteReference"/>
        </w:rPr>
        <w:footnoteRef/>
      </w:r>
      <w:r>
        <w:t xml:space="preserve"> </w:t>
      </w:r>
      <w:r>
        <w:rPr>
          <w:i/>
          <w:color w:val="000000"/>
        </w:rPr>
        <w:t xml:space="preserve">Manchester CC v Pinnock </w:t>
      </w:r>
      <w:r>
        <w:t xml:space="preserve">[2010] UKSC 45; [2011] 2 A.C. 10, </w:t>
      </w:r>
      <w:r>
        <w:rPr>
          <w:i/>
        </w:rPr>
        <w:t>Hounslow LBC v Powell</w:t>
      </w:r>
      <w:r>
        <w:t xml:space="preserve"> [2011] UKSC 8; [2011] 2 A.C. 186 </w:t>
      </w:r>
      <w:r>
        <w:rPr>
          <w:color w:val="000000"/>
          <w:szCs w:val="24"/>
        </w:rPr>
        <w:t>and sometimes for social tenants</w:t>
      </w:r>
      <w:r w:rsidRPr="00A3138C">
        <w:rPr>
          <w:i/>
          <w:iCs/>
          <w:szCs w:val="24"/>
        </w:rPr>
        <w:t xml:space="preserve"> </w:t>
      </w:r>
      <w:r w:rsidRPr="00B241A9">
        <w:rPr>
          <w:i/>
          <w:iCs/>
          <w:szCs w:val="24"/>
        </w:rPr>
        <w:t>London &amp; Quadrant Housing Trust v The Queen on the Application of Weaver</w:t>
      </w:r>
      <w:r>
        <w:rPr>
          <w:i/>
          <w:iCs/>
          <w:szCs w:val="24"/>
        </w:rPr>
        <w:t xml:space="preserve"> </w:t>
      </w:r>
      <w:r w:rsidRPr="00B241A9">
        <w:rPr>
          <w:iCs/>
          <w:szCs w:val="24"/>
        </w:rPr>
        <w:t>[2009]</w:t>
      </w:r>
      <w:r w:rsidRPr="00B241A9">
        <w:rPr>
          <w:i/>
          <w:iCs/>
          <w:szCs w:val="24"/>
        </w:rPr>
        <w:t xml:space="preserve"> </w:t>
      </w:r>
      <w:r w:rsidRPr="00B241A9">
        <w:rPr>
          <w:iCs/>
          <w:szCs w:val="24"/>
        </w:rPr>
        <w:t>EWCA Civ</w:t>
      </w:r>
      <w:r>
        <w:t>;</w:t>
      </w:r>
      <w:r w:rsidRPr="00B241A9">
        <w:t xml:space="preserve"> </w:t>
      </w:r>
      <w:r>
        <w:t>[2010] 1 W.L.R. 363.</w:t>
      </w:r>
    </w:p>
  </w:footnote>
  <w:footnote w:id="8">
    <w:p w14:paraId="2FC37E13" w14:textId="14CABBE5" w:rsidR="00B16CA4" w:rsidRPr="00773D8D" w:rsidRDefault="00B16CA4">
      <w:pPr>
        <w:pStyle w:val="FootnoteText"/>
      </w:pPr>
      <w:r>
        <w:rPr>
          <w:rStyle w:val="FootnoteReference"/>
        </w:rPr>
        <w:footnoteRef/>
      </w:r>
      <w:r>
        <w:t xml:space="preserve"> </w:t>
      </w:r>
      <w:bookmarkStart w:id="2" w:name="_Hlk526417574"/>
      <w:r>
        <w:t xml:space="preserve">A. Kavanagh, “The Role of Courts in the Joint Enterprise of Governing” in </w:t>
      </w:r>
      <w:bookmarkStart w:id="3" w:name="_Hlk528058957"/>
      <w:r>
        <w:t xml:space="preserve">N. W. Barber, R. Ekins and P. Yowell (eds.), </w:t>
      </w:r>
      <w:r>
        <w:rPr>
          <w:i/>
        </w:rPr>
        <w:t>Lord Sumption and the Limits of the Law</w:t>
      </w:r>
      <w:r>
        <w:t xml:space="preserve"> (Hart, 2016).</w:t>
      </w:r>
      <w:bookmarkEnd w:id="2"/>
    </w:p>
    <w:bookmarkEnd w:id="3"/>
  </w:footnote>
  <w:footnote w:id="9">
    <w:p w14:paraId="29B6749C" w14:textId="756E13DB" w:rsidR="00B16CA4" w:rsidRPr="00C3601A" w:rsidRDefault="00B16CA4">
      <w:pPr>
        <w:pStyle w:val="FootnoteText"/>
      </w:pPr>
      <w:r>
        <w:rPr>
          <w:rStyle w:val="FootnoteReference"/>
        </w:rPr>
        <w:footnoteRef/>
      </w:r>
      <w:r>
        <w:t xml:space="preserve"> </w:t>
      </w:r>
      <w:bookmarkStart w:id="4" w:name="_Hlk526414118"/>
      <w:r>
        <w:t xml:space="preserve">MHCLG, </w:t>
      </w:r>
      <w:r>
        <w:rPr>
          <w:i/>
        </w:rPr>
        <w:t>Overcoming the Barriers to Longer Tenancies in the Private Rental Sector</w:t>
      </w:r>
      <w:r>
        <w:t xml:space="preserve">, July 2018, para. </w:t>
      </w:r>
      <w:bookmarkEnd w:id="4"/>
      <w:r>
        <w:t>5.</w:t>
      </w:r>
    </w:p>
  </w:footnote>
  <w:footnote w:id="10">
    <w:p w14:paraId="2A8DFA06" w14:textId="3473ABC1" w:rsidR="00B16CA4" w:rsidRPr="00277EF5" w:rsidRDefault="00B16CA4">
      <w:pPr>
        <w:pStyle w:val="FootnoteText"/>
      </w:pPr>
      <w:r>
        <w:rPr>
          <w:rStyle w:val="FootnoteReference"/>
        </w:rPr>
        <w:footnoteRef/>
      </w:r>
      <w:r w:rsidRPr="00277EF5">
        <w:t xml:space="preserve"> National Landlords Association, ‘Longer-t</w:t>
      </w:r>
      <w:r w:rsidRPr="00102957">
        <w:t>erm ten</w:t>
      </w:r>
      <w:r>
        <w:t xml:space="preserve">ancies: NLA reacts to 3-year proposals’ NLA Network 1 July 2018 </w:t>
      </w:r>
      <w:hyperlink r:id="rId1" w:history="1">
        <w:r w:rsidRPr="00DF418A">
          <w:rPr>
            <w:rStyle w:val="Hyperlink"/>
          </w:rPr>
          <w:t>https://landlords.org.uk/news-campaigns/news/longer-term-tenancies-nla-reacts-three-year-proposals</w:t>
        </w:r>
      </w:hyperlink>
      <w:r>
        <w:t xml:space="preserve"> [accessed 4/10/18]; N. Barker, ‘Morning Briefing: three-year tenancies “could be killed off by Number 10”’ </w:t>
      </w:r>
      <w:r>
        <w:rPr>
          <w:i/>
        </w:rPr>
        <w:t>Inside Housing</w:t>
      </w:r>
      <w:r>
        <w:t xml:space="preserve"> 5/9/18.</w:t>
      </w:r>
    </w:p>
  </w:footnote>
  <w:footnote w:id="11">
    <w:p w14:paraId="1952031B" w14:textId="5249C168" w:rsidR="00B16CA4" w:rsidRPr="00515A9E" w:rsidRDefault="00B16CA4" w:rsidP="00D22057">
      <w:pPr>
        <w:pStyle w:val="FootnoteText"/>
      </w:pPr>
      <w:r>
        <w:rPr>
          <w:rStyle w:val="FootnoteReference"/>
        </w:rPr>
        <w:footnoteRef/>
      </w:r>
      <w:r>
        <w:t xml:space="preserve"> See G. Phillipson, “Horizontal effect after </w:t>
      </w:r>
      <w:r>
        <w:rPr>
          <w:i/>
        </w:rPr>
        <w:t>Campbell</w:t>
      </w:r>
      <w:r>
        <w:t xml:space="preserve">’” in H. Fenwick, G. Phillipson and R. Masterman (eds), </w:t>
      </w:r>
      <w:r>
        <w:rPr>
          <w:i/>
        </w:rPr>
        <w:t>Judicial Reasoning under the UK Human Rights Act</w:t>
      </w:r>
      <w:r>
        <w:t xml:space="preserve"> (CUP, 2007); A. L. Young, “Mapping horizontal effect” in D. Hoffman (ed.), </w:t>
      </w:r>
      <w:r>
        <w:rPr>
          <w:i/>
        </w:rPr>
        <w:t>The Impact of the UK Human Rights Act on Private Law</w:t>
      </w:r>
      <w:r>
        <w:t xml:space="preserve"> (CUP, 2011); J. Wright, “A damp squib? The impact of section 6 HRA on the common law: horizontal effect and beyond” [2014] P.L. 289.</w:t>
      </w:r>
    </w:p>
  </w:footnote>
  <w:footnote w:id="12">
    <w:p w14:paraId="52F7D5A6" w14:textId="77777777" w:rsidR="00B16CA4" w:rsidRDefault="00B16CA4" w:rsidP="00530FA8">
      <w:pPr>
        <w:pStyle w:val="FootnoteText"/>
      </w:pPr>
      <w:r>
        <w:rPr>
          <w:rStyle w:val="FootnoteReference"/>
        </w:rPr>
        <w:footnoteRef/>
      </w:r>
      <w:r>
        <w:t xml:space="preserve"> A. L. Young, </w:t>
      </w:r>
      <w:r w:rsidRPr="00EB1D0F">
        <w:rPr>
          <w:i/>
        </w:rPr>
        <w:t>Democratic Dialogue and the Constitution</w:t>
      </w:r>
      <w:r>
        <w:t xml:space="preserve"> (OUP, 2017); cf P. Sales, “Partnership and challenge: the courts' role in managing the integration of rights and democracy” (2016) P.L. 456.</w:t>
      </w:r>
    </w:p>
  </w:footnote>
  <w:footnote w:id="13">
    <w:p w14:paraId="64783E44" w14:textId="77777777" w:rsidR="00B16CA4" w:rsidRPr="000C64C7" w:rsidRDefault="00B16CA4" w:rsidP="00530FA8">
      <w:pPr>
        <w:pStyle w:val="FootnoteText"/>
      </w:pPr>
      <w:r>
        <w:rPr>
          <w:rStyle w:val="FootnoteReference"/>
        </w:rPr>
        <w:footnoteRef/>
      </w:r>
      <w:r>
        <w:t xml:space="preserve"> A. Brady, </w:t>
      </w:r>
      <w:r>
        <w:rPr>
          <w:i/>
        </w:rPr>
        <w:t>Proportionality under the UK Human Rights Act</w:t>
      </w:r>
      <w:r>
        <w:t xml:space="preserve"> (Cambridge, CUP, 2012), p.21; J. Rivers, “Proportionality and the Variable Intensity of Review” [2006] C.L.J. 174.</w:t>
      </w:r>
    </w:p>
  </w:footnote>
  <w:footnote w:id="14">
    <w:p w14:paraId="5E6E9BE3" w14:textId="77777777" w:rsidR="00B16CA4" w:rsidRDefault="00B16CA4" w:rsidP="00530FA8">
      <w:pPr>
        <w:pStyle w:val="FootnoteText"/>
      </w:pPr>
      <w:r>
        <w:rPr>
          <w:rStyle w:val="FootnoteReference"/>
        </w:rPr>
        <w:footnoteRef/>
      </w:r>
      <w:r>
        <w:t xml:space="preserve"> A. Goymour “Property and Housing” in D. Hoffman (ed.), </w:t>
      </w:r>
      <w:r>
        <w:rPr>
          <w:i/>
        </w:rPr>
        <w:t>The Impact of the UK Human Rights Act on Private Law</w:t>
      </w:r>
      <w:r>
        <w:t xml:space="preserve"> (CUP, 2011), p.273.</w:t>
      </w:r>
    </w:p>
  </w:footnote>
  <w:footnote w:id="15">
    <w:p w14:paraId="5577A29D" w14:textId="29B74145" w:rsidR="00B16CA4" w:rsidRPr="00EC1DFD" w:rsidRDefault="00B16CA4" w:rsidP="00A603B4">
      <w:pPr>
        <w:pStyle w:val="FootnoteText"/>
      </w:pPr>
      <w:r>
        <w:rPr>
          <w:rStyle w:val="FootnoteReference"/>
        </w:rPr>
        <w:footnoteRef/>
      </w:r>
      <w:r>
        <w:t xml:space="preserve"> A. Grear, “A tale of the land, the insider, the outsider and human rights (an exploration of some problems and possibilities in the relationship between the English common law property concept, human rights law and discourses of exclusion and inclusion” (2003) L.S. 33, 35.  </w:t>
      </w:r>
    </w:p>
  </w:footnote>
  <w:footnote w:id="16">
    <w:p w14:paraId="2C15F38E" w14:textId="0EDBAA3C" w:rsidR="00B16CA4" w:rsidRDefault="00B16CA4">
      <w:pPr>
        <w:pStyle w:val="FootnoteText"/>
      </w:pPr>
      <w:r>
        <w:rPr>
          <w:rStyle w:val="FootnoteReference"/>
        </w:rPr>
        <w:footnoteRef/>
      </w:r>
      <w:r>
        <w:t xml:space="preserve"> Housing Act 1988 s.19A.</w:t>
      </w:r>
    </w:p>
  </w:footnote>
  <w:footnote w:id="17">
    <w:p w14:paraId="771D92BA" w14:textId="77777777" w:rsidR="00B16CA4" w:rsidRDefault="00B16CA4" w:rsidP="00B70BA5">
      <w:pPr>
        <w:pStyle w:val="FootnoteText"/>
      </w:pPr>
      <w:r>
        <w:rPr>
          <w:rStyle w:val="FootnoteReference"/>
        </w:rPr>
        <w:footnoteRef/>
      </w:r>
      <w:r>
        <w:t xml:space="preserve"> This practice is controversial see Council of Mortgage Lenders, </w:t>
      </w:r>
      <w:r w:rsidRPr="006737BB">
        <w:rPr>
          <w:i/>
        </w:rPr>
        <w:t>Guidance for lenders - the role of LPA receivers</w:t>
      </w:r>
      <w:r>
        <w:t xml:space="preserve"> (24 February 2011) issued following the decision in </w:t>
      </w:r>
      <w:r>
        <w:rPr>
          <w:i/>
        </w:rPr>
        <w:t xml:space="preserve">Horsham Properties Group v Clark </w:t>
      </w:r>
      <w:r w:rsidRPr="00311014">
        <w:t>[2008] EWHC 2327 (Ch);</w:t>
      </w:r>
      <w:r w:rsidRPr="00311014">
        <w:rPr>
          <w:i/>
        </w:rPr>
        <w:t xml:space="preserve"> </w:t>
      </w:r>
      <w:r w:rsidRPr="00CC0B7B">
        <w:t>[200</w:t>
      </w:r>
      <w:r>
        <w:t>9</w:t>
      </w:r>
      <w:r w:rsidRPr="00CC0B7B">
        <w:t xml:space="preserve">] </w:t>
      </w:r>
      <w:r>
        <w:t>1 W.L.R. 1255 and Ministry of Justice Consultation Paper CP55/09 (December 2009)</w:t>
      </w:r>
      <w:r w:rsidRPr="00CC0B7B">
        <w:t>.</w:t>
      </w:r>
      <w:r>
        <w:rPr>
          <w:i/>
        </w:rPr>
        <w:t xml:space="preserve"> </w:t>
      </w:r>
      <w:r>
        <w:t xml:space="preserve"> </w:t>
      </w:r>
    </w:p>
  </w:footnote>
  <w:footnote w:id="18">
    <w:p w14:paraId="0BAB5A23" w14:textId="45638176" w:rsidR="00B16CA4" w:rsidRDefault="00B16CA4">
      <w:pPr>
        <w:pStyle w:val="FootnoteText"/>
      </w:pPr>
      <w:r>
        <w:rPr>
          <w:rStyle w:val="FootnoteReference"/>
        </w:rPr>
        <w:footnoteRef/>
      </w:r>
      <w:r>
        <w:t xml:space="preserve"> </w:t>
      </w:r>
      <w:r w:rsidRPr="00390B57">
        <w:t>Civil Procedure Rules, Part 55, Rules 55.11-55.19.</w:t>
      </w:r>
    </w:p>
  </w:footnote>
  <w:footnote w:id="19">
    <w:p w14:paraId="73CB746B" w14:textId="0BB2BE3E" w:rsidR="00B16CA4" w:rsidRDefault="00B16CA4">
      <w:pPr>
        <w:pStyle w:val="FootnoteText"/>
      </w:pPr>
      <w:r>
        <w:rPr>
          <w:rStyle w:val="FootnoteReference"/>
        </w:rPr>
        <w:footnoteRef/>
      </w:r>
      <w:r>
        <w:t xml:space="preserve"> Housing Act 1988 s.7 and Schedule 2,</w:t>
      </w:r>
    </w:p>
  </w:footnote>
  <w:footnote w:id="20">
    <w:p w14:paraId="39094C7B" w14:textId="01791D90" w:rsidR="00B16CA4" w:rsidRDefault="00B16CA4">
      <w:pPr>
        <w:pStyle w:val="FootnoteText"/>
      </w:pPr>
      <w:r>
        <w:rPr>
          <w:rStyle w:val="FootnoteReference"/>
        </w:rPr>
        <w:footnoteRef/>
      </w:r>
      <w:r>
        <w:t xml:space="preserve"> Ibid Ground 8.</w:t>
      </w:r>
    </w:p>
  </w:footnote>
  <w:footnote w:id="21">
    <w:p w14:paraId="169416F7" w14:textId="2D89CB52" w:rsidR="00B16CA4" w:rsidRDefault="00B16CA4">
      <w:pPr>
        <w:pStyle w:val="FootnoteText"/>
      </w:pPr>
      <w:r>
        <w:rPr>
          <w:rStyle w:val="FootnoteReference"/>
        </w:rPr>
        <w:footnoteRef/>
      </w:r>
      <w:r>
        <w:t xml:space="preserve"> Ibid Ground 12.</w:t>
      </w:r>
    </w:p>
  </w:footnote>
  <w:footnote w:id="22">
    <w:p w14:paraId="177A2884" w14:textId="26F68B41" w:rsidR="00B16CA4" w:rsidRPr="00482794" w:rsidRDefault="00B16CA4">
      <w:pPr>
        <w:pStyle w:val="FootnoteText"/>
      </w:pPr>
      <w:r>
        <w:rPr>
          <w:rStyle w:val="FootnoteReference"/>
        </w:rPr>
        <w:footnoteRef/>
      </w:r>
      <w:r>
        <w:t xml:space="preserve"> </w:t>
      </w:r>
      <w:bookmarkStart w:id="5" w:name="_Hlk526415138"/>
      <w:r>
        <w:t xml:space="preserve">J. Rugg and D. Rhodes, </w:t>
      </w:r>
      <w:r>
        <w:rPr>
          <w:i/>
        </w:rPr>
        <w:t>The Evolving Private Rented Sector: Its Contribution and Potential</w:t>
      </w:r>
      <w:r>
        <w:t xml:space="preserve"> (University of York, Centre for Housing Policy, 2018), p.113.</w:t>
      </w:r>
    </w:p>
    <w:bookmarkEnd w:id="5"/>
  </w:footnote>
  <w:footnote w:id="23">
    <w:p w14:paraId="612D486E" w14:textId="697E1F24" w:rsidR="00B16CA4" w:rsidRDefault="00B16CA4">
      <w:pPr>
        <w:pStyle w:val="FootnoteText"/>
      </w:pPr>
      <w:r>
        <w:rPr>
          <w:rStyle w:val="FootnoteReference"/>
        </w:rPr>
        <w:footnoteRef/>
      </w:r>
      <w:r>
        <w:t xml:space="preserve"> </w:t>
      </w:r>
      <w:r>
        <w:rPr>
          <w:i/>
        </w:rPr>
        <w:t xml:space="preserve">McDonald </w:t>
      </w:r>
      <w:r>
        <w:t>at [40].</w:t>
      </w:r>
    </w:p>
  </w:footnote>
  <w:footnote w:id="24">
    <w:p w14:paraId="1F99F0EF" w14:textId="15D636E1" w:rsidR="00B16CA4" w:rsidRPr="00A935D1" w:rsidRDefault="00B16CA4">
      <w:pPr>
        <w:pStyle w:val="FootnoteText"/>
      </w:pPr>
      <w:r>
        <w:rPr>
          <w:rStyle w:val="FootnoteReference"/>
        </w:rPr>
        <w:footnoteRef/>
      </w:r>
      <w:r>
        <w:t xml:space="preserve"> </w:t>
      </w:r>
      <w:r>
        <w:rPr>
          <w:i/>
        </w:rPr>
        <w:t xml:space="preserve">FJM </w:t>
      </w:r>
      <w:r>
        <w:t xml:space="preserve"> at [42].</w:t>
      </w:r>
    </w:p>
  </w:footnote>
  <w:footnote w:id="25">
    <w:p w14:paraId="12509A05" w14:textId="77777777" w:rsidR="00B16CA4" w:rsidRDefault="00B16CA4" w:rsidP="009D22A2">
      <w:pPr>
        <w:pStyle w:val="FootnoteText"/>
      </w:pPr>
      <w:r>
        <w:rPr>
          <w:rStyle w:val="FootnoteReference"/>
        </w:rPr>
        <w:footnoteRef/>
      </w:r>
      <w:r>
        <w:t xml:space="preserve"> P. Sales, “Partnership and challenge: the courts' role in managing the integration of rights and democracy” (2016) P.L. 456, 458.</w:t>
      </w:r>
    </w:p>
  </w:footnote>
  <w:footnote w:id="26">
    <w:p w14:paraId="6F4B8E75" w14:textId="609CF1A3" w:rsidR="00B16CA4" w:rsidRDefault="00B16CA4">
      <w:pPr>
        <w:pStyle w:val="FootnoteText"/>
      </w:pPr>
      <w:r>
        <w:rPr>
          <w:rStyle w:val="FootnoteReference"/>
        </w:rPr>
        <w:footnoteRef/>
      </w:r>
      <w:r>
        <w:t xml:space="preserve"> </w:t>
      </w:r>
      <w:r w:rsidRPr="001D6ABF">
        <w:rPr>
          <w:i/>
        </w:rPr>
        <w:t>Campbell v MGN Ltd</w:t>
      </w:r>
      <w:r>
        <w:t xml:space="preserve"> [2004] UKHL 22; [2004] 2 A.C.</w:t>
      </w:r>
    </w:p>
  </w:footnote>
  <w:footnote w:id="27">
    <w:p w14:paraId="39317900" w14:textId="77777777" w:rsidR="00B16CA4" w:rsidRDefault="00B16CA4" w:rsidP="009D22A2">
      <w:pPr>
        <w:pStyle w:val="FootnoteText"/>
      </w:pPr>
      <w:r>
        <w:rPr>
          <w:rStyle w:val="FootnoteReference"/>
        </w:rPr>
        <w:footnoteRef/>
      </w:r>
      <w:r>
        <w:t xml:space="preserve"> J. Rivers, “Proportionality and the Variable Intensity of Review” [2006] C.L.J 174.</w:t>
      </w:r>
    </w:p>
  </w:footnote>
  <w:footnote w:id="28">
    <w:p w14:paraId="39FBBDE8" w14:textId="77777777" w:rsidR="00B16CA4" w:rsidRPr="004F4B24" w:rsidRDefault="00B16CA4" w:rsidP="009D22A2">
      <w:pPr>
        <w:pStyle w:val="FootnoteText"/>
      </w:pPr>
      <w:r>
        <w:rPr>
          <w:rStyle w:val="FootnoteReference"/>
        </w:rPr>
        <w:footnoteRef/>
      </w:r>
      <w:r>
        <w:t xml:space="preserve"> A. Young, “Proportionality is Dead: Long Live Proportionality” in G. Huscroft, B.W. Miller &amp; G. Webber (eds) </w:t>
      </w:r>
      <w:r>
        <w:rPr>
          <w:i/>
        </w:rPr>
        <w:t xml:space="preserve">Proportionality and the Rule of Law: Rights, Justification and Reasoning </w:t>
      </w:r>
      <w:r>
        <w:t xml:space="preserve">(CUP, Cambridge 2014) Ch 6. </w:t>
      </w:r>
    </w:p>
  </w:footnote>
  <w:footnote w:id="29">
    <w:p w14:paraId="09B13D02" w14:textId="77777777" w:rsidR="00B16CA4" w:rsidRPr="00E00AF9" w:rsidRDefault="00B16CA4" w:rsidP="009D22A2">
      <w:pPr>
        <w:pStyle w:val="FootnoteText"/>
      </w:pPr>
      <w:r>
        <w:rPr>
          <w:rStyle w:val="FootnoteReference"/>
        </w:rPr>
        <w:footnoteRef/>
      </w:r>
      <w:r>
        <w:t xml:space="preserve"> H. Shamir, “The Public/Private Distinction Now: the challenges of privatization and of the regulatory state” (2014) 15(1) </w:t>
      </w:r>
      <w:r>
        <w:rPr>
          <w:i/>
        </w:rPr>
        <w:t>Theoretical Inquiries in Law</w:t>
      </w:r>
      <w:r>
        <w:t xml:space="preserve"> 1, 11.</w:t>
      </w:r>
    </w:p>
  </w:footnote>
  <w:footnote w:id="30">
    <w:p w14:paraId="6332A725" w14:textId="6D60EBCA" w:rsidR="00B16CA4" w:rsidRPr="00E561CD" w:rsidRDefault="00B16CA4">
      <w:pPr>
        <w:pStyle w:val="FootnoteText"/>
      </w:pPr>
      <w:r>
        <w:rPr>
          <w:rStyle w:val="FootnoteReference"/>
        </w:rPr>
        <w:footnoteRef/>
      </w:r>
      <w:r>
        <w:t xml:space="preserve"> </w:t>
      </w:r>
      <w:r>
        <w:rPr>
          <w:i/>
        </w:rPr>
        <w:t>Housing: The Government’s Proposals</w:t>
      </w:r>
      <w:r>
        <w:t xml:space="preserve"> White Paper Cmd. 214, 1987, para. 1.1.</w:t>
      </w:r>
    </w:p>
  </w:footnote>
  <w:footnote w:id="31">
    <w:p w14:paraId="29433020" w14:textId="77777777" w:rsidR="00B16CA4" w:rsidRDefault="00B16CA4">
      <w:pPr>
        <w:pStyle w:val="FootnoteText"/>
      </w:pPr>
      <w:r>
        <w:rPr>
          <w:rStyle w:val="FootnoteReference"/>
        </w:rPr>
        <w:footnoteRef/>
      </w:r>
      <w:r>
        <w:t xml:space="preserve"> Rent Act 1977.</w:t>
      </w:r>
    </w:p>
  </w:footnote>
  <w:footnote w:id="32">
    <w:p w14:paraId="119A14DE" w14:textId="0B51FC6C" w:rsidR="00B16CA4" w:rsidRDefault="00B16CA4" w:rsidP="00E20E3D">
      <w:pPr>
        <w:pStyle w:val="FootnoteText"/>
      </w:pPr>
      <w:r>
        <w:rPr>
          <w:rStyle w:val="FootnoteReference"/>
        </w:rPr>
        <w:footnoteRef/>
      </w:r>
      <w:r>
        <w:t xml:space="preserve"> P.A. Kemp, </w:t>
      </w:r>
      <w:r w:rsidRPr="00E20E3D">
        <w:rPr>
          <w:i/>
        </w:rPr>
        <w:t>Private Renting in Transition</w:t>
      </w:r>
      <w:r>
        <w:t xml:space="preserve"> (Coventry, Chartered Institute of Housing, 2004).</w:t>
      </w:r>
    </w:p>
  </w:footnote>
  <w:footnote w:id="33">
    <w:p w14:paraId="7FB20031" w14:textId="77777777" w:rsidR="00B16CA4" w:rsidRDefault="00B16CA4" w:rsidP="00AB3667">
      <w:pPr>
        <w:pStyle w:val="FootnoteText"/>
      </w:pPr>
      <w:r>
        <w:rPr>
          <w:rStyle w:val="FootnoteReference"/>
        </w:rPr>
        <w:footnoteRef/>
      </w:r>
      <w:r>
        <w:t xml:space="preserve">  J. </w:t>
      </w:r>
      <w:r>
        <w:rPr>
          <w:spacing w:val="-3"/>
        </w:rPr>
        <w:t xml:space="preserve">Rugg and D. Rhodes, </w:t>
      </w:r>
      <w:r w:rsidRPr="00233EEE">
        <w:rPr>
          <w:i/>
          <w:spacing w:val="-3"/>
        </w:rPr>
        <w:t>The Private Rented Sector: its contribution and potential</w:t>
      </w:r>
      <w:r>
        <w:rPr>
          <w:spacing w:val="-3"/>
        </w:rPr>
        <w:t xml:space="preserve"> (University of York, Centre for Housing Policy, 2008). </w:t>
      </w:r>
    </w:p>
  </w:footnote>
  <w:footnote w:id="34">
    <w:p w14:paraId="1BD867A4" w14:textId="77777777" w:rsidR="00B16CA4" w:rsidRDefault="00B16CA4" w:rsidP="004B2C1C">
      <w:pPr>
        <w:pStyle w:val="FootnoteText"/>
      </w:pPr>
      <w:r>
        <w:rPr>
          <w:rStyle w:val="FootnoteReference"/>
        </w:rPr>
        <w:footnoteRef/>
      </w:r>
      <w:r>
        <w:t xml:space="preserve"> </w:t>
      </w:r>
      <w:r>
        <w:rPr>
          <w:i/>
        </w:rPr>
        <w:t>McDonald</w:t>
      </w:r>
      <w:r>
        <w:t xml:space="preserve"> at [40].</w:t>
      </w:r>
    </w:p>
  </w:footnote>
  <w:footnote w:id="35">
    <w:p w14:paraId="39630D06" w14:textId="77777777" w:rsidR="00B16CA4" w:rsidRDefault="00B16CA4" w:rsidP="004B2C1C">
      <w:pPr>
        <w:pStyle w:val="FootnoteText"/>
      </w:pPr>
      <w:r>
        <w:rPr>
          <w:rStyle w:val="FootnoteReference"/>
        </w:rPr>
        <w:footnoteRef/>
      </w:r>
      <w:r>
        <w:t xml:space="preserve"> </w:t>
      </w:r>
      <w:r>
        <w:rPr>
          <w:i/>
        </w:rPr>
        <w:t xml:space="preserve">McDonald </w:t>
      </w:r>
      <w:r>
        <w:t>at [11]-[19].</w:t>
      </w:r>
    </w:p>
  </w:footnote>
  <w:footnote w:id="36">
    <w:p w14:paraId="27F779C5" w14:textId="77777777" w:rsidR="00B16CA4" w:rsidRDefault="00B16CA4" w:rsidP="004B2C1C">
      <w:pPr>
        <w:pStyle w:val="FootnoteText"/>
      </w:pPr>
      <w:r>
        <w:rPr>
          <w:rStyle w:val="FootnoteReference"/>
        </w:rPr>
        <w:footnoteRef/>
      </w:r>
      <w:r>
        <w:t xml:space="preserve"> J. Morgan, “The casualization of housing” (1996) J.S.W.F.L. 18(4) 445.</w:t>
      </w:r>
    </w:p>
  </w:footnote>
  <w:footnote w:id="37">
    <w:p w14:paraId="4E3DF32E" w14:textId="474CA850" w:rsidR="00B16CA4" w:rsidRPr="003D345F" w:rsidRDefault="00B16CA4" w:rsidP="00770CF8">
      <w:pPr>
        <w:pStyle w:val="FootnoteText"/>
      </w:pPr>
      <w:r>
        <w:rPr>
          <w:rStyle w:val="FootnoteReference"/>
        </w:rPr>
        <w:footnoteRef/>
      </w:r>
      <w:r>
        <w:t xml:space="preserve"> </w:t>
      </w:r>
      <w:bookmarkStart w:id="6" w:name="_Hlk506898775"/>
      <w:r>
        <w:t xml:space="preserve">DCLG, </w:t>
      </w:r>
      <w:r>
        <w:rPr>
          <w:i/>
        </w:rPr>
        <w:t>English Housing Survey Headline Report 2016-17</w:t>
      </w:r>
      <w:r>
        <w:t xml:space="preserve"> </w:t>
      </w:r>
      <w:bookmarkEnd w:id="6"/>
      <w:r>
        <w:t>para. 1.8. In London it is 30%.</w:t>
      </w:r>
    </w:p>
  </w:footnote>
  <w:footnote w:id="38">
    <w:p w14:paraId="2E4F51F6" w14:textId="63391A53" w:rsidR="00B16CA4" w:rsidRDefault="00B16CA4" w:rsidP="008E52B3">
      <w:pPr>
        <w:pStyle w:val="FootnoteText"/>
      </w:pPr>
      <w:r>
        <w:rPr>
          <w:rStyle w:val="FootnoteReference"/>
        </w:rPr>
        <w:footnoteRef/>
      </w:r>
      <w:r>
        <w:t xml:space="preserve"> </w:t>
      </w:r>
      <w:bookmarkStart w:id="7" w:name="_Hlk516232194"/>
      <w:r>
        <w:t xml:space="preserve">Housing, Communities and Local Government Committee, </w:t>
      </w:r>
      <w:r w:rsidRPr="002742C1">
        <w:rPr>
          <w:i/>
        </w:rPr>
        <w:t>Private rented sector Fourth Report of Session 2017–19</w:t>
      </w:r>
      <w:r>
        <w:t xml:space="preserve"> HC 440 (19 April 2018)</w:t>
      </w:r>
      <w:bookmarkEnd w:id="7"/>
      <w:r>
        <w:t>, paras 3-4.</w:t>
      </w:r>
      <w:r>
        <w:rPr>
          <w:spacing w:val="-3"/>
        </w:rPr>
        <w:t xml:space="preserve"> </w:t>
      </w:r>
    </w:p>
  </w:footnote>
  <w:footnote w:id="39">
    <w:p w14:paraId="7D9E439A" w14:textId="29C11D0C" w:rsidR="00B16CA4" w:rsidRPr="005D6584" w:rsidRDefault="00B16CA4" w:rsidP="00AE6F90">
      <w:pPr>
        <w:pStyle w:val="FootnoteText"/>
        <w:spacing w:line="276" w:lineRule="auto"/>
      </w:pPr>
      <w:r w:rsidRPr="00216BBB">
        <w:rPr>
          <w:rStyle w:val="FootnoteReference"/>
          <w:rFonts w:ascii="Lucida Sans" w:hAnsi="Lucida Sans"/>
        </w:rPr>
        <w:footnoteRef/>
      </w:r>
      <w:r w:rsidRPr="00216BBB">
        <w:rPr>
          <w:rFonts w:ascii="Lucida Sans" w:hAnsi="Lucida Sans"/>
        </w:rPr>
        <w:t xml:space="preserve"> </w:t>
      </w:r>
      <w:r>
        <w:t xml:space="preserve">In 2015/16 81 per cent of tenancies were granted for an initial fixed term of 6 or 12 months: MHCLG, </w:t>
      </w:r>
      <w:r>
        <w:rPr>
          <w:i/>
        </w:rPr>
        <w:t>Overcoming the Barriers to Longer Tenancies in the Private Rental Sector</w:t>
      </w:r>
      <w:r>
        <w:t>, July 2018, para. 6.</w:t>
      </w:r>
    </w:p>
  </w:footnote>
  <w:footnote w:id="40">
    <w:p w14:paraId="3B947830" w14:textId="77777777" w:rsidR="00B16CA4" w:rsidRDefault="00B16CA4" w:rsidP="00AE6F90">
      <w:pPr>
        <w:pStyle w:val="FootnoteText"/>
      </w:pPr>
      <w:r>
        <w:rPr>
          <w:rStyle w:val="FootnoteReference"/>
        </w:rPr>
        <w:footnoteRef/>
      </w:r>
      <w:r>
        <w:t xml:space="preserve"> Housing Act 1988 s.21.</w:t>
      </w:r>
    </w:p>
  </w:footnote>
  <w:footnote w:id="41">
    <w:p w14:paraId="49D38C0C" w14:textId="77777777" w:rsidR="00B16CA4" w:rsidRPr="00CD7CEE" w:rsidRDefault="00B16CA4" w:rsidP="00AE6F90">
      <w:pPr>
        <w:pStyle w:val="FootnoteText"/>
      </w:pPr>
      <w:r>
        <w:rPr>
          <w:rStyle w:val="FootnoteReference"/>
        </w:rPr>
        <w:footnoteRef/>
      </w:r>
      <w:r>
        <w:t xml:space="preserve"> </w:t>
      </w:r>
      <w:r w:rsidRPr="00CD7CEE">
        <w:rPr>
          <w:rStyle w:val="st1"/>
        </w:rPr>
        <w:t>The Private Housing (Tenancies) (</w:t>
      </w:r>
      <w:r w:rsidRPr="00CD7CEE">
        <w:rPr>
          <w:rStyle w:val="Emphasis"/>
          <w:b w:val="0"/>
        </w:rPr>
        <w:t>Scotland</w:t>
      </w:r>
      <w:r w:rsidRPr="00CD7CEE">
        <w:rPr>
          <w:rStyle w:val="st1"/>
        </w:rPr>
        <w:t>) Act 2016.</w:t>
      </w:r>
    </w:p>
  </w:footnote>
  <w:footnote w:id="42">
    <w:p w14:paraId="53B0948E" w14:textId="77777777" w:rsidR="00B16CA4" w:rsidRPr="00045828" w:rsidRDefault="00B16CA4" w:rsidP="00AE6F90">
      <w:pPr>
        <w:pStyle w:val="FootnoteText"/>
      </w:pPr>
      <w:r>
        <w:rPr>
          <w:rStyle w:val="FootnoteReference"/>
        </w:rPr>
        <w:footnoteRef/>
      </w:r>
      <w:r>
        <w:t xml:space="preserve"> J. Hoekstra, M. Haffner, H. Van Der Heijden and M. Oxley, </w:t>
      </w:r>
      <w:r w:rsidRPr="006E0BCD">
        <w:rPr>
          <w:i/>
        </w:rPr>
        <w:t>Bridging the Gap between Social and Market Rented Housing in Six European Countries?</w:t>
      </w:r>
      <w:r>
        <w:t xml:space="preserve"> (Delft, IOS Press, 2009), M. Jordan, “The British assured shorthold tenancy in a European Context: Extremity of tenancy law on the fringes of Europe”</w:t>
      </w:r>
      <w:r w:rsidRPr="00A862D0">
        <w:t xml:space="preserve"> in C. Schmid (ed</w:t>
      </w:r>
      <w:r>
        <w:t>.</w:t>
      </w:r>
      <w:r w:rsidRPr="00A862D0">
        <w:t>)</w:t>
      </w:r>
      <w:r w:rsidRPr="00045828">
        <w:rPr>
          <w:color w:val="000000"/>
        </w:rPr>
        <w:t xml:space="preserve"> </w:t>
      </w:r>
      <w:r w:rsidRPr="00045828">
        <w:rPr>
          <w:i/>
          <w:color w:val="000000"/>
        </w:rPr>
        <w:t>Tenancy Law and Housing Policy in Europe</w:t>
      </w:r>
      <w:r>
        <w:rPr>
          <w:i/>
          <w:color w:val="000000"/>
        </w:rPr>
        <w:t xml:space="preserve"> </w:t>
      </w:r>
      <w:r>
        <w:rPr>
          <w:color w:val="000000"/>
        </w:rPr>
        <w:t>(Elgar, 2018).</w:t>
      </w:r>
    </w:p>
  </w:footnote>
  <w:footnote w:id="43">
    <w:p w14:paraId="1E867DE2" w14:textId="0116FBC3" w:rsidR="00B16CA4" w:rsidRDefault="00B16CA4" w:rsidP="008140EF">
      <w:pPr>
        <w:pStyle w:val="FootnoteText"/>
      </w:pPr>
      <w:r>
        <w:rPr>
          <w:rStyle w:val="FootnoteReference"/>
        </w:rPr>
        <w:footnoteRef/>
      </w:r>
      <w:r>
        <w:t xml:space="preserve"> For example tenancy deposit requirements: Housing Act 2004 Chp. 4; ‘retaliatory eviction’ provisions: Deregulation Act 2015 ss 33-34; initial information requirements: Deregulation Act 2015 s.39; gas safety and energy efficiency requirements: Deregulation Act 2015 s.38.</w:t>
      </w:r>
    </w:p>
  </w:footnote>
  <w:footnote w:id="44">
    <w:p w14:paraId="289813FB" w14:textId="6267DD3B" w:rsidR="00B16CA4" w:rsidRDefault="00B16CA4" w:rsidP="008140EF">
      <w:pPr>
        <w:pStyle w:val="FootnoteText"/>
      </w:pPr>
      <w:r>
        <w:rPr>
          <w:rStyle w:val="FootnoteReference"/>
        </w:rPr>
        <w:footnoteRef/>
      </w:r>
      <w:r>
        <w:t xml:space="preserve"> Law Commission, </w:t>
      </w:r>
      <w:r w:rsidRPr="00CF08CB">
        <w:rPr>
          <w:i/>
        </w:rPr>
        <w:t>Reform of Housing Law: A Scoping Paper</w:t>
      </w:r>
      <w:r>
        <w:t xml:space="preserve"> (March 2001), paras 7-9.</w:t>
      </w:r>
    </w:p>
  </w:footnote>
  <w:footnote w:id="45">
    <w:p w14:paraId="635B8962" w14:textId="36F65F75" w:rsidR="00B16CA4" w:rsidRDefault="00B16CA4">
      <w:pPr>
        <w:pStyle w:val="FootnoteText"/>
      </w:pPr>
      <w:r>
        <w:rPr>
          <w:rStyle w:val="FootnoteReference"/>
        </w:rPr>
        <w:footnoteRef/>
      </w:r>
      <w:r>
        <w:t xml:space="preserve"> J. Rugg and D. Rhodes, </w:t>
      </w:r>
      <w:r>
        <w:rPr>
          <w:i/>
        </w:rPr>
        <w:t>The Evolving Private Rented Sector: Its Contribution and Potential</w:t>
      </w:r>
      <w:r>
        <w:t xml:space="preserve"> (University of York, Centre for Housing Policy, 2018), p.106.</w:t>
      </w:r>
    </w:p>
  </w:footnote>
  <w:footnote w:id="46">
    <w:p w14:paraId="4A40D278" w14:textId="77777777" w:rsidR="00B16CA4" w:rsidRDefault="00B16CA4" w:rsidP="0061473F">
      <w:pPr>
        <w:pStyle w:val="FootnoteText"/>
      </w:pPr>
      <w:r>
        <w:rPr>
          <w:rStyle w:val="FootnoteReference"/>
        </w:rPr>
        <w:footnoteRef/>
      </w:r>
      <w:r>
        <w:t xml:space="preserve"> </w:t>
      </w:r>
      <w:r w:rsidRPr="008E52B3">
        <w:t>Housing, Communities and Local Government Committee, Private rented sector Fourth Report of Session 2017–19 HC 440 (19 April 2018)</w:t>
      </w:r>
      <w:r>
        <w:t>, para 25.</w:t>
      </w:r>
    </w:p>
  </w:footnote>
  <w:footnote w:id="47">
    <w:p w14:paraId="6D434598" w14:textId="7A127251" w:rsidR="00B16CA4" w:rsidRPr="007E4718" w:rsidRDefault="00B16CA4" w:rsidP="00045111">
      <w:pPr>
        <w:pStyle w:val="FootnoteText"/>
      </w:pPr>
      <w:r>
        <w:rPr>
          <w:rStyle w:val="FootnoteReference"/>
        </w:rPr>
        <w:footnoteRef/>
      </w:r>
      <w:r>
        <w:t xml:space="preserve"> Consumer Rights Act 2015 s.64; </w:t>
      </w:r>
      <w:r w:rsidRPr="00045111">
        <w:rPr>
          <w:i/>
        </w:rPr>
        <w:t xml:space="preserve">Office of Fair Trading v Abbey National plc </w:t>
      </w:r>
      <w:r>
        <w:t xml:space="preserve">[2009] EWCA Civ 116; </w:t>
      </w:r>
      <w:r w:rsidRPr="007E4718">
        <w:rPr>
          <w:rStyle w:val="st1"/>
        </w:rPr>
        <w:t>[20</w:t>
      </w:r>
      <w:r>
        <w:rPr>
          <w:rStyle w:val="st1"/>
        </w:rPr>
        <w:t>1</w:t>
      </w:r>
      <w:r w:rsidRPr="007E4718">
        <w:rPr>
          <w:rStyle w:val="st1"/>
        </w:rPr>
        <w:t xml:space="preserve">0] </w:t>
      </w:r>
      <w:r>
        <w:rPr>
          <w:rStyle w:val="st1"/>
        </w:rPr>
        <w:t>1 A.C. 696</w:t>
      </w:r>
      <w:r w:rsidRPr="007E4718">
        <w:t>.</w:t>
      </w:r>
    </w:p>
  </w:footnote>
  <w:footnote w:id="48">
    <w:p w14:paraId="466D570A" w14:textId="77777777" w:rsidR="00B16CA4" w:rsidRDefault="00B16CA4" w:rsidP="001F214B">
      <w:pPr>
        <w:pStyle w:val="FootnoteText"/>
      </w:pPr>
      <w:r>
        <w:rPr>
          <w:rStyle w:val="FootnoteReference"/>
        </w:rPr>
        <w:footnoteRef/>
      </w:r>
      <w:r>
        <w:t xml:space="preserve"> </w:t>
      </w:r>
      <w:r>
        <w:rPr>
          <w:spacing w:val="-3"/>
        </w:rPr>
        <w:t>DCLG</w:t>
      </w:r>
      <w:r w:rsidRPr="0094396D">
        <w:rPr>
          <w:spacing w:val="-3"/>
        </w:rPr>
        <w:t xml:space="preserve">, </w:t>
      </w:r>
      <w:r w:rsidRPr="0094396D">
        <w:rPr>
          <w:i/>
          <w:spacing w:val="-3"/>
        </w:rPr>
        <w:t>English Housing Survey Headline Report 2014-15</w:t>
      </w:r>
      <w:r w:rsidRPr="0094396D">
        <w:rPr>
          <w:spacing w:val="-3"/>
        </w:rPr>
        <w:t xml:space="preserve"> (2016)</w:t>
      </w:r>
      <w:r>
        <w:rPr>
          <w:spacing w:val="-3"/>
        </w:rPr>
        <w:t xml:space="preserve"> para. 1.22.</w:t>
      </w:r>
      <w:r>
        <w:t xml:space="preserve">; P. Girling, “The rise of retired renters is the housing markets new story” </w:t>
      </w:r>
      <w:r>
        <w:rPr>
          <w:i/>
        </w:rPr>
        <w:t xml:space="preserve">The Guardian </w:t>
      </w:r>
      <w:r w:rsidRPr="004D0AE3">
        <w:rPr>
          <w:spacing w:val="-3"/>
        </w:rPr>
        <w:t>https://www.theguardian.com/housing-network/2013/aug/20/rise-retired-renters-property-ladder</w:t>
      </w:r>
      <w:r>
        <w:rPr>
          <w:spacing w:val="-3"/>
        </w:rPr>
        <w:t xml:space="preserve"> (accessed 20/12/17). </w:t>
      </w:r>
    </w:p>
  </w:footnote>
  <w:footnote w:id="49">
    <w:p w14:paraId="6BB0FDFC" w14:textId="77777777" w:rsidR="00B16CA4" w:rsidRPr="004214B2" w:rsidRDefault="00B16CA4" w:rsidP="001F214B">
      <w:pPr>
        <w:pStyle w:val="FootnoteText"/>
        <w:spacing w:line="276" w:lineRule="auto"/>
      </w:pPr>
      <w:r w:rsidRPr="004214B2">
        <w:rPr>
          <w:rStyle w:val="FootnoteReference"/>
        </w:rPr>
        <w:footnoteRef/>
      </w:r>
      <w:r w:rsidRPr="004214B2">
        <w:t xml:space="preserve"> C. Whitehead and P. Williams, </w:t>
      </w:r>
      <w:r>
        <w:t>“</w:t>
      </w:r>
      <w:r w:rsidRPr="004214B2">
        <w:t>Causes and consequences? Exploring the shape and direction of the housing system in the UK post the financial crisis</w:t>
      </w:r>
      <w:r>
        <w:t>”</w:t>
      </w:r>
      <w:r w:rsidRPr="004214B2">
        <w:t xml:space="preserve"> (2011) 26 </w:t>
      </w:r>
      <w:r w:rsidRPr="004214B2">
        <w:rPr>
          <w:i/>
        </w:rPr>
        <w:t>Housing Studies</w:t>
      </w:r>
      <w:r w:rsidRPr="004214B2">
        <w:t xml:space="preserve"> 1157.</w:t>
      </w:r>
    </w:p>
  </w:footnote>
  <w:footnote w:id="50">
    <w:p w14:paraId="000CA735" w14:textId="77777777" w:rsidR="00B16CA4" w:rsidRPr="004214B2" w:rsidRDefault="00B16CA4" w:rsidP="001F214B">
      <w:pPr>
        <w:pStyle w:val="FootnoteText"/>
        <w:spacing w:line="276" w:lineRule="auto"/>
      </w:pPr>
      <w:r w:rsidRPr="004214B2">
        <w:rPr>
          <w:rStyle w:val="FootnoteReference"/>
        </w:rPr>
        <w:footnoteRef/>
      </w:r>
      <w:r w:rsidRPr="004214B2">
        <w:t xml:space="preserve"> P. Kemp, </w:t>
      </w:r>
      <w:r>
        <w:t>“</w:t>
      </w:r>
      <w:r w:rsidRPr="004214B2">
        <w:t>Private Renting After the Global Financial Crisis</w:t>
      </w:r>
      <w:r>
        <w:t>”</w:t>
      </w:r>
      <w:r w:rsidRPr="004214B2">
        <w:t xml:space="preserve"> (2015) 30 </w:t>
      </w:r>
      <w:r w:rsidRPr="004214B2">
        <w:rPr>
          <w:i/>
        </w:rPr>
        <w:t>Housing Studies</w:t>
      </w:r>
      <w:r w:rsidRPr="004214B2">
        <w:t xml:space="preserve"> 601.</w:t>
      </w:r>
    </w:p>
  </w:footnote>
  <w:footnote w:id="51">
    <w:p w14:paraId="00775D12" w14:textId="77777777" w:rsidR="00B16CA4" w:rsidRPr="004214B2" w:rsidRDefault="00B16CA4" w:rsidP="001F214B">
      <w:pPr>
        <w:pStyle w:val="FootnoteText"/>
      </w:pPr>
      <w:r w:rsidRPr="004214B2">
        <w:rPr>
          <w:rStyle w:val="FootnoteReference"/>
        </w:rPr>
        <w:footnoteRef/>
      </w:r>
      <w:r w:rsidRPr="004214B2">
        <w:t xml:space="preserve"> </w:t>
      </w:r>
      <w:r>
        <w:t>Ibid</w:t>
      </w:r>
      <w:r w:rsidRPr="004214B2">
        <w:t>.</w:t>
      </w:r>
    </w:p>
  </w:footnote>
  <w:footnote w:id="52">
    <w:p w14:paraId="7E3A3395" w14:textId="77777777" w:rsidR="00B16CA4" w:rsidRPr="004214B2" w:rsidRDefault="00B16CA4" w:rsidP="001F214B">
      <w:pPr>
        <w:pStyle w:val="FootnoteText"/>
        <w:spacing w:line="276" w:lineRule="auto"/>
      </w:pPr>
      <w:r w:rsidRPr="004214B2">
        <w:rPr>
          <w:rStyle w:val="FootnoteReference"/>
        </w:rPr>
        <w:footnoteRef/>
      </w:r>
      <w:r w:rsidRPr="004214B2">
        <w:t xml:space="preserve"> P. Kemp, </w:t>
      </w:r>
      <w:r>
        <w:t>“</w:t>
      </w:r>
      <w:r w:rsidRPr="004214B2">
        <w:t>Low income Tenants in the Private Rental Housing Market</w:t>
      </w:r>
      <w:r>
        <w:t>”</w:t>
      </w:r>
      <w:r w:rsidRPr="004214B2">
        <w:t xml:space="preserve"> (2011) 26 </w:t>
      </w:r>
      <w:r w:rsidRPr="004214B2">
        <w:rPr>
          <w:i/>
        </w:rPr>
        <w:t>Housing Studies</w:t>
      </w:r>
      <w:r>
        <w:t xml:space="preserve"> </w:t>
      </w:r>
      <w:r w:rsidRPr="004214B2">
        <w:t>1019, 1020-1021.</w:t>
      </w:r>
    </w:p>
  </w:footnote>
  <w:footnote w:id="53">
    <w:p w14:paraId="19D9E3E5" w14:textId="77777777" w:rsidR="00B16CA4" w:rsidRPr="004214B2" w:rsidRDefault="00B16CA4" w:rsidP="001F214B">
      <w:pPr>
        <w:pStyle w:val="FootnoteText"/>
        <w:spacing w:line="276" w:lineRule="auto"/>
      </w:pPr>
      <w:r w:rsidRPr="004214B2">
        <w:rPr>
          <w:rStyle w:val="FootnoteReference"/>
        </w:rPr>
        <w:footnoteRef/>
      </w:r>
      <w:r w:rsidRPr="004214B2">
        <w:t xml:space="preserve"> P. Kemp, </w:t>
      </w:r>
      <w:r>
        <w:t>“</w:t>
      </w:r>
      <w:r w:rsidRPr="004214B2">
        <w:t>Private Renting After the Global Financial Crisis</w:t>
      </w:r>
      <w:r>
        <w:t>”</w:t>
      </w:r>
      <w:r w:rsidRPr="004214B2">
        <w:t xml:space="preserve"> (2015) 30 </w:t>
      </w:r>
      <w:r w:rsidRPr="004214B2">
        <w:rPr>
          <w:i/>
        </w:rPr>
        <w:t>Housing Studies</w:t>
      </w:r>
      <w:r w:rsidRPr="004214B2">
        <w:t xml:space="preserve"> 601, 615.</w:t>
      </w:r>
    </w:p>
  </w:footnote>
  <w:footnote w:id="54">
    <w:p w14:paraId="57088110" w14:textId="77777777" w:rsidR="00B16CA4" w:rsidRPr="0004348C" w:rsidRDefault="00B16CA4" w:rsidP="001F214B">
      <w:pPr>
        <w:pStyle w:val="FootnoteText"/>
      </w:pPr>
      <w:r>
        <w:rPr>
          <w:rStyle w:val="FootnoteReference"/>
        </w:rPr>
        <w:footnoteRef/>
      </w:r>
      <w:r>
        <w:t xml:space="preserve"> </w:t>
      </w:r>
      <w:r w:rsidRPr="00230599">
        <w:t xml:space="preserve">National Audit Office, </w:t>
      </w:r>
      <w:r w:rsidRPr="00A858B8">
        <w:rPr>
          <w:i/>
        </w:rPr>
        <w:t>Homelessness</w:t>
      </w:r>
      <w:r w:rsidRPr="00230599">
        <w:t xml:space="preserve"> (HC 308 Session 2017-19, 13 September 2017)</w:t>
      </w:r>
      <w:r>
        <w:t>.</w:t>
      </w:r>
    </w:p>
  </w:footnote>
  <w:footnote w:id="55">
    <w:p w14:paraId="62FE3BB2" w14:textId="77777777" w:rsidR="00B16CA4" w:rsidRDefault="00B16CA4" w:rsidP="001F214B">
      <w:pPr>
        <w:pStyle w:val="FootnoteText"/>
      </w:pPr>
      <w:r>
        <w:rPr>
          <w:rStyle w:val="FootnoteReference"/>
        </w:rPr>
        <w:footnoteRef/>
      </w:r>
      <w:r>
        <w:t xml:space="preserve"> </w:t>
      </w:r>
      <w:r w:rsidRPr="005A07CC">
        <w:rPr>
          <w:i/>
        </w:rPr>
        <w:t>McDonald</w:t>
      </w:r>
      <w:r>
        <w:t xml:space="preserve"> at [2].</w:t>
      </w:r>
    </w:p>
  </w:footnote>
  <w:footnote w:id="56">
    <w:p w14:paraId="4E450E27" w14:textId="77777777" w:rsidR="00B16CA4" w:rsidRDefault="00B16CA4" w:rsidP="001F214B">
      <w:pPr>
        <w:pStyle w:val="FootnoteText"/>
      </w:pPr>
      <w:r>
        <w:rPr>
          <w:rStyle w:val="FootnoteReference"/>
        </w:rPr>
        <w:footnoteRef/>
      </w:r>
      <w:r>
        <w:t xml:space="preserve"> Housing Act 1996 s.193(7AA) and (7AC)(c).</w:t>
      </w:r>
    </w:p>
  </w:footnote>
  <w:footnote w:id="57">
    <w:p w14:paraId="4A3CDCFD" w14:textId="77777777" w:rsidR="00B16CA4" w:rsidRDefault="00B16CA4" w:rsidP="001F214B">
      <w:pPr>
        <w:pStyle w:val="FootnoteText"/>
      </w:pPr>
      <w:r>
        <w:rPr>
          <w:rStyle w:val="FootnoteReference"/>
        </w:rPr>
        <w:footnoteRef/>
      </w:r>
      <w:r>
        <w:t xml:space="preserve"> DCLG, Live tables on homelessness, Table 774 </w:t>
      </w:r>
      <w:hyperlink r:id="rId2" w:anchor="statutory-homelessness-and-prevention-and-relief-live-tables" w:history="1">
        <w:r w:rsidRPr="00891428">
          <w:rPr>
            <w:rStyle w:val="Hyperlink"/>
          </w:rPr>
          <w:t>https://www.gov.uk/government/statistical-data-sets/live-tables-on-homelessness#statutory-homelessness-and-prevention-and-relief-live-tables</w:t>
        </w:r>
      </w:hyperlink>
      <w:r>
        <w:t xml:space="preserve"> [accessed 3/1/18].</w:t>
      </w:r>
    </w:p>
  </w:footnote>
  <w:footnote w:id="58">
    <w:p w14:paraId="17100643" w14:textId="11EA0BCC" w:rsidR="00B16CA4" w:rsidRPr="00A32258" w:rsidRDefault="00B16CA4">
      <w:pPr>
        <w:pStyle w:val="FootnoteText"/>
      </w:pPr>
      <w:r>
        <w:rPr>
          <w:rStyle w:val="FootnoteReference"/>
        </w:rPr>
        <w:footnoteRef/>
      </w:r>
      <w:r>
        <w:t xml:space="preserve"> Shelter and National Housing Federation, </w:t>
      </w:r>
      <w:r>
        <w:rPr>
          <w:i/>
        </w:rPr>
        <w:t xml:space="preserve">Stop DSS Discrimination </w:t>
      </w:r>
      <w:r>
        <w:t>(2018).</w:t>
      </w:r>
    </w:p>
  </w:footnote>
  <w:footnote w:id="59">
    <w:p w14:paraId="1BF6A231" w14:textId="77777777" w:rsidR="00B16CA4" w:rsidRPr="002305D0" w:rsidRDefault="00B16CA4" w:rsidP="001F214B">
      <w:pPr>
        <w:pStyle w:val="FootnoteText"/>
      </w:pPr>
      <w:r>
        <w:rPr>
          <w:rStyle w:val="FootnoteReference"/>
        </w:rPr>
        <w:footnoteRef/>
      </w:r>
      <w:r>
        <w:t xml:space="preserve"> R. Coulter, “Social Disparities in Private Renting Amongst Young Families in England and Wales, 2001-2011” (2017) 34 </w:t>
      </w:r>
      <w:r>
        <w:rPr>
          <w:i/>
        </w:rPr>
        <w:t>Housing, Theory and Society</w:t>
      </w:r>
      <w:r>
        <w:t xml:space="preserve"> 297.</w:t>
      </w:r>
    </w:p>
  </w:footnote>
  <w:footnote w:id="60">
    <w:p w14:paraId="5FB8E1D4" w14:textId="77777777" w:rsidR="00B16CA4" w:rsidRDefault="00B16CA4" w:rsidP="001F214B">
      <w:pPr>
        <w:pStyle w:val="FootnoteText"/>
      </w:pPr>
      <w:r>
        <w:rPr>
          <w:rStyle w:val="FootnoteReference"/>
        </w:rPr>
        <w:footnoteRef/>
      </w:r>
      <w:r>
        <w:t xml:space="preserve"> J. Morgan, “The casualization of housing” (1996) </w:t>
      </w:r>
      <w:r w:rsidRPr="00D40880">
        <w:t>J. Soc. Wel. &amp; Fam. L. 18(4), 445</w:t>
      </w:r>
      <w:r>
        <w:t>.</w:t>
      </w:r>
    </w:p>
  </w:footnote>
  <w:footnote w:id="61">
    <w:p w14:paraId="52BC6C6A" w14:textId="77777777" w:rsidR="00B16CA4" w:rsidRDefault="00B16CA4" w:rsidP="001F214B">
      <w:pPr>
        <w:pStyle w:val="FootnoteText"/>
      </w:pPr>
      <w:r>
        <w:rPr>
          <w:rStyle w:val="FootnoteReference"/>
        </w:rPr>
        <w:footnoteRef/>
      </w:r>
      <w:r>
        <w:t xml:space="preserve"> Between 2008-09 and 2014-15 the proportion of private renters receiving housing benefit increased from 19 to 27 per cent: DCLG, </w:t>
      </w:r>
      <w:r>
        <w:rPr>
          <w:i/>
        </w:rPr>
        <w:t>English Housing Survey Headline Report 2015-16</w:t>
      </w:r>
      <w:r>
        <w:t>, para. 1.51.</w:t>
      </w:r>
    </w:p>
  </w:footnote>
  <w:footnote w:id="62">
    <w:p w14:paraId="2197F5A7" w14:textId="77777777" w:rsidR="00B16CA4" w:rsidRDefault="00B16CA4" w:rsidP="001F214B">
      <w:pPr>
        <w:pStyle w:val="FootnoteText"/>
        <w:contextualSpacing/>
      </w:pPr>
      <w:r>
        <w:rPr>
          <w:rStyle w:val="FootnoteReference"/>
        </w:rPr>
        <w:footnoteRef/>
      </w:r>
      <w:r>
        <w:t xml:space="preserve"> See Summer 2015 and Autumn 2016 budgets, the effects of which  are controversial see for example </w:t>
      </w:r>
      <w:hyperlink r:id="rId3" w:history="1">
        <w:r w:rsidRPr="000E26B0">
          <w:rPr>
            <w:rStyle w:val="Hyperlink"/>
          </w:rPr>
          <w:t>http://www.independent.co.uk/money/renters-braced-for-25-cost-hikes-amid-tax-changes-a7667566.html</w:t>
        </w:r>
      </w:hyperlink>
      <w:r>
        <w:t xml:space="preserve"> [accessed 13/1/18].</w:t>
      </w:r>
    </w:p>
  </w:footnote>
  <w:footnote w:id="63">
    <w:p w14:paraId="7A828FF5" w14:textId="3C941670" w:rsidR="00B16CA4" w:rsidRDefault="00B16CA4">
      <w:pPr>
        <w:pStyle w:val="FootnoteText"/>
      </w:pPr>
      <w:r>
        <w:rPr>
          <w:rStyle w:val="FootnoteReference"/>
        </w:rPr>
        <w:footnoteRef/>
      </w:r>
      <w:r>
        <w:t xml:space="preserve"> </w:t>
      </w:r>
      <w:r w:rsidRPr="00876836">
        <w:t xml:space="preserve">R. Coulter, </w:t>
      </w:r>
      <w:r>
        <w:t>“</w:t>
      </w:r>
      <w:r w:rsidRPr="00876836">
        <w:t>Social Disparities in Private Renting Amongst Young Families in England and Wales, 2001-2011</w:t>
      </w:r>
      <w:r>
        <w:t>”</w:t>
      </w:r>
      <w:r w:rsidRPr="00876836">
        <w:t xml:space="preserve"> (2017) 34 </w:t>
      </w:r>
      <w:r w:rsidRPr="00B443D1">
        <w:rPr>
          <w:i/>
        </w:rPr>
        <w:t>Housing, Theory and Society</w:t>
      </w:r>
      <w:r w:rsidRPr="00876836">
        <w:t xml:space="preserve"> 297</w:t>
      </w:r>
      <w:r>
        <w:t>, 300.</w:t>
      </w:r>
    </w:p>
  </w:footnote>
  <w:footnote w:id="64">
    <w:p w14:paraId="3C4522FD" w14:textId="1D3B0B65" w:rsidR="00B16CA4" w:rsidRPr="00A416C2" w:rsidRDefault="00B16CA4" w:rsidP="002D0BBC">
      <w:pPr>
        <w:pStyle w:val="FootnoteText"/>
      </w:pPr>
      <w:r>
        <w:rPr>
          <w:rStyle w:val="FootnoteReference"/>
        </w:rPr>
        <w:footnoteRef/>
      </w:r>
      <w:r>
        <w:t xml:space="preserve"> </w:t>
      </w:r>
      <w:bookmarkStart w:id="8" w:name="_Hlk506899429"/>
      <w:r>
        <w:t xml:space="preserve">A. Grear, “Theorising the Rainbow? The Puzzle of the Public-Private Divide” (2003) 9 </w:t>
      </w:r>
      <w:r>
        <w:rPr>
          <w:i/>
        </w:rPr>
        <w:t>Res Publica</w:t>
      </w:r>
      <w:r>
        <w:t xml:space="preserve"> 169</w:t>
      </w:r>
      <w:bookmarkEnd w:id="8"/>
      <w:r>
        <w:t>, 170.</w:t>
      </w:r>
    </w:p>
  </w:footnote>
  <w:footnote w:id="65">
    <w:p w14:paraId="435C0C11" w14:textId="2E61086A" w:rsidR="00B16CA4" w:rsidRDefault="00B16CA4" w:rsidP="009448FC">
      <w:pPr>
        <w:pStyle w:val="FootnoteText"/>
      </w:pPr>
      <w:r>
        <w:rPr>
          <w:rStyle w:val="FootnoteReference"/>
        </w:rPr>
        <w:footnoteRef/>
      </w:r>
      <w:r>
        <w:t xml:space="preserve"> C. Harlow, ‘“Public” and “Private” Law:  Definition without distinction” (1980) 43 M.L.R. 241, 247.</w:t>
      </w:r>
    </w:p>
  </w:footnote>
  <w:footnote w:id="66">
    <w:p w14:paraId="3D47BEF1" w14:textId="5CAEA04E" w:rsidR="00B16CA4" w:rsidRDefault="00B16CA4" w:rsidP="009448FC">
      <w:pPr>
        <w:pStyle w:val="FootnoteText"/>
      </w:pPr>
      <w:r>
        <w:rPr>
          <w:rStyle w:val="FootnoteReference"/>
        </w:rPr>
        <w:footnoteRef/>
      </w:r>
      <w:r>
        <w:t xml:space="preserve"> Ibid.  at 242.</w:t>
      </w:r>
    </w:p>
  </w:footnote>
  <w:footnote w:id="67">
    <w:p w14:paraId="04750A6E" w14:textId="31AD2A69" w:rsidR="00B16CA4" w:rsidRDefault="00B16CA4" w:rsidP="00B26F37">
      <w:pPr>
        <w:pStyle w:val="FootnoteText"/>
      </w:pPr>
      <w:r>
        <w:rPr>
          <w:rStyle w:val="FootnoteReference"/>
        </w:rPr>
        <w:footnoteRef/>
      </w:r>
      <w:r>
        <w:t xml:space="preserve"> </w:t>
      </w:r>
      <w:r w:rsidRPr="00EB1D0F">
        <w:rPr>
          <w:i/>
        </w:rPr>
        <w:t>R</w:t>
      </w:r>
      <w:r>
        <w:rPr>
          <w:i/>
        </w:rPr>
        <w:t>.</w:t>
      </w:r>
      <w:r w:rsidRPr="00EB1D0F">
        <w:rPr>
          <w:i/>
        </w:rPr>
        <w:t xml:space="preserve"> v Panel on Takeovers and Mergers Ex p Datafin Plc</w:t>
      </w:r>
      <w:r>
        <w:t xml:space="preserve"> [1987] Q.B. 815.</w:t>
      </w:r>
    </w:p>
  </w:footnote>
  <w:footnote w:id="68">
    <w:p w14:paraId="191DE080" w14:textId="6FEF6899" w:rsidR="00B16CA4" w:rsidRDefault="00B16CA4" w:rsidP="009448FC">
      <w:pPr>
        <w:pStyle w:val="FootnoteText"/>
      </w:pPr>
      <w:r>
        <w:rPr>
          <w:rStyle w:val="FootnoteReference"/>
        </w:rPr>
        <w:footnoteRef/>
      </w:r>
      <w:r>
        <w:t xml:space="preserve"> For example D. Oliver, “Functions of a public nature under the Human Rights Act” (2004) P.L. 329.</w:t>
      </w:r>
    </w:p>
  </w:footnote>
  <w:footnote w:id="69">
    <w:p w14:paraId="2A3A4D5E" w14:textId="20ECB697" w:rsidR="00B16CA4" w:rsidRPr="00AE357A" w:rsidRDefault="00B16CA4" w:rsidP="00A8725F">
      <w:pPr>
        <w:pStyle w:val="FootnoteText"/>
      </w:pPr>
      <w:r>
        <w:rPr>
          <w:rStyle w:val="FootnoteReference"/>
        </w:rPr>
        <w:footnoteRef/>
      </w:r>
      <w:r>
        <w:t xml:space="preserve"> </w:t>
      </w:r>
      <w:r w:rsidRPr="00E95AF0">
        <w:rPr>
          <w:i/>
          <w:iCs/>
          <w:szCs w:val="24"/>
        </w:rPr>
        <w:t>Aston Cantlow v Wallbank</w:t>
      </w:r>
      <w:r>
        <w:t xml:space="preserve"> [2003] UKHL 37; [2004] 1 A.C. 546; </w:t>
      </w:r>
      <w:r w:rsidRPr="00E95AF0">
        <w:rPr>
          <w:i/>
          <w:iCs/>
          <w:szCs w:val="24"/>
        </w:rPr>
        <w:t>YL v Birmingham City Council</w:t>
      </w:r>
      <w:r>
        <w:rPr>
          <w:i/>
          <w:iCs/>
          <w:szCs w:val="24"/>
        </w:rPr>
        <w:t xml:space="preserve"> </w:t>
      </w:r>
      <w:r>
        <w:t>[2007] UKHL 27; [2008] A.C. 95;</w:t>
      </w:r>
      <w:r w:rsidRPr="00A8725F">
        <w:t xml:space="preserve"> </w:t>
      </w:r>
      <w:r w:rsidRPr="0018293A">
        <w:rPr>
          <w:i/>
        </w:rPr>
        <w:t>R. (Weaver) v London and Quadrant Housing Trust</w:t>
      </w:r>
      <w:r>
        <w:t xml:space="preserve"> [2009] EWCA Civ 587, [2010] 1 W.L.R. 363.</w:t>
      </w:r>
    </w:p>
  </w:footnote>
  <w:footnote w:id="70">
    <w:p w14:paraId="19B6D1D6" w14:textId="5CF3FF14" w:rsidR="00B16CA4" w:rsidRPr="002B1070" w:rsidRDefault="00B16CA4" w:rsidP="00204632">
      <w:pPr>
        <w:pStyle w:val="FootnoteText"/>
      </w:pPr>
      <w:r>
        <w:rPr>
          <w:rStyle w:val="FootnoteReference"/>
        </w:rPr>
        <w:footnoteRef/>
      </w:r>
      <w:r>
        <w:t xml:space="preserve"> </w:t>
      </w:r>
      <w:r w:rsidRPr="00900B52">
        <w:t xml:space="preserve">D. Oliver, </w:t>
      </w:r>
      <w:r w:rsidRPr="00B443D1">
        <w:rPr>
          <w:i/>
        </w:rPr>
        <w:t>Common Values and the Public-Private Divide</w:t>
      </w:r>
      <w:r w:rsidRPr="00900B52">
        <w:t xml:space="preserve"> (Butterworths, 1999), </w:t>
      </w:r>
      <w:r>
        <w:t>p.14.</w:t>
      </w:r>
    </w:p>
  </w:footnote>
  <w:footnote w:id="71">
    <w:p w14:paraId="159CCB8C" w14:textId="2FB43BB8" w:rsidR="00B16CA4" w:rsidRPr="00417284" w:rsidRDefault="00B16CA4" w:rsidP="00204632">
      <w:pPr>
        <w:pStyle w:val="FootnoteText"/>
      </w:pPr>
      <w:r>
        <w:rPr>
          <w:rStyle w:val="FootnoteReference"/>
        </w:rPr>
        <w:footnoteRef/>
      </w:r>
      <w:r>
        <w:t xml:space="preserve"> R. A. W. Rhodes, “The Hollowing out of the State: The changing nature of the public service in Britain” (1994) 2 </w:t>
      </w:r>
      <w:r>
        <w:rPr>
          <w:i/>
        </w:rPr>
        <w:t>The Political Quarterly</w:t>
      </w:r>
      <w:r>
        <w:t xml:space="preserve"> 138.</w:t>
      </w:r>
    </w:p>
  </w:footnote>
  <w:footnote w:id="72">
    <w:p w14:paraId="3B39744E" w14:textId="2225D9F8" w:rsidR="00B16CA4" w:rsidRDefault="00B16CA4" w:rsidP="009448FC">
      <w:pPr>
        <w:pStyle w:val="FootnoteText"/>
      </w:pPr>
      <w:r>
        <w:rPr>
          <w:rStyle w:val="FootnoteReference"/>
        </w:rPr>
        <w:footnoteRef/>
      </w:r>
      <w:r>
        <w:t xml:space="preserve"> D. Oliver, </w:t>
      </w:r>
      <w:r w:rsidRPr="0018293A">
        <w:rPr>
          <w:i/>
        </w:rPr>
        <w:t>Common Values and the Public-Private Divide</w:t>
      </w:r>
      <w:r>
        <w:t xml:space="preserve"> (Butterworths, 1999), p.248.</w:t>
      </w:r>
    </w:p>
  </w:footnote>
  <w:footnote w:id="73">
    <w:p w14:paraId="262FA1E3" w14:textId="43626868" w:rsidR="00B16CA4" w:rsidRPr="005302BD" w:rsidRDefault="00B16CA4" w:rsidP="009448FC">
      <w:pPr>
        <w:pStyle w:val="FootnoteText"/>
      </w:pPr>
      <w:r>
        <w:rPr>
          <w:rStyle w:val="FootnoteReference"/>
        </w:rPr>
        <w:footnoteRef/>
      </w:r>
      <w:r>
        <w:t xml:space="preserve"> G. Teubner, “After Privatisation: The Many Autonomies of Private Law” (1998) 51 </w:t>
      </w:r>
      <w:r>
        <w:rPr>
          <w:i/>
        </w:rPr>
        <w:t>Current Legal Problems</w:t>
      </w:r>
      <w:r>
        <w:t xml:space="preserve"> 393.</w:t>
      </w:r>
    </w:p>
  </w:footnote>
  <w:footnote w:id="74">
    <w:p w14:paraId="0C625B3B" w14:textId="1451768B" w:rsidR="00B16CA4" w:rsidRDefault="00B16CA4" w:rsidP="009448FC">
      <w:pPr>
        <w:pStyle w:val="FootnoteText"/>
      </w:pPr>
      <w:r>
        <w:rPr>
          <w:rStyle w:val="FootnoteReference"/>
        </w:rPr>
        <w:footnoteRef/>
      </w:r>
      <w:r>
        <w:t xml:space="preserve"> </w:t>
      </w:r>
      <w:r w:rsidRPr="0018293A">
        <w:t xml:space="preserve">A. Grear, “Theorising the Rainbow? The Puzzle of the Public-Private Divide” (2003) 9 </w:t>
      </w:r>
      <w:r w:rsidRPr="00A27F46">
        <w:rPr>
          <w:i/>
        </w:rPr>
        <w:t>Res Publica</w:t>
      </w:r>
      <w:r w:rsidRPr="0018293A">
        <w:t xml:space="preserve"> 169</w:t>
      </w:r>
      <w:r>
        <w:t xml:space="preserve">, 170.  See also G. Jurgens and F. Van Ommeren, “The public-private divide in English and Dutch law: a multifunctional and context-dependant divide” (2012) </w:t>
      </w:r>
      <w:r w:rsidRPr="00B3226F">
        <w:t>C</w:t>
      </w:r>
      <w:r>
        <w:t>.</w:t>
      </w:r>
      <w:r w:rsidRPr="00B3226F">
        <w:t>L</w:t>
      </w:r>
      <w:r>
        <w:t>.</w:t>
      </w:r>
      <w:r w:rsidRPr="00B3226F">
        <w:t>J</w:t>
      </w:r>
      <w:r>
        <w:t>. 172.</w:t>
      </w:r>
    </w:p>
  </w:footnote>
  <w:footnote w:id="75">
    <w:p w14:paraId="3452B123" w14:textId="5B8C8C85" w:rsidR="00B16CA4" w:rsidRDefault="00B16CA4" w:rsidP="009448FC">
      <w:pPr>
        <w:pStyle w:val="FootnoteText"/>
      </w:pPr>
      <w:r>
        <w:rPr>
          <w:rStyle w:val="FootnoteReference"/>
        </w:rPr>
        <w:footnoteRef/>
      </w:r>
      <w:r>
        <w:t xml:space="preserve"> </w:t>
      </w:r>
      <w:r w:rsidRPr="000E5526">
        <w:t xml:space="preserve">H. Shamir, “The Public/Private Distinction Now: the challenges of privatization and of the regulatory state” (2014) 15(1) </w:t>
      </w:r>
      <w:r w:rsidRPr="00A27F46">
        <w:rPr>
          <w:i/>
        </w:rPr>
        <w:t>Theoretical Inquiries in Law</w:t>
      </w:r>
      <w:r w:rsidRPr="000E5526">
        <w:t xml:space="preserve"> 1, </w:t>
      </w:r>
      <w:r>
        <w:t>11.</w:t>
      </w:r>
    </w:p>
  </w:footnote>
  <w:footnote w:id="76">
    <w:p w14:paraId="63626939" w14:textId="55CBE478" w:rsidR="00B16CA4" w:rsidRDefault="00B16CA4" w:rsidP="009448FC">
      <w:pPr>
        <w:pStyle w:val="FootnoteText"/>
      </w:pPr>
      <w:r>
        <w:rPr>
          <w:rStyle w:val="FootnoteReference"/>
        </w:rPr>
        <w:footnoteRef/>
      </w:r>
      <w:r>
        <w:t xml:space="preserve"> </w:t>
      </w:r>
      <w:bookmarkStart w:id="9" w:name="_Hlk506900291"/>
      <w:r w:rsidRPr="0018293A">
        <w:t xml:space="preserve">A. Grear, “Theorising the Rainbow? The Puzzle of the Public-Private Divide” (2003) 9 </w:t>
      </w:r>
      <w:r w:rsidRPr="00A27F46">
        <w:rPr>
          <w:i/>
        </w:rPr>
        <w:t>Res Publica</w:t>
      </w:r>
      <w:r w:rsidRPr="0018293A">
        <w:t xml:space="preserve"> 169</w:t>
      </w:r>
      <w:bookmarkEnd w:id="9"/>
      <w:r>
        <w:t>, 171.</w:t>
      </w:r>
    </w:p>
  </w:footnote>
  <w:footnote w:id="77">
    <w:p w14:paraId="516BA3EC" w14:textId="35648640" w:rsidR="00B16CA4" w:rsidRDefault="00B16CA4">
      <w:pPr>
        <w:pStyle w:val="FootnoteText"/>
      </w:pPr>
      <w:r>
        <w:rPr>
          <w:rStyle w:val="FootnoteReference"/>
        </w:rPr>
        <w:footnoteRef/>
      </w:r>
      <w:r>
        <w:t xml:space="preserve"> </w:t>
      </w:r>
      <w:bookmarkStart w:id="10" w:name="_Hlk506900255"/>
      <w:r>
        <w:t xml:space="preserve">S. Hedley, “Courts as public authorities, private law as instrument of government” in K. Barker and D. Jensen (eds), </w:t>
      </w:r>
      <w:r>
        <w:rPr>
          <w:i/>
        </w:rPr>
        <w:t xml:space="preserve">Private Law: Key Encounters with Public Law </w:t>
      </w:r>
      <w:r>
        <w:t xml:space="preserve">(CUP, 2013), </w:t>
      </w:r>
      <w:bookmarkEnd w:id="10"/>
      <w:r>
        <w:t>p.95.</w:t>
      </w:r>
    </w:p>
  </w:footnote>
  <w:footnote w:id="78">
    <w:p w14:paraId="297C6403" w14:textId="3F4E345B" w:rsidR="00B16CA4" w:rsidRDefault="00B16CA4">
      <w:pPr>
        <w:pStyle w:val="FootnoteText"/>
      </w:pPr>
      <w:r>
        <w:rPr>
          <w:rStyle w:val="FootnoteReference"/>
        </w:rPr>
        <w:footnoteRef/>
      </w:r>
      <w:r>
        <w:t xml:space="preserve"> Ibid p.90.</w:t>
      </w:r>
    </w:p>
  </w:footnote>
  <w:footnote w:id="79">
    <w:p w14:paraId="24158150" w14:textId="5BD64342" w:rsidR="00B16CA4" w:rsidRDefault="00B16CA4">
      <w:pPr>
        <w:pStyle w:val="FootnoteText"/>
      </w:pPr>
      <w:r>
        <w:rPr>
          <w:rStyle w:val="FootnoteReference"/>
        </w:rPr>
        <w:footnoteRef/>
      </w:r>
      <w:r>
        <w:t xml:space="preserve"> </w:t>
      </w:r>
      <w:r w:rsidRPr="0018293A">
        <w:t xml:space="preserve">A. Grear, “Theorising the Rainbow? The Puzzle of the Public-Private Divide” (2003) 9 </w:t>
      </w:r>
      <w:r w:rsidRPr="00A27F46">
        <w:rPr>
          <w:i/>
        </w:rPr>
        <w:t>Res Publica</w:t>
      </w:r>
      <w:r w:rsidRPr="0018293A">
        <w:t xml:space="preserve"> 169</w:t>
      </w:r>
      <w:r>
        <w:t>, 171.</w:t>
      </w:r>
    </w:p>
  </w:footnote>
  <w:footnote w:id="80">
    <w:p w14:paraId="680E92B5" w14:textId="6EAD1A92" w:rsidR="00B16CA4" w:rsidRPr="00246795" w:rsidRDefault="00B16CA4" w:rsidP="00C16640">
      <w:pPr>
        <w:pStyle w:val="FootnoteText"/>
      </w:pPr>
      <w:r>
        <w:rPr>
          <w:rStyle w:val="FootnoteReference"/>
        </w:rPr>
        <w:footnoteRef/>
      </w:r>
      <w:r>
        <w:t xml:space="preserve"> M. Taggart, “The Province of Administrative Law Determined?” in M. Taggart (ed), </w:t>
      </w:r>
      <w:r>
        <w:rPr>
          <w:i/>
        </w:rPr>
        <w:t>The Province of Administrative Law</w:t>
      </w:r>
      <w:r>
        <w:t xml:space="preserve"> (Oxford, Hart, 1997), p.4.</w:t>
      </w:r>
    </w:p>
  </w:footnote>
  <w:footnote w:id="81">
    <w:p w14:paraId="121F0FE2" w14:textId="2D461E5B" w:rsidR="00B16CA4" w:rsidRDefault="00B16CA4" w:rsidP="00C16640">
      <w:pPr>
        <w:pStyle w:val="FootnoteText"/>
      </w:pPr>
      <w:r>
        <w:rPr>
          <w:rStyle w:val="FootnoteReference"/>
        </w:rPr>
        <w:footnoteRef/>
      </w:r>
      <w:r>
        <w:t xml:space="preserve"> </w:t>
      </w:r>
      <w:r w:rsidRPr="0018293A">
        <w:t xml:space="preserve">A. Grear, “Theorising the Rainbow? The Puzzle of the Public-Private Divide” (2003) 9 </w:t>
      </w:r>
      <w:r w:rsidRPr="00A27F46">
        <w:rPr>
          <w:i/>
        </w:rPr>
        <w:t>Res Publica</w:t>
      </w:r>
      <w:r w:rsidRPr="0018293A">
        <w:t xml:space="preserve"> 169</w:t>
      </w:r>
      <w:r>
        <w:t>, 182.</w:t>
      </w:r>
    </w:p>
  </w:footnote>
  <w:footnote w:id="82">
    <w:p w14:paraId="4CB11AAE" w14:textId="54916AA0" w:rsidR="00B16CA4" w:rsidRDefault="00B16CA4" w:rsidP="009448FC">
      <w:pPr>
        <w:pStyle w:val="FootnoteText"/>
      </w:pPr>
      <w:r>
        <w:rPr>
          <w:rStyle w:val="FootnoteReference"/>
        </w:rPr>
        <w:footnoteRef/>
      </w:r>
      <w:r>
        <w:t xml:space="preserve"> </w:t>
      </w:r>
      <w:bookmarkStart w:id="11" w:name="_Hlk506968680"/>
      <w:r>
        <w:t>H. Collins, “On the (In)compatibility of Human Rights Discourse and Private Law” LSE Working Papers 7/2012</w:t>
      </w:r>
      <w:bookmarkEnd w:id="11"/>
      <w:r>
        <w:t>, 22.</w:t>
      </w:r>
    </w:p>
  </w:footnote>
  <w:footnote w:id="83">
    <w:p w14:paraId="1EC26ED3" w14:textId="35245280" w:rsidR="00B16CA4" w:rsidRDefault="00B16CA4" w:rsidP="007A42EA">
      <w:pPr>
        <w:pStyle w:val="FootnoteText"/>
      </w:pPr>
      <w:r>
        <w:rPr>
          <w:rStyle w:val="FootnoteReference"/>
        </w:rPr>
        <w:footnoteRef/>
      </w:r>
      <w:r>
        <w:t xml:space="preserve"> </w:t>
      </w:r>
      <w:bookmarkStart w:id="12" w:name="_Hlk506901022"/>
      <w:r>
        <w:t xml:space="preserve">A. L. Young, “Mapping horizontal effect” in D. Hoffman (ed.), </w:t>
      </w:r>
      <w:r>
        <w:rPr>
          <w:i/>
        </w:rPr>
        <w:t>The Impact of the UK Human Rights Act on Private Law</w:t>
      </w:r>
      <w:r>
        <w:t xml:space="preserve"> (CUP, 2011), </w:t>
      </w:r>
      <w:bookmarkEnd w:id="12"/>
      <w:r>
        <w:t>p.17.</w:t>
      </w:r>
    </w:p>
  </w:footnote>
  <w:footnote w:id="84">
    <w:p w14:paraId="24225E4F" w14:textId="65E6E6F1" w:rsidR="00B16CA4" w:rsidRPr="005B7E49" w:rsidRDefault="00B16CA4" w:rsidP="008D54B3">
      <w:pPr>
        <w:pStyle w:val="FootnoteText"/>
      </w:pPr>
      <w:r>
        <w:rPr>
          <w:rStyle w:val="FootnoteReference"/>
        </w:rPr>
        <w:footnoteRef/>
      </w:r>
      <w:r>
        <w:t xml:space="preserve"> G. Phillipson, “Horizontal effect after </w:t>
      </w:r>
      <w:r>
        <w:rPr>
          <w:i/>
        </w:rPr>
        <w:t>Campbell</w:t>
      </w:r>
      <w:r>
        <w:t xml:space="preserve">’” in H. Fenwick, G. Phillipson and R. Masterman (eds), </w:t>
      </w:r>
      <w:r>
        <w:rPr>
          <w:i/>
        </w:rPr>
        <w:t>Judicial Reasoning under the UK Human Rights Act</w:t>
      </w:r>
      <w:r>
        <w:t xml:space="preserve"> (CUP, 2007), p.146.</w:t>
      </w:r>
    </w:p>
  </w:footnote>
  <w:footnote w:id="85">
    <w:p w14:paraId="5588C561" w14:textId="08EDB565" w:rsidR="00B16CA4" w:rsidRDefault="00B16CA4" w:rsidP="007322D5">
      <w:pPr>
        <w:pStyle w:val="FootnoteText"/>
      </w:pPr>
      <w:r>
        <w:rPr>
          <w:rStyle w:val="FootnoteReference"/>
        </w:rPr>
        <w:footnoteRef/>
      </w:r>
      <w:r>
        <w:t xml:space="preserve"> </w:t>
      </w:r>
      <w:r>
        <w:rPr>
          <w:i/>
        </w:rPr>
        <w:t xml:space="preserve">X v Y </w:t>
      </w:r>
      <w:r w:rsidRPr="00D540BC">
        <w:t>[2004] EWCA Civ 662</w:t>
      </w:r>
      <w:r>
        <w:t xml:space="preserve">; </w:t>
      </w:r>
      <w:r w:rsidRPr="00BD589B">
        <w:t>[2004] I.C.R. 1634</w:t>
      </w:r>
      <w:r>
        <w:t xml:space="preserve"> at [45].</w:t>
      </w:r>
    </w:p>
  </w:footnote>
  <w:footnote w:id="86">
    <w:p w14:paraId="74C0902A" w14:textId="58422128" w:rsidR="00B16CA4" w:rsidRDefault="00B16CA4" w:rsidP="008D54B3">
      <w:pPr>
        <w:pStyle w:val="FootnoteText"/>
      </w:pPr>
      <w:r>
        <w:rPr>
          <w:rStyle w:val="FootnoteReference"/>
        </w:rPr>
        <w:footnoteRef/>
      </w:r>
      <w:r>
        <w:t xml:space="preserve"> A. L. Young, “Mapping horizontal effect” in D. Hoffman (ed.), </w:t>
      </w:r>
      <w:r>
        <w:rPr>
          <w:i/>
        </w:rPr>
        <w:t>The Impact of the UK Human Rights Act on Private Law</w:t>
      </w:r>
      <w:r>
        <w:t xml:space="preserve"> (CUP, 2011), p.17.</w:t>
      </w:r>
    </w:p>
  </w:footnote>
  <w:footnote w:id="87">
    <w:p w14:paraId="22A22844" w14:textId="08D942A5" w:rsidR="00B16CA4" w:rsidRPr="00732A98" w:rsidRDefault="00B16CA4" w:rsidP="001D6ABF">
      <w:pPr>
        <w:pStyle w:val="FootnoteText"/>
      </w:pPr>
      <w:r>
        <w:rPr>
          <w:rStyle w:val="FootnoteReference"/>
        </w:rPr>
        <w:footnoteRef/>
      </w:r>
      <w:r>
        <w:t xml:space="preserve"> See </w:t>
      </w:r>
      <w:bookmarkStart w:id="13" w:name="_Hlk533070526"/>
      <w:r w:rsidRPr="001D6ABF">
        <w:rPr>
          <w:i/>
        </w:rPr>
        <w:t>Campbell v MGN Ltd</w:t>
      </w:r>
      <w:r>
        <w:t xml:space="preserve"> [2004] UKHL 22; [2004] 2 A.C. </w:t>
      </w:r>
      <w:bookmarkEnd w:id="13"/>
      <w:r>
        <w:t xml:space="preserve">A role acknowledged in </w:t>
      </w:r>
      <w:r w:rsidRPr="00056507">
        <w:rPr>
          <w:i/>
        </w:rPr>
        <w:t>McDonald</w:t>
      </w:r>
      <w:r>
        <w:t xml:space="preserve"> at [46].</w:t>
      </w:r>
    </w:p>
  </w:footnote>
  <w:footnote w:id="88">
    <w:p w14:paraId="41EF7DDD" w14:textId="3F16935B" w:rsidR="00B16CA4" w:rsidRDefault="00B16CA4">
      <w:pPr>
        <w:pStyle w:val="FootnoteText"/>
      </w:pPr>
      <w:r>
        <w:rPr>
          <w:rStyle w:val="FootnoteReference"/>
        </w:rPr>
        <w:footnoteRef/>
      </w:r>
      <w:r>
        <w:t xml:space="preserve"> We adopt the different definitions of horizontality provided by I. Leigh see “Horizontal Rights, the Human Rights Act and Privacy: Lessons from the Commonwealth” (1999) 48 </w:t>
      </w:r>
      <w:r w:rsidRPr="001D6ABF">
        <w:rPr>
          <w:i/>
        </w:rPr>
        <w:t>International and Comparative Law Quarterly</w:t>
      </w:r>
      <w:r>
        <w:t xml:space="preserve"> 57.  </w:t>
      </w:r>
    </w:p>
  </w:footnote>
  <w:footnote w:id="89">
    <w:p w14:paraId="1BBC53DD" w14:textId="2B0B30A2" w:rsidR="00B16CA4" w:rsidRDefault="00B16CA4" w:rsidP="006C1007">
      <w:pPr>
        <w:pStyle w:val="FootnoteText"/>
      </w:pPr>
      <w:r>
        <w:rPr>
          <w:rStyle w:val="FootnoteReference"/>
        </w:rPr>
        <w:footnoteRef/>
      </w:r>
      <w:r>
        <w:t xml:space="preserve"> Human Rights Act 1998 s.3(1).</w:t>
      </w:r>
    </w:p>
  </w:footnote>
  <w:footnote w:id="90">
    <w:p w14:paraId="22EA1131" w14:textId="2295E6A1" w:rsidR="00B16CA4" w:rsidRPr="00056507" w:rsidRDefault="00B16CA4">
      <w:pPr>
        <w:pStyle w:val="FootnoteText"/>
        <w:rPr>
          <w:i/>
        </w:rPr>
      </w:pPr>
      <w:r>
        <w:rPr>
          <w:rStyle w:val="FootnoteReference"/>
        </w:rPr>
        <w:footnoteRef/>
      </w:r>
      <w:r>
        <w:t xml:space="preserve"> See cases at Fn </w:t>
      </w:r>
      <w:r w:rsidR="00651DF4">
        <w:t>5</w:t>
      </w:r>
      <w:r>
        <w:t>.</w:t>
      </w:r>
    </w:p>
  </w:footnote>
  <w:footnote w:id="91">
    <w:p w14:paraId="7981009E" w14:textId="5FFED7FB" w:rsidR="00B16CA4" w:rsidRPr="0086441A" w:rsidRDefault="00B16CA4">
      <w:pPr>
        <w:pStyle w:val="FootnoteText"/>
      </w:pPr>
      <w:r>
        <w:rPr>
          <w:rStyle w:val="FootnoteReference"/>
        </w:rPr>
        <w:footnoteRef/>
      </w:r>
      <w:r>
        <w:t xml:space="preserve"> </w:t>
      </w:r>
      <w:r>
        <w:rPr>
          <w:i/>
        </w:rPr>
        <w:t xml:space="preserve">FJM </w:t>
      </w:r>
      <w:r>
        <w:t>at [46].</w:t>
      </w:r>
    </w:p>
  </w:footnote>
  <w:footnote w:id="92">
    <w:p w14:paraId="5258AD56" w14:textId="481AC32B" w:rsidR="00B16CA4" w:rsidRDefault="00B16CA4" w:rsidP="007A42EA">
      <w:pPr>
        <w:pStyle w:val="FootnoteText"/>
      </w:pPr>
      <w:r>
        <w:rPr>
          <w:rStyle w:val="FootnoteReference"/>
        </w:rPr>
        <w:footnoteRef/>
      </w:r>
      <w:r>
        <w:t xml:space="preserve"> </w:t>
      </w:r>
      <w:r w:rsidRPr="00A302DC">
        <w:rPr>
          <w:i/>
          <w:color w:val="000000"/>
          <w:szCs w:val="24"/>
        </w:rPr>
        <w:t>Ghaidan v Godin-Mendoza</w:t>
      </w:r>
      <w:r>
        <w:rPr>
          <w:color w:val="000000"/>
          <w:szCs w:val="24"/>
        </w:rPr>
        <w:t xml:space="preserve"> </w:t>
      </w:r>
      <w:r w:rsidRPr="001D6ABF">
        <w:rPr>
          <w:color w:val="000000"/>
          <w:szCs w:val="24"/>
        </w:rPr>
        <w:t>[2004] UKHL 30</w:t>
      </w:r>
      <w:r>
        <w:rPr>
          <w:color w:val="000000"/>
          <w:szCs w:val="24"/>
        </w:rPr>
        <w:t xml:space="preserve">; </w:t>
      </w:r>
      <w:r w:rsidRPr="00956F92">
        <w:t>[2004] 2 A.C. 557</w:t>
      </w:r>
      <w:r>
        <w:t xml:space="preserve">. More controversial is whether the court can interpret the legislation compatibly or must make a declaration of incompatibility under the HRA 1998 ss 3 or 4 – see J. van Zyl Smit, “Statute Law” in D. Hoffman (ed.), </w:t>
      </w:r>
      <w:r>
        <w:rPr>
          <w:i/>
        </w:rPr>
        <w:t>The Impact of the UK Human Rights Act on Private Law</w:t>
      </w:r>
      <w:r>
        <w:t xml:space="preserve"> (CUP, 2011), p.68 and A. Kavanagh, “Choosing between sections 3 and 4 of the Human Rights Act 1998: judicial reasoning after </w:t>
      </w:r>
      <w:r>
        <w:rPr>
          <w:i/>
        </w:rPr>
        <w:t>Ghaidan v Mendoza</w:t>
      </w:r>
      <w:r>
        <w:t xml:space="preserve">” in H. Fenwick, G. Phillipson and R. Masterman (eds), </w:t>
      </w:r>
      <w:r>
        <w:rPr>
          <w:i/>
        </w:rPr>
        <w:t>Judicial Reasoning under the UK Human Rights Act</w:t>
      </w:r>
      <w:r>
        <w:t xml:space="preserve"> (CUP, 2007), p.114.</w:t>
      </w:r>
      <w:r w:rsidRPr="000F2376">
        <w:t xml:space="preserve"> </w:t>
      </w:r>
      <w:r>
        <w:t xml:space="preserve">In obiter comments in </w:t>
      </w:r>
      <w:r>
        <w:rPr>
          <w:i/>
        </w:rPr>
        <w:t xml:space="preserve">McDonald </w:t>
      </w:r>
      <w:r>
        <w:t>at [61]-[70] the court indicated that they would have issued a declaration of incompatibility rather than tried to interpret s.21(4) compatibly.</w:t>
      </w:r>
    </w:p>
  </w:footnote>
  <w:footnote w:id="93">
    <w:p w14:paraId="0F8EA58A" w14:textId="1EAEE8CE" w:rsidR="00B16CA4" w:rsidRPr="00877BFE" w:rsidRDefault="00B16CA4">
      <w:pPr>
        <w:pStyle w:val="FootnoteText"/>
      </w:pPr>
      <w:r>
        <w:rPr>
          <w:rStyle w:val="FootnoteReference"/>
        </w:rPr>
        <w:footnoteRef/>
      </w:r>
      <w:r>
        <w:t xml:space="preserve"> </w:t>
      </w:r>
      <w:r>
        <w:rPr>
          <w:i/>
        </w:rPr>
        <w:t xml:space="preserve">FJM </w:t>
      </w:r>
      <w:r>
        <w:t>at [41]. See also [43].</w:t>
      </w:r>
    </w:p>
  </w:footnote>
  <w:footnote w:id="94">
    <w:p w14:paraId="5D7AE651" w14:textId="2F39F763" w:rsidR="00B16CA4" w:rsidRPr="003B16A8" w:rsidRDefault="00B16CA4">
      <w:pPr>
        <w:pStyle w:val="FootnoteText"/>
      </w:pPr>
      <w:r>
        <w:rPr>
          <w:rStyle w:val="FootnoteReference"/>
        </w:rPr>
        <w:footnoteRef/>
      </w:r>
      <w:r>
        <w:t xml:space="preserve"> </w:t>
      </w:r>
      <w:r w:rsidR="003B16A8">
        <w:rPr>
          <w:i/>
        </w:rPr>
        <w:t xml:space="preserve">Connors v UK </w:t>
      </w:r>
      <w:r w:rsidR="003B16A8">
        <w:t>(005) EHRR 9 at [82]-[83].</w:t>
      </w:r>
    </w:p>
  </w:footnote>
  <w:footnote w:id="95">
    <w:p w14:paraId="3C451B15" w14:textId="399F8AAD" w:rsidR="00B16CA4" w:rsidRDefault="00B16CA4" w:rsidP="00A3029E">
      <w:pPr>
        <w:pStyle w:val="FootnoteText"/>
      </w:pPr>
      <w:r>
        <w:rPr>
          <w:rStyle w:val="FootnoteReference"/>
        </w:rPr>
        <w:footnoteRef/>
      </w:r>
      <w:r>
        <w:t xml:space="preserve"> </w:t>
      </w:r>
      <w:r w:rsidRPr="008452C3">
        <w:rPr>
          <w:i/>
        </w:rPr>
        <w:t>Ivanova</w:t>
      </w:r>
      <w:r w:rsidRPr="008452C3">
        <w:t xml:space="preserve"> </w:t>
      </w:r>
      <w:r>
        <w:rPr>
          <w:i/>
          <w:color w:val="000000"/>
          <w:szCs w:val="24"/>
        </w:rPr>
        <w:t>and Cherkezov v Bulgaria</w:t>
      </w:r>
      <w:r>
        <w:rPr>
          <w:i/>
        </w:rPr>
        <w:t xml:space="preserve"> </w:t>
      </w:r>
      <w:r>
        <w:t>Application No 4677/15</w:t>
      </w:r>
      <w:r>
        <w:rPr>
          <w:i/>
        </w:rPr>
        <w:t xml:space="preserve"> </w:t>
      </w:r>
      <w:r>
        <w:t>at [53] which provides the latest statement on procedural safeguards.</w:t>
      </w:r>
    </w:p>
  </w:footnote>
  <w:footnote w:id="96">
    <w:p w14:paraId="10F7C960" w14:textId="7026440A" w:rsidR="007B038C" w:rsidRDefault="007B038C" w:rsidP="007B038C">
      <w:pPr>
        <w:pStyle w:val="FootnoteText"/>
      </w:pPr>
      <w:r>
        <w:rPr>
          <w:rStyle w:val="FootnoteReference"/>
        </w:rPr>
        <w:footnoteRef/>
      </w:r>
      <w:r>
        <w:t xml:space="preserve"> </w:t>
      </w:r>
      <w:r w:rsidRPr="00A90B6F">
        <w:t xml:space="preserve"> </w:t>
      </w:r>
      <w:r>
        <w:t xml:space="preserve">Housing Act 1988 s.5. See also Protection from Eviction Act 1977 ss 2 and 3 unless the tenant voluntarily, and in the absence of harassment, relinquishes possession. </w:t>
      </w:r>
    </w:p>
  </w:footnote>
  <w:footnote w:id="97">
    <w:p w14:paraId="56CD623E" w14:textId="43D1BFA0" w:rsidR="00B16CA4" w:rsidRDefault="00B16CA4">
      <w:pPr>
        <w:pStyle w:val="FootnoteText"/>
      </w:pPr>
      <w:r>
        <w:rPr>
          <w:rStyle w:val="FootnoteReference"/>
        </w:rPr>
        <w:footnoteRef/>
      </w:r>
      <w:r>
        <w:t xml:space="preserve"> (2013) 56 EHRR 16 at [01-1].</w:t>
      </w:r>
    </w:p>
  </w:footnote>
  <w:footnote w:id="98">
    <w:p w14:paraId="11D43396" w14:textId="7D33C73A" w:rsidR="00B16CA4" w:rsidRDefault="00B16CA4">
      <w:pPr>
        <w:pStyle w:val="FootnoteText"/>
      </w:pPr>
      <w:r>
        <w:rPr>
          <w:rStyle w:val="FootnoteReference"/>
        </w:rPr>
        <w:footnoteRef/>
      </w:r>
      <w:r>
        <w:t xml:space="preserve"> Application no. 71771/10. </w:t>
      </w:r>
    </w:p>
  </w:footnote>
  <w:footnote w:id="99">
    <w:p w14:paraId="13EE953D" w14:textId="77777777" w:rsidR="00B16CA4" w:rsidRDefault="00B16CA4" w:rsidP="00166228">
      <w:pPr>
        <w:pStyle w:val="FootnoteText"/>
      </w:pPr>
      <w:r>
        <w:rPr>
          <w:rStyle w:val="FootnoteReference"/>
        </w:rPr>
        <w:footnoteRef/>
      </w:r>
      <w:r>
        <w:t xml:space="preserve"> </w:t>
      </w:r>
      <w:r w:rsidRPr="00C50868">
        <w:t>See generally</w:t>
      </w:r>
      <w:r w:rsidRPr="00411453">
        <w:t xml:space="preserve"> </w:t>
      </w:r>
      <w:r>
        <w:t>L. Peroni and A. Timmer, “Vulnerable groups: The promise of an emerging concept in European Human Rights Convention law” (2013) 11 Int. J. of Constitutional Law 1056.</w:t>
      </w:r>
    </w:p>
  </w:footnote>
  <w:footnote w:id="100">
    <w:p w14:paraId="5BAA070F" w14:textId="068A65F6" w:rsidR="00B16CA4" w:rsidRDefault="00B16CA4">
      <w:pPr>
        <w:pStyle w:val="FootnoteText"/>
      </w:pPr>
      <w:r>
        <w:rPr>
          <w:rStyle w:val="FootnoteReference"/>
        </w:rPr>
        <w:footnoteRef/>
      </w:r>
      <w:r>
        <w:t xml:space="preserve"> [2011] 52 EHRR 22. </w:t>
      </w:r>
    </w:p>
  </w:footnote>
  <w:footnote w:id="101">
    <w:p w14:paraId="6BBA2831" w14:textId="2FAC01E6" w:rsidR="00B16CA4" w:rsidRDefault="00B16CA4">
      <w:pPr>
        <w:pStyle w:val="FootnoteText"/>
      </w:pPr>
      <w:r>
        <w:rPr>
          <w:rStyle w:val="FootnoteReference"/>
        </w:rPr>
        <w:footnoteRef/>
      </w:r>
      <w:r>
        <w:t xml:space="preserve"> </w:t>
      </w:r>
      <w:r>
        <w:rPr>
          <w:i/>
        </w:rPr>
        <w:t xml:space="preserve">Zehentner </w:t>
      </w:r>
      <w:r w:rsidRPr="007A1922">
        <w:t>at [6</w:t>
      </w:r>
      <w:r>
        <w:t>5</w:t>
      </w:r>
      <w:r w:rsidRPr="007A1922">
        <w:t>].</w:t>
      </w:r>
    </w:p>
  </w:footnote>
  <w:footnote w:id="102">
    <w:p w14:paraId="2E21FEEF" w14:textId="7F6DD92D" w:rsidR="00B16CA4" w:rsidRPr="00AB53C1" w:rsidRDefault="00B16CA4">
      <w:pPr>
        <w:pStyle w:val="FootnoteText"/>
        <w:rPr>
          <w:i/>
        </w:rPr>
      </w:pPr>
      <w:r>
        <w:rPr>
          <w:rStyle w:val="FootnoteReference"/>
        </w:rPr>
        <w:footnoteRef/>
      </w:r>
      <w:r>
        <w:t xml:space="preserve"> </w:t>
      </w:r>
      <w:r>
        <w:rPr>
          <w:i/>
        </w:rPr>
        <w:t xml:space="preserve">Zehentner </w:t>
      </w:r>
      <w:r w:rsidRPr="00AB53C1">
        <w:t>at [63].</w:t>
      </w:r>
    </w:p>
  </w:footnote>
  <w:footnote w:id="103">
    <w:p w14:paraId="225753BB" w14:textId="77777777" w:rsidR="004B0204" w:rsidRDefault="004B0204" w:rsidP="004B0204">
      <w:pPr>
        <w:pStyle w:val="FootnoteText"/>
      </w:pPr>
      <w:r>
        <w:rPr>
          <w:rStyle w:val="FootnoteReference"/>
        </w:rPr>
        <w:footnoteRef/>
      </w:r>
      <w:r>
        <w:t xml:space="preserve"> Housing Act 1980 s.89.</w:t>
      </w:r>
    </w:p>
  </w:footnote>
  <w:footnote w:id="104">
    <w:p w14:paraId="15623725" w14:textId="77777777" w:rsidR="00B16CA4" w:rsidRDefault="00B16CA4" w:rsidP="00EF1164">
      <w:pPr>
        <w:pStyle w:val="FootnoteText"/>
      </w:pPr>
      <w:r>
        <w:rPr>
          <w:rStyle w:val="FootnoteReference"/>
        </w:rPr>
        <w:footnoteRef/>
      </w:r>
      <w:r>
        <w:t xml:space="preserve"> Application no. </w:t>
      </w:r>
      <w:bookmarkStart w:id="14" w:name="_Hlk532905284"/>
      <w:r>
        <w:t>4677/15.</w:t>
      </w:r>
      <w:bookmarkEnd w:id="14"/>
      <w:r>
        <w:t xml:space="preserve"> </w:t>
      </w:r>
    </w:p>
  </w:footnote>
  <w:footnote w:id="105">
    <w:p w14:paraId="73EA3904" w14:textId="77777777" w:rsidR="00B16CA4" w:rsidRDefault="00B16CA4" w:rsidP="00EF1164">
      <w:pPr>
        <w:pStyle w:val="FootnoteText"/>
      </w:pPr>
      <w:r>
        <w:rPr>
          <w:rStyle w:val="FootnoteReference"/>
        </w:rPr>
        <w:footnoteRef/>
      </w:r>
      <w:r>
        <w:t xml:space="preserve"> </w:t>
      </w:r>
      <w:r w:rsidRPr="008452C3">
        <w:rPr>
          <w:i/>
        </w:rPr>
        <w:t>Ivanova</w:t>
      </w:r>
      <w:r w:rsidRPr="008452C3">
        <w:t xml:space="preserve"> </w:t>
      </w:r>
      <w:r>
        <w:t xml:space="preserve">at [52] referring (inter alia) to </w:t>
      </w:r>
      <w:r>
        <w:rPr>
          <w:i/>
        </w:rPr>
        <w:t xml:space="preserve">Zehentner </w:t>
      </w:r>
      <w:r>
        <w:t>and</w:t>
      </w:r>
      <w:r>
        <w:rPr>
          <w:i/>
        </w:rPr>
        <w:t xml:space="preserve"> Brezec</w:t>
      </w:r>
      <w:r>
        <w:t>.</w:t>
      </w:r>
    </w:p>
  </w:footnote>
  <w:footnote w:id="106">
    <w:p w14:paraId="7B9A3F97" w14:textId="77777777" w:rsidR="00B16CA4" w:rsidRDefault="00B16CA4" w:rsidP="00EF1164">
      <w:pPr>
        <w:pStyle w:val="FootnoteText"/>
      </w:pPr>
      <w:r>
        <w:rPr>
          <w:rStyle w:val="FootnoteReference"/>
        </w:rPr>
        <w:footnoteRef/>
      </w:r>
      <w:r>
        <w:t xml:space="preserve"> </w:t>
      </w:r>
      <w:r w:rsidRPr="008452C3">
        <w:rPr>
          <w:i/>
        </w:rPr>
        <w:t>Ivanova</w:t>
      </w:r>
      <w:r w:rsidRPr="008452C3">
        <w:t xml:space="preserve"> </w:t>
      </w:r>
      <w:r>
        <w:t>at [53]-[55].</w:t>
      </w:r>
    </w:p>
  </w:footnote>
  <w:footnote w:id="107">
    <w:p w14:paraId="7C5E7781" w14:textId="25647A6D" w:rsidR="00B16CA4" w:rsidRDefault="00B16CA4">
      <w:pPr>
        <w:pStyle w:val="FootnoteText"/>
      </w:pPr>
      <w:r>
        <w:rPr>
          <w:rStyle w:val="FootnoteReference"/>
        </w:rPr>
        <w:footnoteRef/>
      </w:r>
      <w:r>
        <w:t xml:space="preserve"> (1996) 10 E.H.R.R 149.</w:t>
      </w:r>
    </w:p>
  </w:footnote>
  <w:footnote w:id="108">
    <w:p w14:paraId="60228D2F" w14:textId="7BC4EC29" w:rsidR="00B16CA4" w:rsidRDefault="00B16CA4">
      <w:pPr>
        <w:pStyle w:val="FootnoteText"/>
      </w:pPr>
      <w:r>
        <w:rPr>
          <w:rStyle w:val="FootnoteReference"/>
        </w:rPr>
        <w:footnoteRef/>
      </w:r>
      <w:r>
        <w:t xml:space="preserve"> (1986) 10 E.H.R.R 149, 210.</w:t>
      </w:r>
    </w:p>
  </w:footnote>
  <w:footnote w:id="109">
    <w:p w14:paraId="2CC49E08" w14:textId="6F078861" w:rsidR="00B16CA4" w:rsidRDefault="00B16CA4" w:rsidP="005D3612">
      <w:pPr>
        <w:pStyle w:val="FootnoteText"/>
      </w:pPr>
      <w:r>
        <w:rPr>
          <w:rStyle w:val="FootnoteReference"/>
        </w:rPr>
        <w:footnoteRef/>
      </w:r>
      <w:r>
        <w:t xml:space="preserve"> </w:t>
      </w:r>
      <w:r w:rsidRPr="00431867">
        <w:t>Application no. 23883/06</w:t>
      </w:r>
      <w:r>
        <w:t>.</w:t>
      </w:r>
    </w:p>
  </w:footnote>
  <w:footnote w:id="110">
    <w:p w14:paraId="34357899" w14:textId="77777777" w:rsidR="00B16CA4" w:rsidRDefault="00B16CA4" w:rsidP="00A84A72">
      <w:pPr>
        <w:pStyle w:val="FootnoteText"/>
      </w:pPr>
      <w:r>
        <w:rPr>
          <w:rStyle w:val="FootnoteReference"/>
        </w:rPr>
        <w:footnoteRef/>
      </w:r>
      <w:r>
        <w:t xml:space="preserve"> The alleged violation of Article 8 was not considered given the finding of a violation of article 10.</w:t>
      </w:r>
    </w:p>
  </w:footnote>
  <w:footnote w:id="111">
    <w:p w14:paraId="0C286BF7" w14:textId="7B894302" w:rsidR="00B16CA4" w:rsidRDefault="00B16CA4">
      <w:pPr>
        <w:pStyle w:val="FootnoteText"/>
      </w:pPr>
      <w:r>
        <w:rPr>
          <w:rStyle w:val="FootnoteReference"/>
        </w:rPr>
        <w:footnoteRef/>
      </w:r>
      <w:r>
        <w:t xml:space="preserve"> In accordance with the ECtHR’s common practice once a violation of article 10 was established they did not go onto consider the alleged article 8 violation.</w:t>
      </w:r>
    </w:p>
  </w:footnote>
  <w:footnote w:id="112">
    <w:p w14:paraId="7785CA5F" w14:textId="070D1B90" w:rsidR="00B16CA4" w:rsidRDefault="00B16CA4">
      <w:pPr>
        <w:pStyle w:val="FootnoteText"/>
      </w:pPr>
      <w:r>
        <w:rPr>
          <w:rStyle w:val="FootnoteReference"/>
        </w:rPr>
        <w:footnoteRef/>
      </w:r>
      <w:r>
        <w:t xml:space="preserve"> </w:t>
      </w:r>
      <w:r w:rsidRPr="001A0D80">
        <w:t>At [34]</w:t>
      </w:r>
      <w:r w:rsidR="00200D7C" w:rsidRPr="001A0D80">
        <w:t>.</w:t>
      </w:r>
    </w:p>
  </w:footnote>
  <w:footnote w:id="113">
    <w:p w14:paraId="7E5FAE7E" w14:textId="77777777" w:rsidR="00B16CA4" w:rsidRDefault="00B16CA4" w:rsidP="00F726ED">
      <w:pPr>
        <w:pStyle w:val="FootnoteText"/>
      </w:pPr>
      <w:r>
        <w:rPr>
          <w:rStyle w:val="FootnoteReference"/>
        </w:rPr>
        <w:footnoteRef/>
      </w:r>
      <w:r>
        <w:t xml:space="preserve"> (2006) 42 E.H.R.R. 25.</w:t>
      </w:r>
    </w:p>
  </w:footnote>
  <w:footnote w:id="114">
    <w:p w14:paraId="37B618A7" w14:textId="77777777" w:rsidR="00B16CA4" w:rsidRDefault="00B16CA4" w:rsidP="00F726ED">
      <w:pPr>
        <w:pStyle w:val="FootnoteText"/>
      </w:pPr>
      <w:r>
        <w:rPr>
          <w:rStyle w:val="FootnoteReference"/>
        </w:rPr>
        <w:footnoteRef/>
      </w:r>
      <w:r>
        <w:t xml:space="preserve"> </w:t>
      </w:r>
      <w:r w:rsidRPr="00431867">
        <w:t>Application no. 23883/06</w:t>
      </w:r>
      <w:r>
        <w:t xml:space="preserve"> at [33].</w:t>
      </w:r>
    </w:p>
  </w:footnote>
  <w:footnote w:id="115">
    <w:p w14:paraId="0A728F3F" w14:textId="77777777" w:rsidR="00B16CA4" w:rsidRDefault="00B16CA4" w:rsidP="00766DF6">
      <w:pPr>
        <w:pStyle w:val="FootnoteText"/>
        <w:contextualSpacing/>
      </w:pPr>
      <w:r>
        <w:rPr>
          <w:rStyle w:val="FootnoteReference"/>
        </w:rPr>
        <w:footnoteRef/>
      </w:r>
      <w:r>
        <w:t xml:space="preserve"> Ibid at [48]-[50].</w:t>
      </w:r>
    </w:p>
  </w:footnote>
  <w:footnote w:id="116">
    <w:p w14:paraId="77211D30" w14:textId="6C9E220C" w:rsidR="00B16CA4" w:rsidRDefault="00B16CA4" w:rsidP="00AB53C1">
      <w:pPr>
        <w:pStyle w:val="s30eec3f8"/>
        <w:contextualSpacing/>
      </w:pPr>
      <w:r w:rsidRPr="005470EA">
        <w:rPr>
          <w:rStyle w:val="FootnoteReference"/>
          <w:sz w:val="20"/>
          <w:szCs w:val="20"/>
        </w:rPr>
        <w:footnoteRef/>
      </w:r>
      <w:r w:rsidRPr="005470EA">
        <w:rPr>
          <w:sz w:val="20"/>
          <w:szCs w:val="20"/>
        </w:rPr>
        <w:t xml:space="preserve"> </w:t>
      </w:r>
      <w:r w:rsidRPr="005470EA">
        <w:rPr>
          <w:i/>
          <w:sz w:val="20"/>
          <w:szCs w:val="20"/>
        </w:rPr>
        <w:t xml:space="preserve">McDonald </w:t>
      </w:r>
      <w:r w:rsidRPr="005470EA">
        <w:rPr>
          <w:sz w:val="20"/>
          <w:szCs w:val="20"/>
        </w:rPr>
        <w:t xml:space="preserve">at [40]. </w:t>
      </w:r>
    </w:p>
  </w:footnote>
  <w:footnote w:id="117">
    <w:p w14:paraId="1F5203D6" w14:textId="49CC500B" w:rsidR="00B16CA4" w:rsidRPr="00C9750A" w:rsidRDefault="00B16CA4">
      <w:pPr>
        <w:pStyle w:val="FootnoteText"/>
        <w:contextualSpacing/>
        <w:rPr>
          <w:i/>
        </w:rPr>
      </w:pPr>
      <w:r>
        <w:rPr>
          <w:rStyle w:val="FootnoteReference"/>
        </w:rPr>
        <w:footnoteRef/>
      </w:r>
      <w:r>
        <w:t xml:space="preserve"> </w:t>
      </w:r>
      <w:r w:rsidRPr="00C9750A">
        <w:rPr>
          <w:i/>
        </w:rPr>
        <w:t xml:space="preserve">Stewart and others v Watts (Secretary of State for Communities and Local Government intervening) </w:t>
      </w:r>
    </w:p>
    <w:p w14:paraId="4C69A908" w14:textId="52662BBF" w:rsidR="00B16CA4" w:rsidRDefault="00B16CA4">
      <w:pPr>
        <w:pStyle w:val="FootnoteText"/>
        <w:contextualSpacing/>
      </w:pPr>
      <w:r>
        <w:t xml:space="preserve"> [2017] 2 W.L.R. 1107 at [75] per Sir Terence Etherington MR. </w:t>
      </w:r>
    </w:p>
  </w:footnote>
  <w:footnote w:id="118">
    <w:p w14:paraId="5738A7D9" w14:textId="77777777" w:rsidR="00B16CA4" w:rsidRPr="00CF7D1F" w:rsidRDefault="00B16CA4">
      <w:pPr>
        <w:pStyle w:val="FootnoteText"/>
      </w:pPr>
      <w:r>
        <w:rPr>
          <w:rStyle w:val="FootnoteReference"/>
        </w:rPr>
        <w:footnoteRef/>
      </w:r>
      <w:r>
        <w:t xml:space="preserve"> </w:t>
      </w:r>
      <w:r>
        <w:rPr>
          <w:i/>
        </w:rPr>
        <w:t xml:space="preserve">FJM </w:t>
      </w:r>
      <w:r>
        <w:t>at [41].</w:t>
      </w:r>
    </w:p>
  </w:footnote>
  <w:footnote w:id="119">
    <w:p w14:paraId="739D7FCC" w14:textId="72E9697E" w:rsidR="00B16CA4" w:rsidRPr="00856028" w:rsidRDefault="00B16CA4">
      <w:pPr>
        <w:pStyle w:val="FootnoteText"/>
      </w:pPr>
      <w:r>
        <w:rPr>
          <w:rStyle w:val="FootnoteReference"/>
        </w:rPr>
        <w:footnoteRef/>
      </w:r>
      <w:r>
        <w:t xml:space="preserve"> </w:t>
      </w:r>
      <w:r>
        <w:rPr>
          <w:i/>
        </w:rPr>
        <w:t xml:space="preserve">FJM </w:t>
      </w:r>
      <w:r>
        <w:t>at [42].</w:t>
      </w:r>
    </w:p>
  </w:footnote>
  <w:footnote w:id="120">
    <w:p w14:paraId="101A814D" w14:textId="77777777" w:rsidR="00B16CA4" w:rsidRPr="00E164E4" w:rsidRDefault="00B16CA4">
      <w:pPr>
        <w:pStyle w:val="FootnoteText"/>
      </w:pPr>
      <w:r>
        <w:rPr>
          <w:rStyle w:val="FootnoteReference"/>
        </w:rPr>
        <w:footnoteRef/>
      </w:r>
      <w:r>
        <w:t xml:space="preserve"> </w:t>
      </w:r>
      <w:r>
        <w:rPr>
          <w:rStyle w:val="s6b621b36"/>
        </w:rPr>
        <w:t>Application no.</w:t>
      </w:r>
      <w:r w:rsidRPr="00E164E4">
        <w:rPr>
          <w:rStyle w:val="s6b621b36"/>
        </w:rPr>
        <w:t xml:space="preserve"> </w:t>
      </w:r>
      <w:hyperlink r:id="rId4" w:anchor="{&quot;appno&quot;:[&quot;43777/13&quot;]}" w:tgtFrame="_blank" w:history="1">
        <w:r w:rsidRPr="00E164E4">
          <w:rPr>
            <w:rStyle w:val="Hyperlink"/>
            <w:color w:val="auto"/>
            <w:u w:val="none"/>
          </w:rPr>
          <w:t>43777/13</w:t>
        </w:r>
      </w:hyperlink>
      <w:r>
        <w:rPr>
          <w:rStyle w:val="Hyperlink"/>
          <w:color w:val="auto"/>
          <w:u w:val="none"/>
        </w:rPr>
        <w:t>.</w:t>
      </w:r>
    </w:p>
  </w:footnote>
  <w:footnote w:id="121">
    <w:p w14:paraId="63DF18B9" w14:textId="77777777" w:rsidR="00B16CA4" w:rsidRPr="002F6043" w:rsidRDefault="00B16CA4" w:rsidP="007A0796">
      <w:pPr>
        <w:pStyle w:val="HTMLPreformatted"/>
        <w:contextualSpacing/>
      </w:pPr>
      <w:r w:rsidRPr="00CB705D">
        <w:rPr>
          <w:rStyle w:val="FootnoteReference"/>
          <w:rFonts w:ascii="Times New Roman" w:hAnsi="Times New Roman" w:cs="Times New Roman"/>
        </w:rPr>
        <w:footnoteRef/>
      </w:r>
      <w:r w:rsidRPr="00CB705D">
        <w:rPr>
          <w:rFonts w:ascii="Times New Roman" w:hAnsi="Times New Roman" w:cs="Times New Roman"/>
        </w:rPr>
        <w:t xml:space="preserve"> Ibid at [71] and [68]-[69]</w:t>
      </w:r>
      <w:r w:rsidRPr="002F6043">
        <w:rPr>
          <w:rFonts w:ascii="Times New Roman" w:hAnsi="Times New Roman" w:cs="Times New Roman"/>
        </w:rPr>
        <w:t xml:space="preserve"> echo</w:t>
      </w:r>
      <w:r>
        <w:rPr>
          <w:rFonts w:ascii="Times New Roman" w:hAnsi="Times New Roman" w:cs="Times New Roman"/>
        </w:rPr>
        <w:t>ing</w:t>
      </w:r>
      <w:r w:rsidRPr="002F6043">
        <w:rPr>
          <w:rFonts w:ascii="Times New Roman" w:hAnsi="Times New Roman" w:cs="Times New Roman"/>
        </w:rPr>
        <w:t xml:space="preserve"> the approach taken in the older mortgage enforcement </w:t>
      </w:r>
      <w:r>
        <w:rPr>
          <w:rFonts w:ascii="Times New Roman" w:hAnsi="Times New Roman" w:cs="Times New Roman"/>
        </w:rPr>
        <w:t xml:space="preserve">admissibility </w:t>
      </w:r>
      <w:r w:rsidRPr="002F6043">
        <w:rPr>
          <w:rFonts w:ascii="Times New Roman" w:hAnsi="Times New Roman" w:cs="Times New Roman"/>
        </w:rPr>
        <w:t xml:space="preserve">case of </w:t>
      </w:r>
      <w:r w:rsidRPr="002F6043">
        <w:rPr>
          <w:rFonts w:ascii="Times New Roman" w:hAnsi="Times New Roman" w:cs="Times New Roman"/>
          <w:i/>
        </w:rPr>
        <w:t xml:space="preserve">Woods v UK </w:t>
      </w:r>
      <w:r w:rsidRPr="002F6043">
        <w:rPr>
          <w:rFonts w:ascii="Times New Roman" w:hAnsi="Times New Roman" w:cs="Times New Roman"/>
        </w:rPr>
        <w:t>Application No. 32540/96</w:t>
      </w:r>
      <w:r>
        <w:rPr>
          <w:rFonts w:ascii="Times New Roman" w:hAnsi="Times New Roman" w:cs="Times New Roman"/>
        </w:rPr>
        <w:t>.</w:t>
      </w:r>
    </w:p>
  </w:footnote>
  <w:footnote w:id="122">
    <w:p w14:paraId="00C4626E" w14:textId="77777777" w:rsidR="00B16CA4" w:rsidRDefault="00B16CA4" w:rsidP="007A0796">
      <w:pPr>
        <w:pStyle w:val="FootnoteText"/>
      </w:pPr>
      <w:r>
        <w:rPr>
          <w:rStyle w:val="FootnoteReference"/>
        </w:rPr>
        <w:footnoteRef/>
      </w:r>
      <w:r>
        <w:t xml:space="preserve"> </w:t>
      </w:r>
      <w:r w:rsidRPr="003A59D2">
        <w:rPr>
          <w:rStyle w:val="s6b621b36"/>
          <w:i/>
        </w:rPr>
        <w:t>V</w:t>
      </w:r>
      <w:r>
        <w:rPr>
          <w:rStyle w:val="s6b621b36"/>
          <w:i/>
        </w:rPr>
        <w:t>rz</w:t>
      </w:r>
      <w:r w:rsidRPr="003A59D2">
        <w:rPr>
          <w:rStyle w:val="s6b621b36"/>
          <w:i/>
        </w:rPr>
        <w:t>ic</w:t>
      </w:r>
      <w:r>
        <w:rPr>
          <w:rStyle w:val="Hyperlink"/>
          <w:color w:val="auto"/>
          <w:u w:val="none"/>
        </w:rPr>
        <w:t xml:space="preserve"> </w:t>
      </w:r>
      <w:r>
        <w:t>at [70].</w:t>
      </w:r>
    </w:p>
  </w:footnote>
  <w:footnote w:id="123">
    <w:p w14:paraId="0900B4AF" w14:textId="77777777" w:rsidR="00B16CA4" w:rsidRDefault="00B16CA4" w:rsidP="007A0796">
      <w:pPr>
        <w:pStyle w:val="FootnoteText"/>
      </w:pPr>
      <w:r>
        <w:rPr>
          <w:rStyle w:val="FootnoteReference"/>
        </w:rPr>
        <w:footnoteRef/>
      </w:r>
      <w:r>
        <w:t xml:space="preserve"> </w:t>
      </w:r>
      <w:r w:rsidRPr="00EB030D">
        <w:rPr>
          <w:i/>
        </w:rPr>
        <w:t>Vrzic</w:t>
      </w:r>
      <w:r>
        <w:t xml:space="preserve"> at [66].</w:t>
      </w:r>
    </w:p>
  </w:footnote>
  <w:footnote w:id="124">
    <w:p w14:paraId="668E9F50" w14:textId="77777777" w:rsidR="00B16CA4" w:rsidRDefault="00B16CA4" w:rsidP="00862E6B">
      <w:pPr>
        <w:pStyle w:val="FootnoteText"/>
      </w:pPr>
      <w:r>
        <w:rPr>
          <w:rStyle w:val="FootnoteReference"/>
        </w:rPr>
        <w:footnoteRef/>
      </w:r>
      <w:r>
        <w:t xml:space="preserve"> </w:t>
      </w:r>
      <w:r w:rsidRPr="00C67649">
        <w:rPr>
          <w:bCs/>
        </w:rPr>
        <w:t>[2003] UKHL 43</w:t>
      </w:r>
      <w:r>
        <w:rPr>
          <w:bCs/>
        </w:rPr>
        <w:t xml:space="preserve">; </w:t>
      </w:r>
      <w:r w:rsidRPr="00C67649">
        <w:rPr>
          <w:bCs/>
        </w:rPr>
        <w:t>[2004] 1 A.C. 983</w:t>
      </w:r>
      <w:r>
        <w:rPr>
          <w:bCs/>
        </w:rPr>
        <w:t>.</w:t>
      </w:r>
    </w:p>
  </w:footnote>
  <w:footnote w:id="125">
    <w:p w14:paraId="6E6FDABD" w14:textId="77777777" w:rsidR="00B16CA4" w:rsidRDefault="00B16CA4" w:rsidP="00EC3279">
      <w:pPr>
        <w:pStyle w:val="FootnoteText"/>
      </w:pPr>
      <w:r>
        <w:rPr>
          <w:rStyle w:val="FootnoteReference"/>
        </w:rPr>
        <w:footnoteRef/>
      </w:r>
      <w:r>
        <w:t xml:space="preserve"> </w:t>
      </w:r>
      <w:r w:rsidRPr="00C67649">
        <w:rPr>
          <w:i/>
        </w:rPr>
        <w:t>Qazi</w:t>
      </w:r>
      <w:r>
        <w:t xml:space="preserve"> [27].</w:t>
      </w:r>
    </w:p>
  </w:footnote>
  <w:footnote w:id="126">
    <w:p w14:paraId="40D0D7C1" w14:textId="0308A38A" w:rsidR="00B16CA4" w:rsidRDefault="00B16CA4">
      <w:pPr>
        <w:pStyle w:val="FootnoteText"/>
      </w:pPr>
      <w:r>
        <w:rPr>
          <w:rStyle w:val="FootnoteReference"/>
        </w:rPr>
        <w:footnoteRef/>
      </w:r>
      <w:r>
        <w:t xml:space="preserve"> See E. Lees, “Article 8, proportionality and horizontal effect” (2017) L.Q.R. 31, 32.</w:t>
      </w:r>
    </w:p>
  </w:footnote>
  <w:footnote w:id="127">
    <w:p w14:paraId="30A3E46D" w14:textId="77777777" w:rsidR="00B16CA4" w:rsidRDefault="00B16CA4" w:rsidP="00862E6B">
      <w:pPr>
        <w:pStyle w:val="FootnoteText"/>
      </w:pPr>
      <w:r>
        <w:rPr>
          <w:rStyle w:val="FootnoteReference"/>
        </w:rPr>
        <w:footnoteRef/>
      </w:r>
      <w:r>
        <w:t xml:space="preserve"> </w:t>
      </w:r>
      <w:r w:rsidRPr="00C67649">
        <w:rPr>
          <w:i/>
        </w:rPr>
        <w:t>Qazi</w:t>
      </w:r>
      <w:r>
        <w:t xml:space="preserve"> at [108].</w:t>
      </w:r>
    </w:p>
  </w:footnote>
  <w:footnote w:id="128">
    <w:p w14:paraId="611E3CFF" w14:textId="77777777" w:rsidR="00B16CA4" w:rsidRDefault="00B16CA4" w:rsidP="00414692">
      <w:pPr>
        <w:pStyle w:val="FootnoteText"/>
      </w:pPr>
      <w:r>
        <w:rPr>
          <w:rStyle w:val="FootnoteReference"/>
        </w:rPr>
        <w:footnoteRef/>
      </w:r>
      <w:r>
        <w:t xml:space="preserve"> HRA 1998 s.3; J. King, “Three Wrong Turns in Lord Sumption’s Conception of Law and Democracy” in N. W. Barber, R. Ekins and P. Yowell (eds.), </w:t>
      </w:r>
      <w:r>
        <w:rPr>
          <w:i/>
        </w:rPr>
        <w:t>Lord Sumption and the Limits of the Law</w:t>
      </w:r>
      <w:r>
        <w:t xml:space="preserve"> (Hart, 2016).</w:t>
      </w:r>
    </w:p>
  </w:footnote>
  <w:footnote w:id="129">
    <w:p w14:paraId="6016FE57" w14:textId="7DEB77C9" w:rsidR="00B16CA4" w:rsidRDefault="00B16CA4" w:rsidP="00414692">
      <w:pPr>
        <w:pStyle w:val="FootnoteText"/>
      </w:pPr>
      <w:r>
        <w:rPr>
          <w:rStyle w:val="FootnoteReference"/>
        </w:rPr>
        <w:footnoteRef/>
      </w:r>
      <w:r>
        <w:t xml:space="preserve"> </w:t>
      </w:r>
      <w:r w:rsidR="00553427">
        <w:rPr>
          <w:i/>
          <w:color w:val="000000"/>
          <w:szCs w:val="24"/>
        </w:rPr>
        <w:t>Ivanova and Cherkezov v Bulgaria</w:t>
      </w:r>
      <w:r w:rsidR="00553427">
        <w:t>, Application no. 4677/15.</w:t>
      </w:r>
    </w:p>
  </w:footnote>
  <w:footnote w:id="130">
    <w:p w14:paraId="6D284B89" w14:textId="77777777" w:rsidR="00B16CA4" w:rsidRDefault="00B16CA4" w:rsidP="00414692">
      <w:pPr>
        <w:pStyle w:val="FootnoteText"/>
      </w:pPr>
      <w:r>
        <w:rPr>
          <w:rStyle w:val="FootnoteReference"/>
        </w:rPr>
        <w:footnoteRef/>
      </w:r>
      <w:r>
        <w:t xml:space="preserve"> A. Kavanagh, “The Role of Courts in the Joint Enterprise of Governing” in N. W. Barber, R. Ekins and P. Yowell (eds.), </w:t>
      </w:r>
      <w:r>
        <w:rPr>
          <w:i/>
        </w:rPr>
        <w:t>Lord Sumption and the Limits of the Law</w:t>
      </w:r>
      <w:r>
        <w:t xml:space="preserve"> (Hart, 2016), pp 133-134.</w:t>
      </w:r>
    </w:p>
  </w:footnote>
  <w:footnote w:id="131">
    <w:p w14:paraId="3DE6B13E" w14:textId="77777777" w:rsidR="00B16CA4" w:rsidRPr="000D28C6" w:rsidRDefault="00B16CA4" w:rsidP="00414692">
      <w:pPr>
        <w:pStyle w:val="FootnoteText"/>
      </w:pPr>
      <w:r>
        <w:rPr>
          <w:rStyle w:val="FootnoteReference"/>
        </w:rPr>
        <w:footnoteRef/>
      </w:r>
      <w:r>
        <w:t xml:space="preserve"> </w:t>
      </w:r>
      <w:r>
        <w:rPr>
          <w:i/>
        </w:rPr>
        <w:t>Pinnock</w:t>
      </w:r>
      <w:r>
        <w:t xml:space="preserve"> at [49], [54] and [62].</w:t>
      </w:r>
    </w:p>
  </w:footnote>
  <w:footnote w:id="132">
    <w:p w14:paraId="562A75B5" w14:textId="77777777" w:rsidR="00B16CA4" w:rsidRPr="00A6259A" w:rsidRDefault="00B16CA4" w:rsidP="00414692">
      <w:pPr>
        <w:pStyle w:val="FootnoteText"/>
      </w:pPr>
      <w:r>
        <w:rPr>
          <w:rStyle w:val="FootnoteReference"/>
        </w:rPr>
        <w:footnoteRef/>
      </w:r>
      <w:r>
        <w:t xml:space="preserve"> </w:t>
      </w:r>
      <w:r>
        <w:rPr>
          <w:i/>
        </w:rPr>
        <w:t>McDonald</w:t>
      </w:r>
      <w:r>
        <w:t xml:space="preserve"> at [45].</w:t>
      </w:r>
    </w:p>
  </w:footnote>
  <w:footnote w:id="133">
    <w:p w14:paraId="0BB7AAD6" w14:textId="60B9B1F3" w:rsidR="00141F73" w:rsidRDefault="00141F73" w:rsidP="00141F73">
      <w:pPr>
        <w:pStyle w:val="FootnoteText"/>
      </w:pPr>
      <w:r>
        <w:rPr>
          <w:rStyle w:val="FootnoteReference"/>
        </w:rPr>
        <w:footnoteRef/>
      </w:r>
      <w:r>
        <w:t xml:space="preserve"> Re</w:t>
      </w:r>
      <w:r>
        <w:rPr>
          <w:color w:val="000000"/>
          <w:szCs w:val="24"/>
        </w:rPr>
        <w:t>possession of an AST already requires a court order</w:t>
      </w:r>
      <w:r w:rsidR="00766DF6">
        <w:rPr>
          <w:color w:val="000000"/>
          <w:szCs w:val="24"/>
        </w:rPr>
        <w:t>;</w:t>
      </w:r>
      <w:r>
        <w:t xml:space="preserve"> see Housing Act 1988 s.5. The Supreme Court in </w:t>
      </w:r>
      <w:r>
        <w:rPr>
          <w:i/>
        </w:rPr>
        <w:t xml:space="preserve">McDonald </w:t>
      </w:r>
      <w:r>
        <w:t xml:space="preserve">at [42] made the extraordinary suggestion that proportionality would encourage landlords to evict without a court order but such action is illegal and could trigger redress for illegal eviction see Protection from Eviction Act 1977 s.1 and Housing Act 1988 ss27 and 28. </w:t>
      </w:r>
    </w:p>
  </w:footnote>
  <w:footnote w:id="134">
    <w:p w14:paraId="3430358E" w14:textId="77777777" w:rsidR="00B16CA4" w:rsidRDefault="00B16CA4" w:rsidP="00414692">
      <w:pPr>
        <w:pStyle w:val="FootnoteText"/>
      </w:pPr>
      <w:r>
        <w:rPr>
          <w:rStyle w:val="FootnoteReference"/>
        </w:rPr>
        <w:footnoteRef/>
      </w:r>
      <w:r>
        <w:t xml:space="preserve"> In the longer-term, we would advocate a more extensive and nuanced understanding of respect to give prominence to the values that home represents.</w:t>
      </w:r>
    </w:p>
  </w:footnote>
  <w:footnote w:id="135">
    <w:p w14:paraId="1BB5357D" w14:textId="409AF319" w:rsidR="00B16CA4" w:rsidRDefault="00B16CA4" w:rsidP="000B7248">
      <w:pPr>
        <w:pStyle w:val="FootnoteText"/>
      </w:pPr>
      <w:r>
        <w:rPr>
          <w:rStyle w:val="FootnoteReference"/>
        </w:rPr>
        <w:footnoteRef/>
      </w:r>
      <w:r>
        <w:t xml:space="preserve"> </w:t>
      </w:r>
      <w:r>
        <w:rPr>
          <w:i/>
        </w:rPr>
        <w:t>McDonald</w:t>
      </w:r>
      <w:r>
        <w:t xml:space="preserve"> at [43].</w:t>
      </w:r>
    </w:p>
  </w:footnote>
  <w:footnote w:id="136">
    <w:p w14:paraId="65228009" w14:textId="77777777" w:rsidR="00B16CA4" w:rsidRDefault="00B16CA4" w:rsidP="00BC5872">
      <w:pPr>
        <w:pStyle w:val="FootnoteText"/>
      </w:pPr>
      <w:r>
        <w:rPr>
          <w:rStyle w:val="FootnoteReference"/>
        </w:rPr>
        <w:footnoteRef/>
      </w:r>
      <w:r>
        <w:t xml:space="preserve"> H. Collins, “On the (In)compatibility of Human Rights Discourse and Private Law” LSE Working Papers 7/2012, p.4.</w:t>
      </w:r>
    </w:p>
  </w:footnote>
  <w:footnote w:id="137">
    <w:p w14:paraId="7796BDAC" w14:textId="77777777" w:rsidR="00B16CA4" w:rsidRDefault="00B16CA4" w:rsidP="00BC5872">
      <w:pPr>
        <w:pStyle w:val="FootnoteText"/>
      </w:pPr>
      <w:r>
        <w:rPr>
          <w:rStyle w:val="FootnoteReference"/>
        </w:rPr>
        <w:footnoteRef/>
      </w:r>
      <w:r>
        <w:t xml:space="preserve"> H. Fenwick, “Judicial Reasoning in Clashing Rights Cases” in H. Fenwick, G. Phillipson and R. Masterman (eds), </w:t>
      </w:r>
      <w:r>
        <w:rPr>
          <w:i/>
        </w:rPr>
        <w:t>Judicial Reasoning under the UK Human Rights Act</w:t>
      </w:r>
      <w:r>
        <w:t xml:space="preserve"> (CUP, 2007).</w:t>
      </w:r>
    </w:p>
  </w:footnote>
  <w:footnote w:id="138">
    <w:p w14:paraId="6CF7589B" w14:textId="77777777" w:rsidR="00B16CA4" w:rsidRDefault="00B16CA4" w:rsidP="00BC5872">
      <w:pPr>
        <w:pStyle w:val="FootnoteText"/>
      </w:pPr>
      <w:r>
        <w:rPr>
          <w:rStyle w:val="FootnoteReference"/>
        </w:rPr>
        <w:footnoteRef/>
      </w:r>
      <w:r>
        <w:t xml:space="preserve"> H. Collins, “On the (In)compatibility of Human Rights Discourse and Private Law” LSE Working Papers 7/2012, p.31.</w:t>
      </w:r>
    </w:p>
  </w:footnote>
  <w:footnote w:id="139">
    <w:p w14:paraId="680F2C84" w14:textId="77777777" w:rsidR="00B16CA4" w:rsidRDefault="00B16CA4" w:rsidP="00BC5872">
      <w:pPr>
        <w:pStyle w:val="FootnoteText"/>
      </w:pPr>
      <w:r w:rsidRPr="002764B9">
        <w:rPr>
          <w:rStyle w:val="FootnoteReference"/>
        </w:rPr>
        <w:footnoteRef/>
      </w:r>
      <w:r w:rsidRPr="002764B9">
        <w:t xml:space="preserve"> </w:t>
      </w:r>
      <w:r w:rsidRPr="002764B9">
        <w:rPr>
          <w:i/>
        </w:rPr>
        <w:t>Re: S (Identity: Restrictions on Publication)</w:t>
      </w:r>
      <w:r w:rsidRPr="002764B9">
        <w:t xml:space="preserve"> </w:t>
      </w:r>
      <w:r w:rsidRPr="00D2172E">
        <w:t>[2004] UKHL 47</w:t>
      </w:r>
      <w:r>
        <w:t xml:space="preserve">; </w:t>
      </w:r>
      <w:r w:rsidRPr="002764B9">
        <w:t>[2005] 1 A</w:t>
      </w:r>
      <w:r>
        <w:t>.</w:t>
      </w:r>
      <w:r w:rsidRPr="002764B9">
        <w:t>C</w:t>
      </w:r>
      <w:r>
        <w:t>.</w:t>
      </w:r>
      <w:r w:rsidRPr="002764B9">
        <w:t xml:space="preserve"> 593 [17].</w:t>
      </w:r>
    </w:p>
  </w:footnote>
  <w:footnote w:id="140">
    <w:p w14:paraId="1A7668DA" w14:textId="776DBC81" w:rsidR="00B16CA4" w:rsidRDefault="00B16CA4" w:rsidP="00625060">
      <w:pPr>
        <w:pStyle w:val="FootnoteText"/>
      </w:pPr>
      <w:r>
        <w:rPr>
          <w:rStyle w:val="FootnoteReference"/>
        </w:rPr>
        <w:footnoteRef/>
      </w:r>
      <w:r>
        <w:t xml:space="preserve"> </w:t>
      </w:r>
      <w:r w:rsidRPr="00102957">
        <w:rPr>
          <w:i/>
        </w:rPr>
        <w:t>Bank Mellat v HM Treasury</w:t>
      </w:r>
      <w:r>
        <w:t xml:space="preserve"> [2013] UKSC 39; [2013] H.R.L.R. 30 at [20].</w:t>
      </w:r>
    </w:p>
  </w:footnote>
  <w:footnote w:id="141">
    <w:p w14:paraId="7CA789DA" w14:textId="77777777" w:rsidR="00B16CA4" w:rsidRDefault="00B16CA4" w:rsidP="00167005">
      <w:pPr>
        <w:pStyle w:val="FootnoteText"/>
      </w:pPr>
      <w:r>
        <w:rPr>
          <w:rStyle w:val="FootnoteReference"/>
        </w:rPr>
        <w:footnoteRef/>
      </w:r>
      <w:r>
        <w:t xml:space="preserve"> </w:t>
      </w:r>
      <w:r w:rsidRPr="00A4157E">
        <w:rPr>
          <w:i/>
        </w:rPr>
        <w:t>Pinnock</w:t>
      </w:r>
      <w:r w:rsidRPr="00A4157E">
        <w:t xml:space="preserve"> </w:t>
      </w:r>
      <w:r>
        <w:t>at [61].</w:t>
      </w:r>
    </w:p>
  </w:footnote>
  <w:footnote w:id="142">
    <w:p w14:paraId="4260763E" w14:textId="77777777" w:rsidR="00B16CA4" w:rsidRDefault="00B16CA4" w:rsidP="00167005">
      <w:pPr>
        <w:pStyle w:val="FootnoteText"/>
      </w:pPr>
      <w:r>
        <w:rPr>
          <w:rStyle w:val="FootnoteReference"/>
        </w:rPr>
        <w:footnoteRef/>
      </w:r>
      <w:r>
        <w:t xml:space="preserve"> </w:t>
      </w:r>
      <w:r w:rsidRPr="002764B9">
        <w:rPr>
          <w:i/>
        </w:rPr>
        <w:t xml:space="preserve">Powell </w:t>
      </w:r>
      <w:r>
        <w:t>at [33].</w:t>
      </w:r>
    </w:p>
  </w:footnote>
  <w:footnote w:id="143">
    <w:p w14:paraId="5F71A4AE" w14:textId="77777777" w:rsidR="00B16CA4" w:rsidRDefault="00B16CA4" w:rsidP="00124D46">
      <w:pPr>
        <w:pStyle w:val="FootnoteText"/>
      </w:pPr>
      <w:r>
        <w:rPr>
          <w:rStyle w:val="FootnoteReference"/>
        </w:rPr>
        <w:footnoteRef/>
      </w:r>
      <w:r>
        <w:t xml:space="preserve"> </w:t>
      </w:r>
      <w:r w:rsidRPr="00A4157E">
        <w:rPr>
          <w:i/>
        </w:rPr>
        <w:t>Powell</w:t>
      </w:r>
      <w:r>
        <w:t xml:space="preserve"> at [41]. Commentators are divided in their views of this approach see J. Rivers, “The Presumption of Proportionality” (2014) 77 M.L.R. 409 and A. Latham, “Talking Without Speaking, Hearing Without Listening? Evictions, the Law Lords and the European Court of Human Rights” [2011] P.L. 730.</w:t>
      </w:r>
    </w:p>
  </w:footnote>
  <w:footnote w:id="144">
    <w:p w14:paraId="3A6F2A4C" w14:textId="4035F0D3" w:rsidR="00B16CA4" w:rsidRDefault="00B16CA4">
      <w:pPr>
        <w:pStyle w:val="FootnoteText"/>
      </w:pPr>
      <w:r>
        <w:rPr>
          <w:rStyle w:val="FootnoteReference"/>
        </w:rPr>
        <w:footnoteRef/>
      </w:r>
      <w:r>
        <w:t xml:space="preserve"> </w:t>
      </w:r>
      <w:r w:rsidRPr="00BD24D2">
        <w:rPr>
          <w:i/>
        </w:rPr>
        <w:t>McDonald</w:t>
      </w:r>
      <w:r>
        <w:t xml:space="preserve"> at [73].</w:t>
      </w:r>
    </w:p>
  </w:footnote>
  <w:footnote w:id="145">
    <w:p w14:paraId="5455C4AF" w14:textId="77777777" w:rsidR="00B16CA4" w:rsidRDefault="00B16CA4" w:rsidP="00265988">
      <w:pPr>
        <w:pStyle w:val="FootnoteText"/>
      </w:pPr>
      <w:r>
        <w:rPr>
          <w:rStyle w:val="FootnoteReference"/>
        </w:rPr>
        <w:footnoteRef/>
      </w:r>
      <w:r>
        <w:t xml:space="preserve"> Equality Act 2010 s.19(2)(d).</w:t>
      </w:r>
    </w:p>
  </w:footnote>
  <w:footnote w:id="146">
    <w:p w14:paraId="79674CCE" w14:textId="2859ADDF" w:rsidR="00B16CA4" w:rsidRDefault="00B16CA4" w:rsidP="00265988">
      <w:pPr>
        <w:pStyle w:val="FootnoteText"/>
      </w:pPr>
      <w:r>
        <w:rPr>
          <w:rStyle w:val="FootnoteReference"/>
        </w:rPr>
        <w:footnoteRef/>
      </w:r>
      <w:r>
        <w:t xml:space="preserve"> Equality Act 2010 ss 13(1)-13(2)</w:t>
      </w:r>
      <w:r w:rsidR="00F01BA2">
        <w:t xml:space="preserve"> and s15</w:t>
      </w:r>
      <w:r>
        <w:t xml:space="preserve">. </w:t>
      </w:r>
    </w:p>
  </w:footnote>
  <w:footnote w:id="147">
    <w:p w14:paraId="4588A961" w14:textId="77777777" w:rsidR="00B16CA4" w:rsidRDefault="00B16CA4" w:rsidP="00265988">
      <w:pPr>
        <w:pStyle w:val="FootnoteText"/>
      </w:pPr>
      <w:r>
        <w:rPr>
          <w:rStyle w:val="FootnoteReference"/>
        </w:rPr>
        <w:footnoteRef/>
      </w:r>
      <w:r>
        <w:t xml:space="preserve"> </w:t>
      </w:r>
      <w:r w:rsidRPr="005C649A">
        <w:rPr>
          <w:i/>
        </w:rPr>
        <w:t>Akerman-Livingstone v Aster Communities Ltd</w:t>
      </w:r>
      <w:r>
        <w:rPr>
          <w:i/>
        </w:rPr>
        <w:t xml:space="preserve"> </w:t>
      </w:r>
      <w:r>
        <w:t xml:space="preserve">[2015] UKSC 15; </w:t>
      </w:r>
      <w:r w:rsidRPr="00590AAA">
        <w:t xml:space="preserve">[2015] A.C. 1399 </w:t>
      </w:r>
      <w:r>
        <w:t>at [34].</w:t>
      </w:r>
    </w:p>
  </w:footnote>
  <w:footnote w:id="148">
    <w:p w14:paraId="26D6BF03" w14:textId="77777777" w:rsidR="00B16CA4" w:rsidRPr="00570BA3" w:rsidRDefault="00B16CA4" w:rsidP="00265988">
      <w:pPr>
        <w:pStyle w:val="FootnoteText"/>
      </w:pPr>
      <w:r>
        <w:rPr>
          <w:rStyle w:val="FootnoteReference"/>
        </w:rPr>
        <w:footnoteRef/>
      </w:r>
      <w:r>
        <w:t xml:space="preserve"> S. Pascoe, “The end of the road for human rights in private landowners’ disputes?” (2017) </w:t>
      </w:r>
      <w:r w:rsidRPr="00590AAA">
        <w:t>Conv</w:t>
      </w:r>
      <w:r>
        <w:rPr>
          <w:i/>
        </w:rPr>
        <w:t>.</w:t>
      </w:r>
      <w:r>
        <w:t xml:space="preserve"> 269, 273.</w:t>
      </w:r>
    </w:p>
  </w:footnote>
  <w:footnote w:id="149">
    <w:p w14:paraId="26571B89" w14:textId="5D29E578" w:rsidR="00B16CA4" w:rsidRPr="00C86839" w:rsidRDefault="00B16CA4">
      <w:pPr>
        <w:pStyle w:val="FootnoteText"/>
      </w:pPr>
      <w:r>
        <w:rPr>
          <w:rStyle w:val="FootnoteReference"/>
        </w:rPr>
        <w:footnoteRef/>
      </w:r>
      <w:r>
        <w:t xml:space="preserve"> For instance acknowledgement of the import of vulnerability is evident in </w:t>
      </w:r>
      <w:r>
        <w:rPr>
          <w:i/>
        </w:rPr>
        <w:t xml:space="preserve">Zhentner </w:t>
      </w:r>
      <w:r>
        <w:t xml:space="preserve">(mental fragility), </w:t>
      </w:r>
      <w:r>
        <w:rPr>
          <w:i/>
        </w:rPr>
        <w:t xml:space="preserve">Bjedov v Croatia </w:t>
      </w:r>
      <w:r>
        <w:t xml:space="preserve">App No 42150/09 (age and ill health), </w:t>
      </w:r>
      <w:r>
        <w:rPr>
          <w:i/>
        </w:rPr>
        <w:t xml:space="preserve">Yordanova v Bulgaria </w:t>
      </w:r>
      <w:r>
        <w:t xml:space="preserve">App No 2544/06 (Roma) and </w:t>
      </w:r>
      <w:r>
        <w:rPr>
          <w:i/>
        </w:rPr>
        <w:t xml:space="preserve">Winterstein v France </w:t>
      </w:r>
      <w:r>
        <w:t xml:space="preserve">App No 27013/07 (Roma and travellers). </w:t>
      </w:r>
    </w:p>
  </w:footnote>
  <w:footnote w:id="150">
    <w:p w14:paraId="5E4433E1" w14:textId="77777777" w:rsidR="00B16CA4" w:rsidRDefault="00B16CA4" w:rsidP="00167005">
      <w:pPr>
        <w:pStyle w:val="FootnoteText"/>
      </w:pPr>
      <w:r>
        <w:rPr>
          <w:rStyle w:val="FootnoteReference"/>
        </w:rPr>
        <w:footnoteRef/>
      </w:r>
      <w:r>
        <w:t xml:space="preserve"> </w:t>
      </w:r>
      <w:r w:rsidRPr="00A4157E">
        <w:rPr>
          <w:i/>
        </w:rPr>
        <w:t xml:space="preserve">Pinnock </w:t>
      </w:r>
      <w:r>
        <w:t>at [64].</w:t>
      </w:r>
    </w:p>
  </w:footnote>
  <w:footnote w:id="151">
    <w:p w14:paraId="71C8AF9A" w14:textId="7826B53F" w:rsidR="00B16CA4" w:rsidRDefault="00B16CA4">
      <w:pPr>
        <w:pStyle w:val="FootnoteText"/>
      </w:pPr>
      <w:r>
        <w:rPr>
          <w:rStyle w:val="FootnoteReference"/>
        </w:rPr>
        <w:footnoteRef/>
      </w:r>
      <w:r>
        <w:t xml:space="preserve"> </w:t>
      </w:r>
      <w:r w:rsidRPr="00102957">
        <w:rPr>
          <w:i/>
        </w:rPr>
        <w:t>Akerman-Livingstone</w:t>
      </w:r>
      <w:r>
        <w:t xml:space="preserve"> [2015] UKSC 15; </w:t>
      </w:r>
      <w:r w:rsidRPr="00590AAA">
        <w:t xml:space="preserve">[2015] A.C. 1399 </w:t>
      </w:r>
      <w:r>
        <w:t xml:space="preserve"> at [56] per Lord Neuberger; </w:t>
      </w:r>
      <w:r w:rsidRPr="00102957">
        <w:rPr>
          <w:i/>
        </w:rPr>
        <w:t>Jones v Canal and River Trust</w:t>
      </w:r>
      <w:r>
        <w:t xml:space="preserve"> [2017] EWCA Civ 135; [2018] Q.B. 305 at [48] per McCombe LJ. Walsh bemoans this lack of guidance see R. Walsh, “Stability and predictability in English property law – the impact of article 8 of the European Convention on Human Rights reassessed” (2015) 131 L.Q.R. 585.</w:t>
      </w:r>
    </w:p>
  </w:footnote>
  <w:footnote w:id="152">
    <w:p w14:paraId="2A90AD7E" w14:textId="7E9E0BFE" w:rsidR="00B16CA4" w:rsidRDefault="00B16CA4">
      <w:pPr>
        <w:pStyle w:val="FootnoteText"/>
      </w:pPr>
      <w:r>
        <w:rPr>
          <w:rStyle w:val="FootnoteReference"/>
        </w:rPr>
        <w:footnoteRef/>
      </w:r>
      <w:r>
        <w:t xml:space="preserve"> [2006] 2 A.C. 465 at [38].</w:t>
      </w:r>
    </w:p>
  </w:footnote>
  <w:footnote w:id="153">
    <w:p w14:paraId="2870049C" w14:textId="77777777" w:rsidR="00B16CA4" w:rsidRDefault="00B16CA4" w:rsidP="00CD4654">
      <w:pPr>
        <w:pStyle w:val="FootnoteText"/>
      </w:pPr>
      <w:r>
        <w:rPr>
          <w:rStyle w:val="FootnoteReference"/>
        </w:rPr>
        <w:footnoteRef/>
      </w:r>
      <w:r>
        <w:t xml:space="preserve"> In respect of the Strasbourg jurisprudence see L. Peroni and A. Timmer, “Vulnerable groups: The promise of an emerging concept in European Human Rights Convention law” (2013) 11 Int. J. of Constitutional Law 1056.</w:t>
      </w:r>
    </w:p>
  </w:footnote>
  <w:footnote w:id="154">
    <w:p w14:paraId="6491288E" w14:textId="58C1A394" w:rsidR="00B16CA4" w:rsidRDefault="00B16CA4" w:rsidP="00E7208F">
      <w:pPr>
        <w:pStyle w:val="FootnoteText"/>
      </w:pPr>
      <w:r>
        <w:rPr>
          <w:rStyle w:val="FootnoteReference"/>
        </w:rPr>
        <w:footnoteRef/>
      </w:r>
      <w:r>
        <w:t xml:space="preserve"> Housing Act 1996 s.189(c) and </w:t>
      </w:r>
      <w:r w:rsidRPr="00980F51">
        <w:rPr>
          <w:i/>
        </w:rPr>
        <w:t>Hotak v Southwark London Borough Council</w:t>
      </w:r>
      <w:r>
        <w:t xml:space="preserve"> [2015] UKSC 30; [2016] A.C. 811.</w:t>
      </w:r>
      <w:r w:rsidRPr="00E7208F">
        <w:t xml:space="preserve"> </w:t>
      </w:r>
      <w:r>
        <w:t>The groups are: old age, mental illness or handicap or physical disability or other special reason.</w:t>
      </w:r>
    </w:p>
  </w:footnote>
  <w:footnote w:id="155">
    <w:p w14:paraId="38AB39D7" w14:textId="7505086B" w:rsidR="00B16CA4" w:rsidRDefault="00B16CA4">
      <w:pPr>
        <w:pStyle w:val="FootnoteText"/>
      </w:pPr>
      <w:r>
        <w:rPr>
          <w:rStyle w:val="FootnoteReference"/>
        </w:rPr>
        <w:footnoteRef/>
      </w:r>
      <w:r>
        <w:t xml:space="preserve"> I. Loveland, “Changing the meaning of ‘vulnerable’ under the homelessness legislation?” (2017) 39(3) </w:t>
      </w:r>
      <w:bookmarkStart w:id="16" w:name="_Hlk528066881"/>
      <w:r w:rsidRPr="002B56E2">
        <w:t>J. Soc. Wel. &amp; Fam. L.</w:t>
      </w:r>
      <w:bookmarkEnd w:id="16"/>
      <w:r>
        <w:t xml:space="preserve"> </w:t>
      </w:r>
      <w:r w:rsidRPr="002B56E2">
        <w:t>298</w:t>
      </w:r>
      <w:r>
        <w:t>.</w:t>
      </w:r>
    </w:p>
  </w:footnote>
  <w:footnote w:id="156">
    <w:p w14:paraId="3241D4D2" w14:textId="064C4299" w:rsidR="00B16CA4" w:rsidRDefault="00B16CA4">
      <w:pPr>
        <w:pStyle w:val="FootnoteText"/>
      </w:pPr>
      <w:r>
        <w:rPr>
          <w:rStyle w:val="FootnoteReference"/>
        </w:rPr>
        <w:footnoteRef/>
      </w:r>
      <w:r>
        <w:t xml:space="preserve"> See </w:t>
      </w:r>
      <w:r w:rsidRPr="00897BD8">
        <w:t>C</w:t>
      </w:r>
      <w:r>
        <w:t>.</w:t>
      </w:r>
      <w:r w:rsidRPr="00897BD8">
        <w:t xml:space="preserve"> Graham, </w:t>
      </w:r>
      <w:r>
        <w:t xml:space="preserve">“Tackling consumer vulnerability in energy and banking: towards a new approach” (2018) 40 </w:t>
      </w:r>
      <w:bookmarkStart w:id="17" w:name="_Hlk528067173"/>
      <w:r w:rsidRPr="002B56E2">
        <w:t>J. Soc. Wel. &amp; Fam. L.</w:t>
      </w:r>
      <w:r w:rsidRPr="00134471">
        <w:t xml:space="preserve"> </w:t>
      </w:r>
      <w:bookmarkEnd w:id="17"/>
      <w:r w:rsidRPr="00134471">
        <w:t>241</w:t>
      </w:r>
      <w:r>
        <w:t>, 244.</w:t>
      </w:r>
    </w:p>
  </w:footnote>
  <w:footnote w:id="157">
    <w:p w14:paraId="3FA9B37B" w14:textId="17845DE6" w:rsidR="00B16CA4" w:rsidRDefault="00B16CA4">
      <w:pPr>
        <w:pStyle w:val="FootnoteText"/>
      </w:pPr>
      <w:r>
        <w:rPr>
          <w:rStyle w:val="FootnoteReference"/>
        </w:rPr>
        <w:footnoteRef/>
      </w:r>
      <w:r>
        <w:t xml:space="preserve"> </w:t>
      </w:r>
      <w:r w:rsidRPr="00102957">
        <w:rPr>
          <w:i/>
        </w:rPr>
        <w:t>Hotak</w:t>
      </w:r>
      <w:r>
        <w:t xml:space="preserve"> at [38] and [62].</w:t>
      </w:r>
    </w:p>
  </w:footnote>
  <w:footnote w:id="158">
    <w:p w14:paraId="03549B0F" w14:textId="4EC313D3" w:rsidR="00B16CA4" w:rsidRDefault="00B16CA4" w:rsidP="008023F7">
      <w:pPr>
        <w:pStyle w:val="FootnoteText"/>
      </w:pPr>
      <w:r>
        <w:rPr>
          <w:rStyle w:val="FootnoteReference"/>
        </w:rPr>
        <w:footnoteRef/>
      </w:r>
      <w:r>
        <w:t xml:space="preserve"> C. Yoko Furusho, “</w:t>
      </w:r>
      <w:r w:rsidRPr="00AB4934">
        <w:t>Uncovering the human rights of the vulnerable subject and correlated state duties under liberalism</w:t>
      </w:r>
      <w:r>
        <w:t xml:space="preserve">” (2016) </w:t>
      </w:r>
      <w:r w:rsidRPr="00AB4934">
        <w:rPr>
          <w:i/>
        </w:rPr>
        <w:t>UCL Journal of Law and Jurisprudence</w:t>
      </w:r>
      <w:r>
        <w:t xml:space="preserve"> 175, 175.</w:t>
      </w:r>
    </w:p>
  </w:footnote>
  <w:footnote w:id="159">
    <w:p w14:paraId="5FCD3D21" w14:textId="565B677B" w:rsidR="00B16CA4" w:rsidRPr="00B46AD2" w:rsidRDefault="00B16CA4" w:rsidP="008023F7">
      <w:pPr>
        <w:pStyle w:val="FootnoteText"/>
      </w:pPr>
      <w:r>
        <w:rPr>
          <w:rStyle w:val="FootnoteReference"/>
        </w:rPr>
        <w:footnoteRef/>
      </w:r>
      <w:r>
        <w:t xml:space="preserve"> </w:t>
      </w:r>
      <w:bookmarkStart w:id="18" w:name="_Hlk514840160"/>
      <w:r>
        <w:t xml:space="preserve">M. Fineman, “The Vulnerable Subject” (2008) 20 </w:t>
      </w:r>
      <w:r>
        <w:rPr>
          <w:i/>
        </w:rPr>
        <w:t>Yale Journal of Law and Feminism</w:t>
      </w:r>
      <w:r>
        <w:t xml:space="preserve"> 1</w:t>
      </w:r>
      <w:bookmarkEnd w:id="18"/>
      <w:r>
        <w:t xml:space="preserve">; “The Vulnerable Subject and the Responsive State” (2010) 60 </w:t>
      </w:r>
      <w:r>
        <w:rPr>
          <w:i/>
        </w:rPr>
        <w:t>Emory Law Journal</w:t>
      </w:r>
      <w:r>
        <w:t xml:space="preserve"> 251; “Beyond Identities: The Limits of an Anti-discrimination approach to Equality” (2012) 92 </w:t>
      </w:r>
      <w:r>
        <w:rPr>
          <w:i/>
        </w:rPr>
        <w:t>Boston University Law Review</w:t>
      </w:r>
      <w:r>
        <w:t xml:space="preserve"> 1713.</w:t>
      </w:r>
    </w:p>
  </w:footnote>
  <w:footnote w:id="160">
    <w:p w14:paraId="5FAEFB0C" w14:textId="62F4EEA4" w:rsidR="00B16CA4" w:rsidRPr="00925616" w:rsidRDefault="00B16CA4" w:rsidP="008023F7">
      <w:pPr>
        <w:pStyle w:val="FootnoteText"/>
      </w:pPr>
      <w:r>
        <w:rPr>
          <w:rStyle w:val="FootnoteReference"/>
        </w:rPr>
        <w:footnoteRef/>
      </w:r>
      <w:r>
        <w:t xml:space="preserve"> </w:t>
      </w:r>
      <w:bookmarkStart w:id="19" w:name="_Hlk517336616"/>
      <w:r>
        <w:t xml:space="preserve">M. Fineman, “Equality, Autonomy, and the Vulnerable Subject in Law and Politics” in M. Fineman and A. Grear (eds), </w:t>
      </w:r>
      <w:r>
        <w:rPr>
          <w:i/>
        </w:rPr>
        <w:t>Vulnerability: Reflections on a New Ethical Foundation for Law and Politics</w:t>
      </w:r>
      <w:r>
        <w:t xml:space="preserve"> (Ashgate, 2013), </w:t>
      </w:r>
      <w:bookmarkEnd w:id="19"/>
      <w:r>
        <w:t>p.14.</w:t>
      </w:r>
    </w:p>
  </w:footnote>
  <w:footnote w:id="161">
    <w:p w14:paraId="56E1E6F5" w14:textId="52B4D2B1" w:rsidR="00B16CA4" w:rsidRDefault="00B16CA4" w:rsidP="008023F7">
      <w:pPr>
        <w:pStyle w:val="FootnoteText"/>
      </w:pPr>
      <w:r>
        <w:rPr>
          <w:rStyle w:val="FootnoteReference"/>
        </w:rPr>
        <w:footnoteRef/>
      </w:r>
      <w:r>
        <w:t xml:space="preserve"> N. Kohn, “Vulnerability Theory and the Role of Government” (2014) 26 </w:t>
      </w:r>
      <w:r>
        <w:rPr>
          <w:i/>
        </w:rPr>
        <w:t>Yale Journal of Law and Feminism</w:t>
      </w:r>
      <w:r>
        <w:t xml:space="preserve"> 2, </w:t>
      </w:r>
      <w:r w:rsidRPr="001C1409">
        <w:t>6</w:t>
      </w:r>
      <w:r>
        <w:t>.</w:t>
      </w:r>
    </w:p>
  </w:footnote>
  <w:footnote w:id="162">
    <w:p w14:paraId="7510542C" w14:textId="46FA3017" w:rsidR="00B16CA4" w:rsidRDefault="00B16CA4" w:rsidP="00EE2BE1">
      <w:pPr>
        <w:pStyle w:val="FootnoteText"/>
      </w:pPr>
      <w:r>
        <w:rPr>
          <w:rStyle w:val="FootnoteReference"/>
        </w:rPr>
        <w:footnoteRef/>
      </w:r>
      <w:r>
        <w:t xml:space="preserve"> M. Fineman, “The Vulnerable Subject” (2008) 20 </w:t>
      </w:r>
      <w:r>
        <w:rPr>
          <w:i/>
        </w:rPr>
        <w:t>Yale Journal of Law and Feminism</w:t>
      </w:r>
      <w:r>
        <w:t xml:space="preserve"> 1 at 1.</w:t>
      </w:r>
    </w:p>
  </w:footnote>
  <w:footnote w:id="163">
    <w:p w14:paraId="3366188D" w14:textId="4AC28A6F" w:rsidR="00B16CA4" w:rsidRDefault="00B16CA4" w:rsidP="008023F7">
      <w:pPr>
        <w:pStyle w:val="FootnoteText"/>
      </w:pPr>
      <w:r>
        <w:rPr>
          <w:rStyle w:val="FootnoteReference"/>
        </w:rPr>
        <w:footnoteRef/>
      </w:r>
      <w:r>
        <w:t xml:space="preserve"> M. Fineman, “Equality, Autonomy, and the Vulnerable Subject in Law and Politics” in M. Fineman and A. Grear (eds), </w:t>
      </w:r>
      <w:r>
        <w:rPr>
          <w:i/>
        </w:rPr>
        <w:t>Vulnerability: Reflections on a New Ethical Foundation for Law and Politics</w:t>
      </w:r>
      <w:r>
        <w:t xml:space="preserve"> (Ashgate, 2013), p.19.</w:t>
      </w:r>
    </w:p>
  </w:footnote>
  <w:footnote w:id="164">
    <w:p w14:paraId="6EC8A100" w14:textId="1AFAD207" w:rsidR="00B16CA4" w:rsidRDefault="00B16CA4" w:rsidP="008023F7">
      <w:pPr>
        <w:pStyle w:val="FootnoteText"/>
      </w:pPr>
      <w:r>
        <w:rPr>
          <w:rStyle w:val="FootnoteReference"/>
        </w:rPr>
        <w:footnoteRef/>
      </w:r>
      <w:r>
        <w:t xml:space="preserve"> C. Mackenzie, “The Importance of Relational Autonomy and Capabilities for an Ethics of Vulnerability” in C. Mackenzie, W. Rogers and S. Dodds (eds) </w:t>
      </w:r>
      <w:r>
        <w:rPr>
          <w:i/>
        </w:rPr>
        <w:t xml:space="preserve">Vulnerability: New Essays in Ethics and Feminist </w:t>
      </w:r>
      <w:r w:rsidRPr="001F1F5A">
        <w:rPr>
          <w:i/>
        </w:rPr>
        <w:t>Philosophy</w:t>
      </w:r>
      <w:r>
        <w:t xml:space="preserve"> (OUP, 2014), </w:t>
      </w:r>
      <w:r w:rsidRPr="001F1F5A">
        <w:t>p</w:t>
      </w:r>
      <w:r>
        <w:t>.</w:t>
      </w:r>
      <w:r w:rsidRPr="001F1F5A">
        <w:t>34</w:t>
      </w:r>
      <w:r>
        <w:t>.</w:t>
      </w:r>
    </w:p>
  </w:footnote>
  <w:footnote w:id="165">
    <w:p w14:paraId="32B34E7F" w14:textId="5ADCE092" w:rsidR="00B16CA4" w:rsidRPr="00CA3554" w:rsidRDefault="00B16CA4" w:rsidP="001E3C17">
      <w:pPr>
        <w:pStyle w:val="FootnoteText"/>
      </w:pPr>
      <w:r>
        <w:rPr>
          <w:rStyle w:val="FootnoteReference"/>
        </w:rPr>
        <w:footnoteRef/>
      </w:r>
      <w:r>
        <w:t xml:space="preserve"> L. Peroni and A. Timmer, “Vulnerable groups: The promise of an emerging concept in European Human Rights Convention law” (2013) 11 Int. J. of Constitutional Law 1056, 1058.</w:t>
      </w:r>
    </w:p>
  </w:footnote>
  <w:footnote w:id="166">
    <w:p w14:paraId="619E62DC" w14:textId="2F7E3306" w:rsidR="00B16CA4" w:rsidRDefault="00B16CA4" w:rsidP="005862A3">
      <w:pPr>
        <w:pStyle w:val="FootnoteText"/>
      </w:pPr>
      <w:r>
        <w:rPr>
          <w:rStyle w:val="FootnoteReference"/>
        </w:rPr>
        <w:footnoteRef/>
      </w:r>
      <w:r>
        <w:t xml:space="preserve"> </w:t>
      </w:r>
      <w:r w:rsidRPr="00897BD8">
        <w:t>C</w:t>
      </w:r>
      <w:r>
        <w:t>.</w:t>
      </w:r>
      <w:r w:rsidRPr="00897BD8">
        <w:t xml:space="preserve"> Graham, </w:t>
      </w:r>
      <w:r>
        <w:t xml:space="preserve">“Tackling consumer vulnerability in energy and banking: towards a new approach” (2018) 40 </w:t>
      </w:r>
      <w:r w:rsidRPr="00946439">
        <w:t xml:space="preserve">J. Soc. Wel. &amp; Fam. L. </w:t>
      </w:r>
      <w:r w:rsidRPr="00134471">
        <w:t>241</w:t>
      </w:r>
      <w:r>
        <w:t>, 243.</w:t>
      </w:r>
    </w:p>
  </w:footnote>
  <w:footnote w:id="167">
    <w:p w14:paraId="76A9D36F" w14:textId="77777777" w:rsidR="00D269C6" w:rsidRDefault="00D269C6" w:rsidP="00D269C6">
      <w:pPr>
        <w:pStyle w:val="FootnoteText"/>
      </w:pPr>
      <w:r>
        <w:rPr>
          <w:rStyle w:val="FootnoteReference"/>
        </w:rPr>
        <w:footnoteRef/>
      </w:r>
      <w:r>
        <w:t xml:space="preserve"> S. Currie, ‘Compounding vulnerability and concealing unfairness: decision-making processes in the UK’s anti-trafficking framework’ (2019) P.L. </w:t>
      </w:r>
      <w:r w:rsidRPr="00200D7C">
        <w:rPr>
          <w:highlight w:val="yellow"/>
        </w:rPr>
        <w:t>xxx, xxx</w:t>
      </w:r>
      <w:r>
        <w:t>.</w:t>
      </w:r>
    </w:p>
  </w:footnote>
  <w:footnote w:id="168">
    <w:p w14:paraId="20D96908" w14:textId="1C487B84" w:rsidR="00B16CA4" w:rsidRPr="00FC1416" w:rsidRDefault="00B16CA4">
      <w:pPr>
        <w:pStyle w:val="FootnoteText"/>
      </w:pPr>
      <w:r>
        <w:rPr>
          <w:rStyle w:val="FootnoteReference"/>
        </w:rPr>
        <w:footnoteRef/>
      </w:r>
      <w:r>
        <w:t xml:space="preserve"> I. Lorey, </w:t>
      </w:r>
      <w:r>
        <w:rPr>
          <w:i/>
        </w:rPr>
        <w:t xml:space="preserve">State of Insecurity: Government of the Precarious </w:t>
      </w:r>
      <w:r>
        <w:t xml:space="preserve">(Verso, 2015), p.1 quoted in H. </w:t>
      </w:r>
      <w:r w:rsidRPr="00441918">
        <w:t xml:space="preserve">Carr, </w:t>
      </w:r>
      <w:r>
        <w:t xml:space="preserve">B. </w:t>
      </w:r>
      <w:r w:rsidRPr="00441918">
        <w:t xml:space="preserve">Edgeworth and </w:t>
      </w:r>
      <w:r>
        <w:t xml:space="preserve">C. </w:t>
      </w:r>
      <w:r w:rsidRPr="00441918">
        <w:t xml:space="preserve">Hunter (eds) </w:t>
      </w:r>
      <w:r w:rsidRPr="00943E3D">
        <w:rPr>
          <w:i/>
        </w:rPr>
        <w:t>Law and the Precarious Home</w:t>
      </w:r>
      <w:r w:rsidRPr="00441918">
        <w:t xml:space="preserve"> (Hart, 2018)</w:t>
      </w:r>
      <w:r>
        <w:t>, p.8.</w:t>
      </w:r>
    </w:p>
  </w:footnote>
  <w:footnote w:id="169">
    <w:p w14:paraId="66CB1FAB" w14:textId="7543102B" w:rsidR="00B16CA4" w:rsidRDefault="00B16CA4">
      <w:pPr>
        <w:pStyle w:val="FootnoteText"/>
      </w:pPr>
      <w:r>
        <w:rPr>
          <w:rStyle w:val="FootnoteReference"/>
        </w:rPr>
        <w:footnoteRef/>
      </w:r>
      <w:r>
        <w:t xml:space="preserve"> </w:t>
      </w:r>
      <w:r w:rsidRPr="00441918">
        <w:t xml:space="preserve">H. Carr, B. Edgeworth and C. Hunter, </w:t>
      </w:r>
      <w:r>
        <w:t>“</w:t>
      </w:r>
      <w:r w:rsidRPr="00441918">
        <w:t>Introducing Precarisation: Contemporary Understandings of Law and the Insecure Home</w:t>
      </w:r>
      <w:r>
        <w:t>”</w:t>
      </w:r>
      <w:r w:rsidRPr="00441918">
        <w:t xml:space="preserve"> in </w:t>
      </w:r>
      <w:r>
        <w:t xml:space="preserve">H. </w:t>
      </w:r>
      <w:r w:rsidRPr="00441918">
        <w:t xml:space="preserve">Carr, </w:t>
      </w:r>
      <w:r>
        <w:t xml:space="preserve">B. </w:t>
      </w:r>
      <w:r w:rsidRPr="00441918">
        <w:t xml:space="preserve">Edgeworth and </w:t>
      </w:r>
      <w:r>
        <w:t xml:space="preserve">C. </w:t>
      </w:r>
      <w:r w:rsidRPr="00441918">
        <w:t xml:space="preserve">Hunter (eds) </w:t>
      </w:r>
      <w:r w:rsidRPr="00943E3D">
        <w:rPr>
          <w:i/>
        </w:rPr>
        <w:t>Law and the Precarious Home</w:t>
      </w:r>
      <w:r w:rsidRPr="00441918">
        <w:t xml:space="preserve"> (Hart, 2018)</w:t>
      </w:r>
      <w:r>
        <w:t xml:space="preserve">, pp 10-11 and M. McKee, A. Reeves, A. Clair and D. Stuckler, “Living on the edge: precariousness and why it matters for health” (2017) 75 </w:t>
      </w:r>
      <w:r w:rsidRPr="00943E3D">
        <w:rPr>
          <w:i/>
        </w:rPr>
        <w:t>Archives of Public Health</w:t>
      </w:r>
      <w:r>
        <w:t xml:space="preserve"> 1, 2.</w:t>
      </w:r>
    </w:p>
  </w:footnote>
  <w:footnote w:id="170">
    <w:p w14:paraId="098DF75C" w14:textId="58C3E9E2" w:rsidR="00B16CA4" w:rsidRDefault="00B16CA4">
      <w:pPr>
        <w:pStyle w:val="FootnoteText"/>
      </w:pPr>
      <w:r>
        <w:rPr>
          <w:rStyle w:val="FootnoteReference"/>
        </w:rPr>
        <w:footnoteRef/>
      </w:r>
      <w:r>
        <w:t xml:space="preserve"> Ibid Carr, Edgeworth and Hunter.</w:t>
      </w:r>
    </w:p>
  </w:footnote>
  <w:footnote w:id="171">
    <w:p w14:paraId="27EB15BA" w14:textId="28D3297A" w:rsidR="00B16CA4" w:rsidRDefault="00B16CA4">
      <w:pPr>
        <w:pStyle w:val="FootnoteText"/>
      </w:pPr>
      <w:r>
        <w:rPr>
          <w:rStyle w:val="FootnoteReference"/>
        </w:rPr>
        <w:footnoteRef/>
      </w:r>
      <w:r>
        <w:t xml:space="preserve"> S. Blandy, “Precarious Homes: The Sharing Continuum” in H. </w:t>
      </w:r>
      <w:r w:rsidRPr="00441918">
        <w:t xml:space="preserve">Carr, </w:t>
      </w:r>
      <w:r>
        <w:t xml:space="preserve">B. </w:t>
      </w:r>
      <w:r w:rsidRPr="00441918">
        <w:t xml:space="preserve">Edgeworth and </w:t>
      </w:r>
      <w:r>
        <w:t xml:space="preserve">C. </w:t>
      </w:r>
      <w:r w:rsidRPr="00441918">
        <w:t xml:space="preserve">Hunter (eds) </w:t>
      </w:r>
      <w:r w:rsidRPr="00943E3D">
        <w:rPr>
          <w:i/>
        </w:rPr>
        <w:t>Law and the Precarious Home</w:t>
      </w:r>
      <w:r w:rsidRPr="00441918">
        <w:t xml:space="preserve"> (Hart, 2018)</w:t>
      </w:r>
      <w:r>
        <w:t>, p.24.</w:t>
      </w:r>
    </w:p>
  </w:footnote>
  <w:footnote w:id="172">
    <w:p w14:paraId="27B445D0" w14:textId="5EC6D730" w:rsidR="00B16CA4" w:rsidRDefault="00B16CA4">
      <w:pPr>
        <w:pStyle w:val="FootnoteText"/>
      </w:pPr>
      <w:r>
        <w:rPr>
          <w:rStyle w:val="FootnoteReference"/>
        </w:rPr>
        <w:footnoteRef/>
      </w:r>
      <w:r>
        <w:t xml:space="preserve"> C. Hunter and J. Meers, “The ‘Affordable Alternative to Renting’: Property Guardians and Legal Dimensions of Housing Precariousness” in H. </w:t>
      </w:r>
      <w:r w:rsidRPr="00441918">
        <w:t xml:space="preserve">Carr, </w:t>
      </w:r>
      <w:r>
        <w:t xml:space="preserve">B. </w:t>
      </w:r>
      <w:r w:rsidRPr="00441918">
        <w:t xml:space="preserve">Edgeworth and </w:t>
      </w:r>
      <w:r>
        <w:t xml:space="preserve">C. </w:t>
      </w:r>
      <w:r w:rsidRPr="00441918">
        <w:t xml:space="preserve">Hunter (eds) </w:t>
      </w:r>
      <w:r w:rsidRPr="00943E3D">
        <w:rPr>
          <w:i/>
        </w:rPr>
        <w:t>Law and the Precarious Home</w:t>
      </w:r>
      <w:r w:rsidRPr="00441918">
        <w:t xml:space="preserve"> (Hart, 2018)</w:t>
      </w:r>
      <w:r>
        <w:t>, p.71.</w:t>
      </w:r>
    </w:p>
  </w:footnote>
  <w:footnote w:id="173">
    <w:p w14:paraId="024AA920" w14:textId="154D8DE5" w:rsidR="00B16CA4" w:rsidRDefault="00B16CA4">
      <w:pPr>
        <w:pStyle w:val="FootnoteText"/>
      </w:pPr>
      <w:r>
        <w:rPr>
          <w:rStyle w:val="FootnoteReference"/>
        </w:rPr>
        <w:footnoteRef/>
      </w:r>
      <w:r>
        <w:t xml:space="preserve"> Hunter and Meers, p.71.</w:t>
      </w:r>
    </w:p>
  </w:footnote>
  <w:footnote w:id="174">
    <w:p w14:paraId="2899C84C" w14:textId="510AF4A6" w:rsidR="00B16CA4" w:rsidRDefault="00B16CA4">
      <w:pPr>
        <w:pStyle w:val="FootnoteText"/>
      </w:pPr>
      <w:r>
        <w:rPr>
          <w:rStyle w:val="FootnoteReference"/>
        </w:rPr>
        <w:footnoteRef/>
      </w:r>
      <w:r>
        <w:t xml:space="preserve"> </w:t>
      </w:r>
      <w:r w:rsidRPr="003E5E30">
        <w:rPr>
          <w:color w:val="000000"/>
          <w:szCs w:val="24"/>
        </w:rPr>
        <w:t>Resolution 1165 (1998) of the Parliamentary Assembly of the Council of Europe</w:t>
      </w:r>
      <w:r>
        <w:rPr>
          <w:color w:val="000000"/>
          <w:szCs w:val="24"/>
        </w:rPr>
        <w:t>,</w:t>
      </w:r>
      <w:r>
        <w:t xml:space="preserve"> para.11.</w:t>
      </w:r>
    </w:p>
  </w:footnote>
  <w:footnote w:id="175">
    <w:p w14:paraId="269CE79D" w14:textId="28A470D2" w:rsidR="00B16CA4" w:rsidRPr="0037125A" w:rsidRDefault="00B16CA4" w:rsidP="00E50E79">
      <w:pPr>
        <w:pStyle w:val="FootnoteText"/>
      </w:pPr>
      <w:r>
        <w:rPr>
          <w:rStyle w:val="FootnoteReference"/>
        </w:rPr>
        <w:footnoteRef/>
      </w:r>
      <w:r>
        <w:t xml:space="preserve"> </w:t>
      </w:r>
      <w:r w:rsidRPr="005C649A">
        <w:rPr>
          <w:i/>
        </w:rPr>
        <w:t>Aster Communities Ltd</w:t>
      </w:r>
      <w:r>
        <w:rPr>
          <w:i/>
        </w:rPr>
        <w:t xml:space="preserve"> v </w:t>
      </w:r>
      <w:r w:rsidRPr="005C649A">
        <w:rPr>
          <w:i/>
        </w:rPr>
        <w:t xml:space="preserve">Akerman-Livingstone </w:t>
      </w:r>
      <w:r>
        <w:t xml:space="preserve">[2015] UKSC 15; </w:t>
      </w:r>
      <w:r w:rsidRPr="00590AAA">
        <w:t>[2015] A.C. 1399</w:t>
      </w:r>
      <w:r>
        <w:t>.</w:t>
      </w:r>
    </w:p>
  </w:footnote>
  <w:footnote w:id="176">
    <w:p w14:paraId="14B35854" w14:textId="60253511" w:rsidR="00B16CA4" w:rsidRDefault="00B16CA4">
      <w:pPr>
        <w:pStyle w:val="FootnoteText"/>
      </w:pPr>
      <w:r>
        <w:rPr>
          <w:rStyle w:val="FootnoteReference"/>
        </w:rPr>
        <w:footnoteRef/>
      </w:r>
      <w:r>
        <w:t xml:space="preserve"> L. Peroni and A. Timmer, “Vulnerable groups: The promise of an emerging concept in European Human Rights Convention law” (2013) 11 Int. J. of Constitutional Law 1056, 1060.</w:t>
      </w:r>
    </w:p>
  </w:footnote>
  <w:footnote w:id="177">
    <w:p w14:paraId="22704919" w14:textId="4D0156F9" w:rsidR="00165030" w:rsidRDefault="00165030">
      <w:pPr>
        <w:pStyle w:val="FootnoteText"/>
      </w:pPr>
      <w:r>
        <w:rPr>
          <w:rStyle w:val="FootnoteReference"/>
        </w:rPr>
        <w:footnoteRef/>
      </w:r>
      <w:r>
        <w:t xml:space="preserve"> </w:t>
      </w:r>
      <w:r w:rsidR="00A23177">
        <w:t>Housing Act 1980 s.89.</w:t>
      </w:r>
    </w:p>
  </w:footnote>
  <w:footnote w:id="178">
    <w:p w14:paraId="134F97F7" w14:textId="0A89DBD8" w:rsidR="00B16CA4" w:rsidRPr="00430D02" w:rsidRDefault="00B16CA4">
      <w:pPr>
        <w:pStyle w:val="FootnoteText"/>
      </w:pPr>
      <w:r>
        <w:rPr>
          <w:rStyle w:val="FootnoteReference"/>
        </w:rPr>
        <w:footnoteRef/>
      </w:r>
      <w:r>
        <w:t xml:space="preserve"> </w:t>
      </w:r>
      <w:bookmarkStart w:id="20" w:name="_Hlk516821056"/>
      <w:r>
        <w:t xml:space="preserve">L. Fox O’Mahony, </w:t>
      </w:r>
      <w:r>
        <w:rPr>
          <w:i/>
        </w:rPr>
        <w:t>Home Equity and Ageing Owners</w:t>
      </w:r>
      <w:r>
        <w:t xml:space="preserve"> (Hart, 2012), </w:t>
      </w:r>
      <w:bookmarkEnd w:id="20"/>
      <w:r>
        <w:t>p.158.</w:t>
      </w:r>
    </w:p>
  </w:footnote>
  <w:footnote w:id="179">
    <w:p w14:paraId="237CF2AE" w14:textId="0BE19EDB" w:rsidR="00B16CA4" w:rsidRDefault="00B16CA4">
      <w:pPr>
        <w:pStyle w:val="FootnoteText"/>
      </w:pPr>
      <w:r>
        <w:rPr>
          <w:rStyle w:val="FootnoteReference"/>
        </w:rPr>
        <w:footnoteRef/>
      </w:r>
      <w:r>
        <w:t xml:space="preserve"> L. Fox O’Mahony, </w:t>
      </w:r>
      <w:r>
        <w:rPr>
          <w:i/>
        </w:rPr>
        <w:t>Home Equity and Ageing Owners</w:t>
      </w:r>
      <w:r>
        <w:t xml:space="preserve"> (Hart, 2012), p.192.</w:t>
      </w:r>
    </w:p>
  </w:footnote>
  <w:footnote w:id="180">
    <w:p w14:paraId="7452F322" w14:textId="2D439749" w:rsidR="00B16CA4" w:rsidRPr="006F2DAA" w:rsidRDefault="00B16CA4">
      <w:pPr>
        <w:pStyle w:val="FootnoteText"/>
      </w:pPr>
      <w:r>
        <w:rPr>
          <w:rStyle w:val="FootnoteReference"/>
        </w:rPr>
        <w:footnoteRef/>
      </w:r>
      <w:r>
        <w:t xml:space="preserve"> </w:t>
      </w:r>
      <w:r w:rsidRPr="00BA6AD7">
        <w:t xml:space="preserve">Ofgem, </w:t>
      </w:r>
      <w:r>
        <w:rPr>
          <w:i/>
        </w:rPr>
        <w:t xml:space="preserve">Consumer Vulnerability </w:t>
      </w:r>
      <w:r w:rsidRPr="00EE7EBE">
        <w:rPr>
          <w:i/>
        </w:rPr>
        <w:t>Strategy</w:t>
      </w:r>
      <w:r>
        <w:t xml:space="preserve"> 102/13, 4 July 2013, </w:t>
      </w:r>
      <w:r w:rsidRPr="00BA6AD7">
        <w:t>p.12</w:t>
      </w:r>
      <w:r>
        <w:t xml:space="preserve">.  See also National Audit Office, </w:t>
      </w:r>
      <w:r>
        <w:rPr>
          <w:i/>
        </w:rPr>
        <w:t>Vulnerable Consumers in Regulated Industries</w:t>
      </w:r>
      <w:r>
        <w:t xml:space="preserve"> </w:t>
      </w:r>
      <w:r w:rsidRPr="006F2DAA">
        <w:t xml:space="preserve">HC 1061 </w:t>
      </w:r>
      <w:r>
        <w:t>Session</w:t>
      </w:r>
      <w:r w:rsidRPr="006F2DAA">
        <w:t xml:space="preserve"> 2016-17</w:t>
      </w:r>
      <w:r>
        <w:t>,</w:t>
      </w:r>
      <w:r w:rsidRPr="006F2DAA">
        <w:t xml:space="preserve"> 31 </w:t>
      </w:r>
      <w:r>
        <w:t>March</w:t>
      </w:r>
      <w:r w:rsidRPr="006F2DAA">
        <w:t xml:space="preserve"> 2017</w:t>
      </w:r>
      <w:r>
        <w:t>.</w:t>
      </w:r>
    </w:p>
  </w:footnote>
  <w:footnote w:id="181">
    <w:p w14:paraId="045FA595" w14:textId="61AE9A50" w:rsidR="00B16CA4" w:rsidRDefault="00B16CA4">
      <w:pPr>
        <w:pStyle w:val="FootnoteText"/>
      </w:pPr>
      <w:r>
        <w:rPr>
          <w:rStyle w:val="FootnoteReference"/>
        </w:rPr>
        <w:footnoteRef/>
      </w:r>
      <w:r>
        <w:t xml:space="preserve"> </w:t>
      </w:r>
      <w:r w:rsidRPr="00102957">
        <w:rPr>
          <w:i/>
        </w:rPr>
        <w:t>Hotak</w:t>
      </w:r>
      <w:r>
        <w:t xml:space="preserve"> at [53].</w:t>
      </w:r>
    </w:p>
  </w:footnote>
  <w:footnote w:id="182">
    <w:p w14:paraId="4BD85E34" w14:textId="7E200A3A" w:rsidR="00B16CA4" w:rsidRDefault="00B16CA4" w:rsidP="003E5E30">
      <w:pPr>
        <w:pStyle w:val="FootnoteText"/>
      </w:pPr>
      <w:r>
        <w:rPr>
          <w:rStyle w:val="FootnoteReference"/>
        </w:rPr>
        <w:footnoteRef/>
      </w:r>
      <w:r>
        <w:t xml:space="preserve"> </w:t>
      </w:r>
      <w:r w:rsidRPr="0029142E">
        <w:rPr>
          <w:i/>
        </w:rPr>
        <w:t>Campbell v MGN Ltd</w:t>
      </w:r>
      <w:r>
        <w:t xml:space="preserve"> [2004] 2 A.C. 457.</w:t>
      </w:r>
    </w:p>
  </w:footnote>
  <w:footnote w:id="183">
    <w:p w14:paraId="1AABBC34" w14:textId="5ABC1946" w:rsidR="00B16CA4" w:rsidRDefault="00B16CA4">
      <w:pPr>
        <w:pStyle w:val="FootnoteText"/>
      </w:pPr>
      <w:r>
        <w:rPr>
          <w:rStyle w:val="FootnoteReference"/>
        </w:rPr>
        <w:footnoteRef/>
      </w:r>
      <w:r>
        <w:t xml:space="preserve"> </w:t>
      </w:r>
      <w:r w:rsidRPr="00102957">
        <w:rPr>
          <w:i/>
        </w:rPr>
        <w:t>McDonald</w:t>
      </w:r>
      <w:r>
        <w:t xml:space="preserve"> at [46].</w:t>
      </w:r>
    </w:p>
  </w:footnote>
  <w:footnote w:id="184">
    <w:p w14:paraId="2775C448" w14:textId="52C14B75" w:rsidR="00B16CA4" w:rsidRDefault="00B16CA4">
      <w:pPr>
        <w:pStyle w:val="FootnoteText"/>
      </w:pPr>
      <w:r>
        <w:rPr>
          <w:rStyle w:val="FootnoteReference"/>
        </w:rPr>
        <w:footnoteRef/>
      </w:r>
      <w:r>
        <w:t xml:space="preserve"> </w:t>
      </w:r>
      <w:r w:rsidRPr="004F5700">
        <w:rPr>
          <w:i/>
        </w:rPr>
        <w:t>Campbell</w:t>
      </w:r>
      <w:r>
        <w:t xml:space="preserve"> at [113].</w:t>
      </w:r>
    </w:p>
  </w:footnote>
  <w:footnote w:id="185">
    <w:p w14:paraId="0E733415" w14:textId="30E0CE92" w:rsidR="00B16CA4" w:rsidRDefault="00B16CA4">
      <w:pPr>
        <w:pStyle w:val="FootnoteText"/>
      </w:pPr>
      <w:r>
        <w:rPr>
          <w:rStyle w:val="FootnoteReference"/>
        </w:rPr>
        <w:footnoteRef/>
      </w:r>
      <w:r>
        <w:t xml:space="preserve"> A situation considered in </w:t>
      </w:r>
      <w:r w:rsidRPr="00B73ABC">
        <w:rPr>
          <w:i/>
        </w:rPr>
        <w:t>McDonald</w:t>
      </w:r>
      <w:r>
        <w:t xml:space="preserve"> at [41].</w:t>
      </w:r>
    </w:p>
  </w:footnote>
  <w:footnote w:id="186">
    <w:p w14:paraId="5564578F" w14:textId="06960BD7" w:rsidR="00B16CA4" w:rsidRDefault="00B16CA4">
      <w:pPr>
        <w:pStyle w:val="FootnoteText"/>
      </w:pPr>
      <w:r>
        <w:rPr>
          <w:rStyle w:val="FootnoteReference"/>
        </w:rPr>
        <w:footnoteRef/>
      </w:r>
      <w:r>
        <w:t xml:space="preserve"> Equality Act 2010 s.4.</w:t>
      </w:r>
    </w:p>
  </w:footnote>
  <w:footnote w:id="187">
    <w:p w14:paraId="00ACB31E" w14:textId="4550F91E" w:rsidR="00B16CA4" w:rsidRDefault="00B16CA4">
      <w:pPr>
        <w:pStyle w:val="FootnoteText"/>
      </w:pPr>
      <w:r>
        <w:rPr>
          <w:rStyle w:val="FootnoteReference"/>
        </w:rPr>
        <w:footnoteRef/>
      </w:r>
      <w:r>
        <w:t xml:space="preserve"> Deregulation Act 2015 s.33.</w:t>
      </w:r>
    </w:p>
  </w:footnote>
  <w:footnote w:id="188">
    <w:p w14:paraId="2B6CEE95" w14:textId="0DED69ED" w:rsidR="00B16CA4" w:rsidRDefault="00B16CA4">
      <w:pPr>
        <w:pStyle w:val="FootnoteText"/>
      </w:pPr>
      <w:r>
        <w:rPr>
          <w:rStyle w:val="FootnoteReference"/>
        </w:rPr>
        <w:footnoteRef/>
      </w:r>
      <w:r>
        <w:t xml:space="preserve"> P. Anderson, “</w:t>
      </w:r>
      <w:r w:rsidRPr="0081653D">
        <w:t>Sex-for-rent is the hidden danger faced by more and more female tenants</w:t>
      </w:r>
      <w:r>
        <w:t xml:space="preserve">” </w:t>
      </w:r>
      <w:r>
        <w:rPr>
          <w:i/>
        </w:rPr>
        <w:t>The Guardian</w:t>
      </w:r>
      <w:r>
        <w:t xml:space="preserve"> 11 January 2017 available at</w:t>
      </w:r>
      <w:r w:rsidRPr="0081653D">
        <w:t xml:space="preserve"> </w:t>
      </w:r>
      <w:hyperlink r:id="rId5" w:history="1">
        <w:r w:rsidRPr="008F5764">
          <w:rPr>
            <w:rStyle w:val="Hyperlink"/>
          </w:rPr>
          <w:t>https://www.theguardian.com/commentisfree/2017/jan/11/sex-for-rent-female-tenants-predatory-landlords</w:t>
        </w:r>
      </w:hyperlink>
      <w:r>
        <w:t xml:space="preserve"> [accessed 14/6/18].  See also J. Bibby and P. Terry, “</w:t>
      </w:r>
      <w:r w:rsidRPr="0081653D">
        <w:t>The vile exploitation of ‘free rent for sex’ ads</w:t>
      </w:r>
      <w:r>
        <w:t xml:space="preserve">” Shelter blog 12 August 2016 available at </w:t>
      </w:r>
      <w:hyperlink r:id="rId6" w:history="1">
        <w:r w:rsidRPr="008F5764">
          <w:rPr>
            <w:rStyle w:val="Hyperlink"/>
          </w:rPr>
          <w:t>http://blog.shelter.org.uk/2016/08/7172/</w:t>
        </w:r>
      </w:hyperlink>
      <w:r>
        <w:t xml:space="preserve"> [accessed 14/6/18].</w:t>
      </w:r>
    </w:p>
  </w:footnote>
  <w:footnote w:id="189">
    <w:p w14:paraId="2A598F8F" w14:textId="006DD17A" w:rsidR="00B16CA4" w:rsidRDefault="00B16CA4">
      <w:pPr>
        <w:pStyle w:val="FootnoteText"/>
      </w:pPr>
      <w:r>
        <w:rPr>
          <w:rStyle w:val="FootnoteReference"/>
        </w:rPr>
        <w:footnoteRef/>
      </w:r>
      <w:r>
        <w:t xml:space="preserve"> </w:t>
      </w:r>
      <w:r>
        <w:rPr>
          <w:i/>
          <w:color w:val="000000"/>
        </w:rPr>
        <w:t>Manchester CC v Pinnock</w:t>
      </w:r>
      <w:r>
        <w:t xml:space="preserve">; [2011] 2 A.C. 10, </w:t>
      </w:r>
      <w:r>
        <w:rPr>
          <w:i/>
        </w:rPr>
        <w:t>Hounslow LBC v Powell</w:t>
      </w:r>
      <w:r>
        <w:t xml:space="preserve"> [2011] 2 A.C. 186.</w:t>
      </w:r>
    </w:p>
  </w:footnote>
  <w:footnote w:id="190">
    <w:p w14:paraId="79871A5F" w14:textId="2F2F6E17" w:rsidR="00B16CA4" w:rsidRPr="00A4157E" w:rsidRDefault="00B16CA4" w:rsidP="00167005">
      <w:pPr>
        <w:pStyle w:val="FootnoteText"/>
      </w:pPr>
      <w:r>
        <w:rPr>
          <w:rStyle w:val="FootnoteReference"/>
        </w:rPr>
        <w:footnoteRef/>
      </w:r>
      <w:r>
        <w:t xml:space="preserve"> Through the</w:t>
      </w:r>
      <w:r>
        <w:rPr>
          <w:szCs w:val="24"/>
        </w:rPr>
        <w:t xml:space="preserve"> homelessness legislation: </w:t>
      </w:r>
      <w:r>
        <w:t xml:space="preserve">Housing Act 1996 s.189(1)(c) and </w:t>
      </w:r>
      <w:r w:rsidRPr="0096349D">
        <w:rPr>
          <w:bCs/>
        </w:rPr>
        <w:t xml:space="preserve">Homelessness (Priority Need for Accommodation) (England) Order </w:t>
      </w:r>
      <w:r>
        <w:rPr>
          <w:bCs/>
        </w:rPr>
        <w:t xml:space="preserve">2000 (S.I. </w:t>
      </w:r>
      <w:r w:rsidRPr="0096349D">
        <w:rPr>
          <w:bCs/>
        </w:rPr>
        <w:t>2002/2051</w:t>
      </w:r>
      <w:r>
        <w:rPr>
          <w:bCs/>
        </w:rPr>
        <w:t>)</w:t>
      </w:r>
      <w:r w:rsidRPr="0096349D">
        <w:rPr>
          <w:bCs/>
        </w:rPr>
        <w:t xml:space="preserve"> arts 5 and 6</w:t>
      </w:r>
      <w:r>
        <w:rPr>
          <w:bCs/>
        </w:rPr>
        <w:t xml:space="preserve"> and the Equality Act 2010</w:t>
      </w:r>
      <w:r w:rsidRPr="0096349D">
        <w:rPr>
          <w:bCs/>
        </w:rPr>
        <w:t>.</w:t>
      </w:r>
      <w:r>
        <w:rPr>
          <w:bCs/>
        </w:rPr>
        <w:t xml:space="preserve"> See in respect of the latter, the comments of Baroness Hale at [31] in </w:t>
      </w:r>
      <w:r w:rsidRPr="005C649A">
        <w:rPr>
          <w:i/>
        </w:rPr>
        <w:t>Akerman-Livingstone v Aster Communities Ltd</w:t>
      </w:r>
      <w:r>
        <w:rPr>
          <w:i/>
        </w:rPr>
        <w:t xml:space="preserve"> </w:t>
      </w:r>
      <w:r>
        <w:t xml:space="preserve">[2015] UKSC 15; </w:t>
      </w:r>
      <w:r w:rsidRPr="00590AAA">
        <w:t>[2015] A.C. 1399</w:t>
      </w:r>
      <w:r>
        <w:t>.</w:t>
      </w:r>
    </w:p>
  </w:footnote>
  <w:footnote w:id="191">
    <w:p w14:paraId="164FA1FD" w14:textId="0FA871B7" w:rsidR="00B16CA4" w:rsidRDefault="00B16CA4">
      <w:pPr>
        <w:pStyle w:val="FootnoteText"/>
      </w:pPr>
      <w:r>
        <w:rPr>
          <w:rStyle w:val="FootnoteReference"/>
        </w:rPr>
        <w:footnoteRef/>
      </w:r>
      <w:r>
        <w:t xml:space="preserve">  </w:t>
      </w:r>
      <w:r>
        <w:rPr>
          <w:i/>
          <w:szCs w:val="24"/>
        </w:rPr>
        <w:t xml:space="preserve">Bradford Corporation v </w:t>
      </w:r>
      <w:r w:rsidRPr="005F5712">
        <w:rPr>
          <w:i/>
          <w:szCs w:val="24"/>
        </w:rPr>
        <w:t>Pickles</w:t>
      </w:r>
      <w:r>
        <w:t xml:space="preserve"> [1895] A.C. 587 in which a landlord owner was able to maliciously interrupt the water supply to the growing city of Bradford.</w:t>
      </w:r>
    </w:p>
  </w:footnote>
  <w:footnote w:id="192">
    <w:p w14:paraId="080631FE" w14:textId="173926E6" w:rsidR="00B16CA4" w:rsidRDefault="00B16CA4">
      <w:pPr>
        <w:pStyle w:val="FootnoteText"/>
      </w:pPr>
      <w:r>
        <w:rPr>
          <w:rStyle w:val="FootnoteReference"/>
        </w:rPr>
        <w:footnoteRef/>
      </w:r>
      <w:r>
        <w:t xml:space="preserve"> Landlord and Tenant Act 1985 ss 11 and 13.</w:t>
      </w:r>
    </w:p>
  </w:footnote>
  <w:footnote w:id="193">
    <w:p w14:paraId="70B890E5" w14:textId="2F48A198" w:rsidR="00B16CA4" w:rsidRDefault="00B16CA4">
      <w:pPr>
        <w:pStyle w:val="FootnoteText"/>
      </w:pPr>
      <w:r>
        <w:rPr>
          <w:rStyle w:val="FootnoteReference"/>
        </w:rPr>
        <w:footnoteRef/>
      </w:r>
      <w:r>
        <w:t xml:space="preserve"> Introduced by the Housing Act 2004.</w:t>
      </w:r>
    </w:p>
  </w:footnote>
  <w:footnote w:id="194">
    <w:p w14:paraId="4A3908B9" w14:textId="4788E761" w:rsidR="00DA4470" w:rsidRDefault="00DA4470">
      <w:pPr>
        <w:pStyle w:val="FootnoteText"/>
      </w:pPr>
      <w:r>
        <w:rPr>
          <w:rStyle w:val="FootnoteReference"/>
        </w:rPr>
        <w:footnoteRef/>
      </w:r>
      <w:r>
        <w:t xml:space="preserve"> See Unfair Terms in Consumer Contract Regulations 1999 no</w:t>
      </w:r>
      <w:r w:rsidR="005928F4">
        <w:t>w</w:t>
      </w:r>
      <w:r>
        <w:t xml:space="preserve"> found in updated form in </w:t>
      </w:r>
      <w:r>
        <w:rPr>
          <w:szCs w:val="24"/>
        </w:rPr>
        <w:t xml:space="preserve">the Consumer Rights Act 2015 and </w:t>
      </w:r>
      <w:r w:rsidRPr="00AB53C1">
        <w:rPr>
          <w:i/>
          <w:sz w:val="19"/>
          <w:szCs w:val="19"/>
        </w:rPr>
        <w:t>Newham LBC v Khatun &amp; Ors</w:t>
      </w:r>
      <w:r w:rsidRPr="00AB53C1">
        <w:rPr>
          <w:rFonts w:ascii="Arial" w:hAnsi="Arial" w:cs="Arial"/>
          <w:sz w:val="19"/>
          <w:szCs w:val="19"/>
        </w:rPr>
        <w:t xml:space="preserve"> </w:t>
      </w:r>
      <w:r>
        <w:rPr>
          <w:rFonts w:ascii="Arial" w:hAnsi="Arial" w:cs="Arial"/>
          <w:color w:val="666666"/>
          <w:sz w:val="19"/>
          <w:szCs w:val="19"/>
        </w:rPr>
        <w:t>[</w:t>
      </w:r>
      <w:r w:rsidRPr="00DA4470">
        <w:rPr>
          <w:color w:val="666666"/>
        </w:rPr>
        <w:t>2004] EWCA Civ 55.</w:t>
      </w:r>
    </w:p>
  </w:footnote>
  <w:footnote w:id="195">
    <w:p w14:paraId="739BA729" w14:textId="1A930E77" w:rsidR="00B16CA4" w:rsidRDefault="00B16CA4" w:rsidP="005F5712">
      <w:pPr>
        <w:pStyle w:val="FootnoteText"/>
      </w:pPr>
      <w:r>
        <w:rPr>
          <w:rStyle w:val="FootnoteReference"/>
        </w:rPr>
        <w:footnoteRef/>
      </w:r>
      <w:r>
        <w:t xml:space="preserve"> </w:t>
      </w:r>
      <w:r w:rsidRPr="00E716FC">
        <w:t xml:space="preserve">Immigration Act 2014 Pt 3, </w:t>
      </w:r>
      <w:r>
        <w:t>Chp.</w:t>
      </w:r>
      <w:r w:rsidRPr="00E716FC">
        <w:t xml:space="preserve"> 1 and Immigration Act 2016 s</w:t>
      </w:r>
      <w:r>
        <w:t>.</w:t>
      </w:r>
      <w:r w:rsidRPr="00E716FC">
        <w:t>39</w:t>
      </w:r>
      <w:r>
        <w:t>.</w:t>
      </w:r>
    </w:p>
  </w:footnote>
  <w:footnote w:id="196">
    <w:p w14:paraId="3568C768" w14:textId="585BCB90" w:rsidR="00B16CA4" w:rsidRDefault="00B16CA4" w:rsidP="00C24390">
      <w:pPr>
        <w:pStyle w:val="FootnoteText"/>
      </w:pPr>
      <w:r>
        <w:rPr>
          <w:rStyle w:val="FootnoteReference"/>
        </w:rPr>
        <w:footnoteRef/>
      </w:r>
      <w:r>
        <w:t xml:space="preserve"> K. Gray, “Land Law and Human Rights” in L.Tee (ed) </w:t>
      </w:r>
      <w:r w:rsidRPr="001F28A2">
        <w:rPr>
          <w:i/>
          <w:iCs/>
        </w:rPr>
        <w:t xml:space="preserve">Land Law: Issues, Debates, Policy </w:t>
      </w:r>
      <w:r w:rsidRPr="001F28A2">
        <w:t>(Willan Publishing</w:t>
      </w:r>
      <w:r>
        <w:t>,</w:t>
      </w:r>
      <w:r w:rsidRPr="001F28A2">
        <w:t xml:space="preserve"> 2002), </w:t>
      </w:r>
      <w:r>
        <w:t>p.236.</w:t>
      </w:r>
    </w:p>
  </w:footnote>
  <w:footnote w:id="197">
    <w:p w14:paraId="0FB6AFD5" w14:textId="06A4CB88" w:rsidR="00B16CA4" w:rsidRDefault="00B16CA4" w:rsidP="00327566">
      <w:pPr>
        <w:pStyle w:val="FootnoteText"/>
      </w:pPr>
      <w:r>
        <w:rPr>
          <w:rStyle w:val="FootnoteReference"/>
        </w:rPr>
        <w:footnoteRef/>
      </w:r>
      <w:r>
        <w:t xml:space="preserve"> A. Grear, “A tale of the land, the insider, the outsider and human rights (an exploration of some problems and possibilities in the relationship between the English common law property concept, human rights law, and discourses of exclusion and inclusion)” (2003) L.S. 2003, 33. See also R. Walsh, “Stability and predictability in English property law – the impact of article 8 of the European Convention on Human Rights reassessed” (2015) 131 L.Q.R. 585.</w:t>
      </w:r>
    </w:p>
  </w:footnote>
  <w:footnote w:id="198">
    <w:p w14:paraId="6E844A0E" w14:textId="086D5BAF" w:rsidR="00B16CA4" w:rsidRPr="001D217E" w:rsidRDefault="00B16CA4">
      <w:pPr>
        <w:pStyle w:val="FootnoteText"/>
      </w:pPr>
      <w:r>
        <w:rPr>
          <w:rStyle w:val="FootnoteReference"/>
        </w:rPr>
        <w:footnoteRef/>
      </w:r>
      <w:r>
        <w:t xml:space="preserve"> J. Baron</w:t>
      </w:r>
      <w:r w:rsidRPr="001D217E">
        <w:rPr>
          <w:rFonts w:ascii="Verdana" w:hAnsi="Verdana"/>
          <w:sz w:val="15"/>
          <w:szCs w:val="15"/>
        </w:rPr>
        <w:t xml:space="preserve"> </w:t>
      </w:r>
      <w:r>
        <w:t>“</w:t>
      </w:r>
      <w:r w:rsidRPr="001D217E">
        <w:t>The Contested Commitments of Property</w:t>
      </w:r>
      <w:r>
        <w:t>”</w:t>
      </w:r>
      <w:r w:rsidRPr="001D217E">
        <w:t xml:space="preserve"> (2010) 61 Hastings L</w:t>
      </w:r>
      <w:r>
        <w:t>.</w:t>
      </w:r>
      <w:r w:rsidRPr="001D217E">
        <w:t>J</w:t>
      </w:r>
      <w:r>
        <w:t>.</w:t>
      </w:r>
      <w:r w:rsidRPr="001D217E">
        <w:t xml:space="preserve"> 917</w:t>
      </w:r>
      <w:r>
        <w:t>.</w:t>
      </w:r>
    </w:p>
  </w:footnote>
  <w:footnote w:id="199">
    <w:p w14:paraId="18985F2E" w14:textId="39751791" w:rsidR="008E2377" w:rsidRPr="00A25481" w:rsidRDefault="008E2377" w:rsidP="008E2377">
      <w:pPr>
        <w:pStyle w:val="FootnoteText"/>
      </w:pPr>
      <w:r>
        <w:rPr>
          <w:rStyle w:val="FootnoteReference"/>
        </w:rPr>
        <w:footnoteRef/>
      </w:r>
      <w:r>
        <w:t xml:space="preserve"> See generally </w:t>
      </w:r>
      <w:r w:rsidRPr="00621FBB">
        <w:rPr>
          <w:i/>
        </w:rPr>
        <w:t>Life Time Contracts</w:t>
      </w:r>
      <w:r w:rsidR="00621FBB" w:rsidRPr="00621FBB">
        <w:rPr>
          <w:i/>
        </w:rPr>
        <w:t>: Social Long</w:t>
      </w:r>
      <w:r w:rsidR="00621FBB">
        <w:rPr>
          <w:i/>
        </w:rPr>
        <w:t>t</w:t>
      </w:r>
      <w:r w:rsidR="00621FBB" w:rsidRPr="00621FBB">
        <w:rPr>
          <w:i/>
        </w:rPr>
        <w:t>erm Contracts in Labour, Tenancy and Consumer Credit</w:t>
      </w:r>
      <w:r>
        <w:t xml:space="preserve"> L. Nogler &amp; U. Reifnor (ed) </w:t>
      </w:r>
      <w:r w:rsidRPr="002A578F">
        <w:t>Eleven International Publishing</w:t>
      </w:r>
      <w:r>
        <w:t>, 2014 and</w:t>
      </w:r>
      <w:r w:rsidRPr="00A25481">
        <w:rPr>
          <w:b/>
          <w:i/>
        </w:rPr>
        <w:t xml:space="preserve"> </w:t>
      </w:r>
      <w:r w:rsidRPr="00A25481">
        <w:rPr>
          <w:i/>
        </w:rPr>
        <w:t>Embedding the Principles of Life Time Contracts –A Research Agenda for Contract Law</w:t>
      </w:r>
      <w:r>
        <w:rPr>
          <w:b/>
        </w:rPr>
        <w:t xml:space="preserve"> </w:t>
      </w:r>
      <w:r w:rsidRPr="00A25481">
        <w:t>Luca Ratti (ed) Eleven International Publishing</w:t>
      </w:r>
      <w:r>
        <w:t>,</w:t>
      </w:r>
      <w:r w:rsidRPr="00A25481">
        <w:t xml:space="preserve"> 2018</w:t>
      </w:r>
      <w:r>
        <w:t>.</w:t>
      </w:r>
    </w:p>
  </w:footnote>
  <w:footnote w:id="200">
    <w:p w14:paraId="1F1C9046" w14:textId="77777777" w:rsidR="00B16CA4" w:rsidRPr="00520BDC" w:rsidRDefault="00B16CA4" w:rsidP="001D46E6">
      <w:pPr>
        <w:pStyle w:val="FootnoteText"/>
      </w:pPr>
      <w:r w:rsidRPr="00520BDC">
        <w:rPr>
          <w:rStyle w:val="FootnoteReference"/>
        </w:rPr>
        <w:footnoteRef/>
      </w:r>
      <w:r w:rsidRPr="00520BDC">
        <w:t xml:space="preserve"> </w:t>
      </w:r>
      <w:r w:rsidRPr="00520BDC">
        <w:rPr>
          <w:rStyle w:val="st1"/>
        </w:rPr>
        <w:t>The Private Housing (Tenancies) (</w:t>
      </w:r>
      <w:r w:rsidRPr="00520BDC">
        <w:rPr>
          <w:rStyle w:val="Emphasis"/>
          <w:b w:val="0"/>
        </w:rPr>
        <w:t>Scotland</w:t>
      </w:r>
      <w:r w:rsidRPr="00520BDC">
        <w:rPr>
          <w:rStyle w:val="st1"/>
        </w:rPr>
        <w:t>) Act 2016.</w:t>
      </w:r>
    </w:p>
  </w:footnote>
  <w:footnote w:id="201">
    <w:p w14:paraId="06664592" w14:textId="54653FFF" w:rsidR="00B16CA4" w:rsidRPr="006D7E24" w:rsidRDefault="00B16CA4" w:rsidP="006D1C0E">
      <w:pPr>
        <w:pStyle w:val="FootnoteText"/>
      </w:pPr>
      <w:r>
        <w:rPr>
          <w:rStyle w:val="FootnoteReference"/>
        </w:rPr>
        <w:footnoteRef/>
      </w:r>
      <w:r>
        <w:t xml:space="preserve"> Some have speculated on the possible impact of s.21’s abolition; see G. Peaker, “Cat Amongst the Pigeons” Nearly Legal (2017) available at </w:t>
      </w:r>
      <w:hyperlink r:id="rId7" w:history="1">
        <w:r w:rsidRPr="00BE3EB2">
          <w:rPr>
            <w:rStyle w:val="Hyperlink"/>
          </w:rPr>
          <w:t>https://nearlylegal.co.uk/2017/12/cat-amongst-pigeons/</w:t>
        </w:r>
      </w:hyperlink>
      <w:r>
        <w:t xml:space="preserve"> [accessed 31/</w:t>
      </w:r>
      <w:r>
        <w:rPr>
          <w:vertAlign w:val="superscript"/>
        </w:rPr>
        <w:t xml:space="preserve"> </w:t>
      </w:r>
      <w:r>
        <w:t>12/17] and in Scotland there are no dire warnings to landlords and their financiers; see Brodies LLP,  “</w:t>
      </w:r>
      <w:r w:rsidRPr="006D7E24">
        <w:t>Lender appetite following new rules on private tenancies in Scotl</w:t>
      </w:r>
      <w:r>
        <w:rPr>
          <w:sz w:val="18"/>
          <w:szCs w:val="18"/>
        </w:rPr>
        <w:t xml:space="preserve">and” (2017) </w:t>
      </w:r>
      <w:r w:rsidRPr="006D7E24">
        <w:t xml:space="preserve">Lexology available at  </w:t>
      </w:r>
      <w:hyperlink r:id="rId8" w:history="1">
        <w:r w:rsidRPr="006D7E24">
          <w:rPr>
            <w:rStyle w:val="Hyperlink"/>
          </w:rPr>
          <w:t>https://www.lexology.com/library/detail.aspx?g=46f0e5ce-37f7-4625-9c6f-5ffb51fc003b</w:t>
        </w:r>
      </w:hyperlink>
      <w:r w:rsidRPr="006D7E24">
        <w:t xml:space="preserve"> </w:t>
      </w:r>
      <w:r>
        <w:t xml:space="preserve">[accessed </w:t>
      </w:r>
      <w:r w:rsidRPr="006D7E24">
        <w:t>3</w:t>
      </w:r>
      <w:r>
        <w:t>1/12/17]</w:t>
      </w:r>
      <w:r w:rsidRPr="006D7E2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A04"/>
    <w:multiLevelType w:val="hybridMultilevel"/>
    <w:tmpl w:val="975C0A8A"/>
    <w:lvl w:ilvl="0" w:tplc="91FE472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70C36C7"/>
    <w:multiLevelType w:val="hybridMultilevel"/>
    <w:tmpl w:val="0C5C6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7B1CEE"/>
    <w:multiLevelType w:val="hybridMultilevel"/>
    <w:tmpl w:val="80547F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D058C"/>
    <w:multiLevelType w:val="hybridMultilevel"/>
    <w:tmpl w:val="3530EE48"/>
    <w:lvl w:ilvl="0" w:tplc="B8146B28">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2C"/>
    <w:rsid w:val="000008D4"/>
    <w:rsid w:val="00000900"/>
    <w:rsid w:val="0000167D"/>
    <w:rsid w:val="0000196F"/>
    <w:rsid w:val="00001F85"/>
    <w:rsid w:val="00002CF4"/>
    <w:rsid w:val="0000346B"/>
    <w:rsid w:val="00003B6F"/>
    <w:rsid w:val="00003B84"/>
    <w:rsid w:val="00004E07"/>
    <w:rsid w:val="00006255"/>
    <w:rsid w:val="0000694D"/>
    <w:rsid w:val="00006BD1"/>
    <w:rsid w:val="000077A1"/>
    <w:rsid w:val="00007925"/>
    <w:rsid w:val="00007D6C"/>
    <w:rsid w:val="0001105C"/>
    <w:rsid w:val="00011D1F"/>
    <w:rsid w:val="00012762"/>
    <w:rsid w:val="00012D1D"/>
    <w:rsid w:val="000136DC"/>
    <w:rsid w:val="00013A8D"/>
    <w:rsid w:val="0001518B"/>
    <w:rsid w:val="000154DC"/>
    <w:rsid w:val="00015816"/>
    <w:rsid w:val="00015A0C"/>
    <w:rsid w:val="000178D0"/>
    <w:rsid w:val="00017D2F"/>
    <w:rsid w:val="00021043"/>
    <w:rsid w:val="000210BC"/>
    <w:rsid w:val="0002206C"/>
    <w:rsid w:val="00022F4D"/>
    <w:rsid w:val="00023B60"/>
    <w:rsid w:val="000249DE"/>
    <w:rsid w:val="00024FE8"/>
    <w:rsid w:val="00025956"/>
    <w:rsid w:val="00025F5A"/>
    <w:rsid w:val="0002602E"/>
    <w:rsid w:val="0002659D"/>
    <w:rsid w:val="00026706"/>
    <w:rsid w:val="00026861"/>
    <w:rsid w:val="00026871"/>
    <w:rsid w:val="000270D7"/>
    <w:rsid w:val="000273F9"/>
    <w:rsid w:val="00027E4B"/>
    <w:rsid w:val="0003083A"/>
    <w:rsid w:val="00030B39"/>
    <w:rsid w:val="0003162E"/>
    <w:rsid w:val="00031EEC"/>
    <w:rsid w:val="000340C3"/>
    <w:rsid w:val="00035D9C"/>
    <w:rsid w:val="00036E3A"/>
    <w:rsid w:val="0003764B"/>
    <w:rsid w:val="00037EC5"/>
    <w:rsid w:val="000413BA"/>
    <w:rsid w:val="00041571"/>
    <w:rsid w:val="0004212E"/>
    <w:rsid w:val="00042686"/>
    <w:rsid w:val="0004348C"/>
    <w:rsid w:val="00045111"/>
    <w:rsid w:val="00045828"/>
    <w:rsid w:val="00045A91"/>
    <w:rsid w:val="000466C7"/>
    <w:rsid w:val="00047C72"/>
    <w:rsid w:val="00047D3F"/>
    <w:rsid w:val="00052698"/>
    <w:rsid w:val="00052837"/>
    <w:rsid w:val="00052AA0"/>
    <w:rsid w:val="00053129"/>
    <w:rsid w:val="00053820"/>
    <w:rsid w:val="0005431D"/>
    <w:rsid w:val="00054547"/>
    <w:rsid w:val="00054C77"/>
    <w:rsid w:val="00056507"/>
    <w:rsid w:val="00056FBD"/>
    <w:rsid w:val="00057373"/>
    <w:rsid w:val="00057A81"/>
    <w:rsid w:val="00057B47"/>
    <w:rsid w:val="00057E1B"/>
    <w:rsid w:val="000613CE"/>
    <w:rsid w:val="00061E33"/>
    <w:rsid w:val="00062332"/>
    <w:rsid w:val="000625B3"/>
    <w:rsid w:val="00063E6A"/>
    <w:rsid w:val="00064215"/>
    <w:rsid w:val="00064689"/>
    <w:rsid w:val="00064C67"/>
    <w:rsid w:val="00066E0E"/>
    <w:rsid w:val="000676C0"/>
    <w:rsid w:val="000701F0"/>
    <w:rsid w:val="00070391"/>
    <w:rsid w:val="000704CD"/>
    <w:rsid w:val="000715B4"/>
    <w:rsid w:val="00071EA5"/>
    <w:rsid w:val="0007250F"/>
    <w:rsid w:val="000738C9"/>
    <w:rsid w:val="00074C5C"/>
    <w:rsid w:val="0007561E"/>
    <w:rsid w:val="00076091"/>
    <w:rsid w:val="00081652"/>
    <w:rsid w:val="00083EDF"/>
    <w:rsid w:val="000854CD"/>
    <w:rsid w:val="000855BF"/>
    <w:rsid w:val="000871E6"/>
    <w:rsid w:val="0008740D"/>
    <w:rsid w:val="00087900"/>
    <w:rsid w:val="00090F70"/>
    <w:rsid w:val="00091342"/>
    <w:rsid w:val="0009176D"/>
    <w:rsid w:val="00091B16"/>
    <w:rsid w:val="000920ED"/>
    <w:rsid w:val="00095244"/>
    <w:rsid w:val="0009541B"/>
    <w:rsid w:val="00097C7C"/>
    <w:rsid w:val="00097FCE"/>
    <w:rsid w:val="000A078B"/>
    <w:rsid w:val="000A17DF"/>
    <w:rsid w:val="000A1E37"/>
    <w:rsid w:val="000A2386"/>
    <w:rsid w:val="000A3B4F"/>
    <w:rsid w:val="000A4257"/>
    <w:rsid w:val="000A4327"/>
    <w:rsid w:val="000A48CD"/>
    <w:rsid w:val="000A581F"/>
    <w:rsid w:val="000A613F"/>
    <w:rsid w:val="000A6B2B"/>
    <w:rsid w:val="000B117E"/>
    <w:rsid w:val="000B1E0E"/>
    <w:rsid w:val="000B1F57"/>
    <w:rsid w:val="000B25A5"/>
    <w:rsid w:val="000B27F7"/>
    <w:rsid w:val="000B364C"/>
    <w:rsid w:val="000B4124"/>
    <w:rsid w:val="000B7248"/>
    <w:rsid w:val="000C0B91"/>
    <w:rsid w:val="000C0E7C"/>
    <w:rsid w:val="000C2F1E"/>
    <w:rsid w:val="000C34BF"/>
    <w:rsid w:val="000C3DB5"/>
    <w:rsid w:val="000C3F1B"/>
    <w:rsid w:val="000C424D"/>
    <w:rsid w:val="000C479F"/>
    <w:rsid w:val="000C4BB7"/>
    <w:rsid w:val="000C4BC6"/>
    <w:rsid w:val="000C4D9B"/>
    <w:rsid w:val="000C51D7"/>
    <w:rsid w:val="000C64C7"/>
    <w:rsid w:val="000C6728"/>
    <w:rsid w:val="000C7008"/>
    <w:rsid w:val="000D0BF1"/>
    <w:rsid w:val="000D30E8"/>
    <w:rsid w:val="000D508E"/>
    <w:rsid w:val="000D5569"/>
    <w:rsid w:val="000D675C"/>
    <w:rsid w:val="000D68B1"/>
    <w:rsid w:val="000D69F5"/>
    <w:rsid w:val="000D721C"/>
    <w:rsid w:val="000E153E"/>
    <w:rsid w:val="000E1971"/>
    <w:rsid w:val="000E2ECA"/>
    <w:rsid w:val="000E37A0"/>
    <w:rsid w:val="000E3D7B"/>
    <w:rsid w:val="000E3F0B"/>
    <w:rsid w:val="000E547E"/>
    <w:rsid w:val="000E5526"/>
    <w:rsid w:val="000E60DF"/>
    <w:rsid w:val="000F0CAF"/>
    <w:rsid w:val="000F0E61"/>
    <w:rsid w:val="000F1072"/>
    <w:rsid w:val="000F2376"/>
    <w:rsid w:val="000F2A1D"/>
    <w:rsid w:val="000F2CD0"/>
    <w:rsid w:val="000F3954"/>
    <w:rsid w:val="000F3CF1"/>
    <w:rsid w:val="000F4774"/>
    <w:rsid w:val="000F5951"/>
    <w:rsid w:val="000F5B02"/>
    <w:rsid w:val="000F603B"/>
    <w:rsid w:val="000F634D"/>
    <w:rsid w:val="000F6ACA"/>
    <w:rsid w:val="000F6DAC"/>
    <w:rsid w:val="00100152"/>
    <w:rsid w:val="0010030A"/>
    <w:rsid w:val="0010061B"/>
    <w:rsid w:val="0010074B"/>
    <w:rsid w:val="001015CE"/>
    <w:rsid w:val="00102045"/>
    <w:rsid w:val="0010242D"/>
    <w:rsid w:val="00102957"/>
    <w:rsid w:val="0010369F"/>
    <w:rsid w:val="001059A8"/>
    <w:rsid w:val="00106250"/>
    <w:rsid w:val="0010655A"/>
    <w:rsid w:val="00106D77"/>
    <w:rsid w:val="00106EDE"/>
    <w:rsid w:val="00107DE8"/>
    <w:rsid w:val="001106BF"/>
    <w:rsid w:val="00111A39"/>
    <w:rsid w:val="00112DF9"/>
    <w:rsid w:val="001140BF"/>
    <w:rsid w:val="0011436E"/>
    <w:rsid w:val="00114DC8"/>
    <w:rsid w:val="00117854"/>
    <w:rsid w:val="00117CD4"/>
    <w:rsid w:val="00117F51"/>
    <w:rsid w:val="00121F9A"/>
    <w:rsid w:val="00122B9B"/>
    <w:rsid w:val="00123DB7"/>
    <w:rsid w:val="0012420A"/>
    <w:rsid w:val="00124D46"/>
    <w:rsid w:val="00125910"/>
    <w:rsid w:val="001272EB"/>
    <w:rsid w:val="00127F50"/>
    <w:rsid w:val="001314D6"/>
    <w:rsid w:val="00131A80"/>
    <w:rsid w:val="00133D64"/>
    <w:rsid w:val="00134471"/>
    <w:rsid w:val="001344D7"/>
    <w:rsid w:val="001347D8"/>
    <w:rsid w:val="00134A4C"/>
    <w:rsid w:val="001354FD"/>
    <w:rsid w:val="0013628C"/>
    <w:rsid w:val="001374B8"/>
    <w:rsid w:val="001400F2"/>
    <w:rsid w:val="001403F1"/>
    <w:rsid w:val="00140F70"/>
    <w:rsid w:val="0014109A"/>
    <w:rsid w:val="00141F73"/>
    <w:rsid w:val="001427E4"/>
    <w:rsid w:val="00142D4A"/>
    <w:rsid w:val="00142E5A"/>
    <w:rsid w:val="00144375"/>
    <w:rsid w:val="0014500F"/>
    <w:rsid w:val="00145730"/>
    <w:rsid w:val="001462A3"/>
    <w:rsid w:val="0014675A"/>
    <w:rsid w:val="00147304"/>
    <w:rsid w:val="001501D1"/>
    <w:rsid w:val="001517B9"/>
    <w:rsid w:val="00155076"/>
    <w:rsid w:val="001600B3"/>
    <w:rsid w:val="001610BF"/>
    <w:rsid w:val="001642E2"/>
    <w:rsid w:val="001649C6"/>
    <w:rsid w:val="00164E8F"/>
    <w:rsid w:val="00165030"/>
    <w:rsid w:val="0016526E"/>
    <w:rsid w:val="00165AA6"/>
    <w:rsid w:val="001661EA"/>
    <w:rsid w:val="00166228"/>
    <w:rsid w:val="0016694E"/>
    <w:rsid w:val="0016697F"/>
    <w:rsid w:val="00166F22"/>
    <w:rsid w:val="00167005"/>
    <w:rsid w:val="00167577"/>
    <w:rsid w:val="00170DE0"/>
    <w:rsid w:val="00171E56"/>
    <w:rsid w:val="001729E1"/>
    <w:rsid w:val="00173229"/>
    <w:rsid w:val="0017501E"/>
    <w:rsid w:val="001756AF"/>
    <w:rsid w:val="00180117"/>
    <w:rsid w:val="00180231"/>
    <w:rsid w:val="001806FD"/>
    <w:rsid w:val="00181744"/>
    <w:rsid w:val="00181803"/>
    <w:rsid w:val="0018188B"/>
    <w:rsid w:val="0018293A"/>
    <w:rsid w:val="001857DF"/>
    <w:rsid w:val="00185B5E"/>
    <w:rsid w:val="00185CFD"/>
    <w:rsid w:val="00186659"/>
    <w:rsid w:val="00190879"/>
    <w:rsid w:val="00191589"/>
    <w:rsid w:val="00194100"/>
    <w:rsid w:val="00194766"/>
    <w:rsid w:val="00194805"/>
    <w:rsid w:val="00195A6A"/>
    <w:rsid w:val="00195C74"/>
    <w:rsid w:val="001971CF"/>
    <w:rsid w:val="00197CD3"/>
    <w:rsid w:val="00197E5C"/>
    <w:rsid w:val="00197FD5"/>
    <w:rsid w:val="001A04E8"/>
    <w:rsid w:val="001A0953"/>
    <w:rsid w:val="001A0C2C"/>
    <w:rsid w:val="001A0D80"/>
    <w:rsid w:val="001A1238"/>
    <w:rsid w:val="001A1491"/>
    <w:rsid w:val="001A2391"/>
    <w:rsid w:val="001A33C9"/>
    <w:rsid w:val="001A4102"/>
    <w:rsid w:val="001A48FE"/>
    <w:rsid w:val="001A496A"/>
    <w:rsid w:val="001A61B0"/>
    <w:rsid w:val="001A6207"/>
    <w:rsid w:val="001A79E4"/>
    <w:rsid w:val="001B0EB6"/>
    <w:rsid w:val="001B1E9B"/>
    <w:rsid w:val="001B21D4"/>
    <w:rsid w:val="001B2291"/>
    <w:rsid w:val="001B24B9"/>
    <w:rsid w:val="001B3B28"/>
    <w:rsid w:val="001B5B28"/>
    <w:rsid w:val="001B60CF"/>
    <w:rsid w:val="001C1E6B"/>
    <w:rsid w:val="001C317A"/>
    <w:rsid w:val="001C3504"/>
    <w:rsid w:val="001C3ACF"/>
    <w:rsid w:val="001C4BF0"/>
    <w:rsid w:val="001C4D47"/>
    <w:rsid w:val="001C5B36"/>
    <w:rsid w:val="001C5F46"/>
    <w:rsid w:val="001C6CEF"/>
    <w:rsid w:val="001C7933"/>
    <w:rsid w:val="001D065B"/>
    <w:rsid w:val="001D217E"/>
    <w:rsid w:val="001D2AF4"/>
    <w:rsid w:val="001D3B0C"/>
    <w:rsid w:val="001D41D9"/>
    <w:rsid w:val="001D46E6"/>
    <w:rsid w:val="001D6ABF"/>
    <w:rsid w:val="001E1708"/>
    <w:rsid w:val="001E2CAC"/>
    <w:rsid w:val="001E2F5F"/>
    <w:rsid w:val="001E3C17"/>
    <w:rsid w:val="001E4F55"/>
    <w:rsid w:val="001E5ACE"/>
    <w:rsid w:val="001E5C69"/>
    <w:rsid w:val="001E6B95"/>
    <w:rsid w:val="001E7227"/>
    <w:rsid w:val="001F0435"/>
    <w:rsid w:val="001F0964"/>
    <w:rsid w:val="001F0C5B"/>
    <w:rsid w:val="001F1907"/>
    <w:rsid w:val="001F214B"/>
    <w:rsid w:val="001F28A2"/>
    <w:rsid w:val="001F2D9D"/>
    <w:rsid w:val="001F3386"/>
    <w:rsid w:val="001F5B95"/>
    <w:rsid w:val="001F5E37"/>
    <w:rsid w:val="001F72C1"/>
    <w:rsid w:val="001F7598"/>
    <w:rsid w:val="00200124"/>
    <w:rsid w:val="00200BDF"/>
    <w:rsid w:val="00200D7C"/>
    <w:rsid w:val="002010C2"/>
    <w:rsid w:val="00201757"/>
    <w:rsid w:val="00202725"/>
    <w:rsid w:val="00202FE7"/>
    <w:rsid w:val="00203759"/>
    <w:rsid w:val="002039A4"/>
    <w:rsid w:val="00204632"/>
    <w:rsid w:val="00205739"/>
    <w:rsid w:val="00205A6F"/>
    <w:rsid w:val="00207F4D"/>
    <w:rsid w:val="00210EF1"/>
    <w:rsid w:val="0021155E"/>
    <w:rsid w:val="002133B8"/>
    <w:rsid w:val="0021406A"/>
    <w:rsid w:val="0021459E"/>
    <w:rsid w:val="002145C9"/>
    <w:rsid w:val="0021553D"/>
    <w:rsid w:val="00215D39"/>
    <w:rsid w:val="00217F78"/>
    <w:rsid w:val="00220B89"/>
    <w:rsid w:val="00220DF0"/>
    <w:rsid w:val="002210AF"/>
    <w:rsid w:val="0022174F"/>
    <w:rsid w:val="00222D52"/>
    <w:rsid w:val="00223256"/>
    <w:rsid w:val="0022354E"/>
    <w:rsid w:val="00223A05"/>
    <w:rsid w:val="00224903"/>
    <w:rsid w:val="00225FA9"/>
    <w:rsid w:val="0022606A"/>
    <w:rsid w:val="00230599"/>
    <w:rsid w:val="002305D0"/>
    <w:rsid w:val="002322B5"/>
    <w:rsid w:val="00232649"/>
    <w:rsid w:val="00232DDA"/>
    <w:rsid w:val="00233EF2"/>
    <w:rsid w:val="00234379"/>
    <w:rsid w:val="00234F4D"/>
    <w:rsid w:val="002361AD"/>
    <w:rsid w:val="00236FA0"/>
    <w:rsid w:val="00237228"/>
    <w:rsid w:val="002405ED"/>
    <w:rsid w:val="00240AA0"/>
    <w:rsid w:val="0024100E"/>
    <w:rsid w:val="002419F0"/>
    <w:rsid w:val="0024334A"/>
    <w:rsid w:val="00243682"/>
    <w:rsid w:val="002437EA"/>
    <w:rsid w:val="002446C1"/>
    <w:rsid w:val="00244B48"/>
    <w:rsid w:val="00250562"/>
    <w:rsid w:val="002515D0"/>
    <w:rsid w:val="002519C4"/>
    <w:rsid w:val="0025236B"/>
    <w:rsid w:val="00252BEB"/>
    <w:rsid w:val="002530B6"/>
    <w:rsid w:val="00253E27"/>
    <w:rsid w:val="0025408E"/>
    <w:rsid w:val="00254A0A"/>
    <w:rsid w:val="00254C4C"/>
    <w:rsid w:val="00256A93"/>
    <w:rsid w:val="002575E7"/>
    <w:rsid w:val="0025775F"/>
    <w:rsid w:val="00260E00"/>
    <w:rsid w:val="0026156C"/>
    <w:rsid w:val="002617DA"/>
    <w:rsid w:val="002618F5"/>
    <w:rsid w:val="00261E3C"/>
    <w:rsid w:val="002648DD"/>
    <w:rsid w:val="00264939"/>
    <w:rsid w:val="002650CD"/>
    <w:rsid w:val="00265411"/>
    <w:rsid w:val="00265988"/>
    <w:rsid w:val="00265B4B"/>
    <w:rsid w:val="00265E8F"/>
    <w:rsid w:val="002679A8"/>
    <w:rsid w:val="00270B42"/>
    <w:rsid w:val="00270BE5"/>
    <w:rsid w:val="00273B29"/>
    <w:rsid w:val="002742C1"/>
    <w:rsid w:val="0027504D"/>
    <w:rsid w:val="00275541"/>
    <w:rsid w:val="002756E9"/>
    <w:rsid w:val="002760D9"/>
    <w:rsid w:val="002764B9"/>
    <w:rsid w:val="002768D7"/>
    <w:rsid w:val="00277706"/>
    <w:rsid w:val="00277EF5"/>
    <w:rsid w:val="00280C71"/>
    <w:rsid w:val="0028157C"/>
    <w:rsid w:val="00281C55"/>
    <w:rsid w:val="00282CED"/>
    <w:rsid w:val="002866C2"/>
    <w:rsid w:val="00286BBC"/>
    <w:rsid w:val="00287221"/>
    <w:rsid w:val="002901FA"/>
    <w:rsid w:val="002909BA"/>
    <w:rsid w:val="0029140E"/>
    <w:rsid w:val="0029142E"/>
    <w:rsid w:val="00291D06"/>
    <w:rsid w:val="002930E8"/>
    <w:rsid w:val="00293F1F"/>
    <w:rsid w:val="00294347"/>
    <w:rsid w:val="002951E6"/>
    <w:rsid w:val="002955EE"/>
    <w:rsid w:val="002961B9"/>
    <w:rsid w:val="00296754"/>
    <w:rsid w:val="002968EC"/>
    <w:rsid w:val="00296C95"/>
    <w:rsid w:val="00297692"/>
    <w:rsid w:val="002A0552"/>
    <w:rsid w:val="002A0CDB"/>
    <w:rsid w:val="002A1576"/>
    <w:rsid w:val="002A293D"/>
    <w:rsid w:val="002A3007"/>
    <w:rsid w:val="002A5D72"/>
    <w:rsid w:val="002A6CD4"/>
    <w:rsid w:val="002A6D82"/>
    <w:rsid w:val="002A79DA"/>
    <w:rsid w:val="002B086A"/>
    <w:rsid w:val="002B0C8A"/>
    <w:rsid w:val="002B10FA"/>
    <w:rsid w:val="002B1278"/>
    <w:rsid w:val="002B1F10"/>
    <w:rsid w:val="002B380B"/>
    <w:rsid w:val="002B39D5"/>
    <w:rsid w:val="002B3B50"/>
    <w:rsid w:val="002B4878"/>
    <w:rsid w:val="002B4ACA"/>
    <w:rsid w:val="002B51C0"/>
    <w:rsid w:val="002B56E2"/>
    <w:rsid w:val="002B5ED8"/>
    <w:rsid w:val="002B6185"/>
    <w:rsid w:val="002B6297"/>
    <w:rsid w:val="002B631C"/>
    <w:rsid w:val="002C0822"/>
    <w:rsid w:val="002C1DC1"/>
    <w:rsid w:val="002C1E84"/>
    <w:rsid w:val="002C2CB7"/>
    <w:rsid w:val="002C2D79"/>
    <w:rsid w:val="002C5025"/>
    <w:rsid w:val="002C6534"/>
    <w:rsid w:val="002C68EB"/>
    <w:rsid w:val="002D07D7"/>
    <w:rsid w:val="002D09F7"/>
    <w:rsid w:val="002D0BBC"/>
    <w:rsid w:val="002D2ABA"/>
    <w:rsid w:val="002D3158"/>
    <w:rsid w:val="002D3ECF"/>
    <w:rsid w:val="002D435B"/>
    <w:rsid w:val="002D5CB5"/>
    <w:rsid w:val="002D62F1"/>
    <w:rsid w:val="002D67D6"/>
    <w:rsid w:val="002E21EB"/>
    <w:rsid w:val="002E2422"/>
    <w:rsid w:val="002E25D3"/>
    <w:rsid w:val="002E3780"/>
    <w:rsid w:val="002E3B51"/>
    <w:rsid w:val="002E4E11"/>
    <w:rsid w:val="002E714E"/>
    <w:rsid w:val="002E746A"/>
    <w:rsid w:val="002E7588"/>
    <w:rsid w:val="002E76B8"/>
    <w:rsid w:val="002F0E33"/>
    <w:rsid w:val="002F11F2"/>
    <w:rsid w:val="002F1590"/>
    <w:rsid w:val="002F1665"/>
    <w:rsid w:val="002F2005"/>
    <w:rsid w:val="002F2063"/>
    <w:rsid w:val="002F427A"/>
    <w:rsid w:val="002F48B0"/>
    <w:rsid w:val="002F5A14"/>
    <w:rsid w:val="002F5A26"/>
    <w:rsid w:val="002F6043"/>
    <w:rsid w:val="002F747A"/>
    <w:rsid w:val="003001A3"/>
    <w:rsid w:val="00300D17"/>
    <w:rsid w:val="003022B7"/>
    <w:rsid w:val="003029E1"/>
    <w:rsid w:val="00306779"/>
    <w:rsid w:val="003070A1"/>
    <w:rsid w:val="00307964"/>
    <w:rsid w:val="00307F83"/>
    <w:rsid w:val="003108B8"/>
    <w:rsid w:val="00311014"/>
    <w:rsid w:val="003110D4"/>
    <w:rsid w:val="00312301"/>
    <w:rsid w:val="00312E67"/>
    <w:rsid w:val="00312EEA"/>
    <w:rsid w:val="00313123"/>
    <w:rsid w:val="003131AD"/>
    <w:rsid w:val="00313755"/>
    <w:rsid w:val="003158FD"/>
    <w:rsid w:val="00316D18"/>
    <w:rsid w:val="0031759D"/>
    <w:rsid w:val="0031796C"/>
    <w:rsid w:val="00317DE9"/>
    <w:rsid w:val="003213EE"/>
    <w:rsid w:val="00321619"/>
    <w:rsid w:val="003219C4"/>
    <w:rsid w:val="00321D35"/>
    <w:rsid w:val="003221CD"/>
    <w:rsid w:val="003222CD"/>
    <w:rsid w:val="00322522"/>
    <w:rsid w:val="00322EA8"/>
    <w:rsid w:val="003233B0"/>
    <w:rsid w:val="003248A9"/>
    <w:rsid w:val="003251DB"/>
    <w:rsid w:val="0032622C"/>
    <w:rsid w:val="003266CA"/>
    <w:rsid w:val="00327566"/>
    <w:rsid w:val="00327A0C"/>
    <w:rsid w:val="00327E6F"/>
    <w:rsid w:val="0033155F"/>
    <w:rsid w:val="003317CA"/>
    <w:rsid w:val="00331ECE"/>
    <w:rsid w:val="00332562"/>
    <w:rsid w:val="003339D8"/>
    <w:rsid w:val="00336E3D"/>
    <w:rsid w:val="003373F2"/>
    <w:rsid w:val="0033793B"/>
    <w:rsid w:val="00337D9A"/>
    <w:rsid w:val="00340102"/>
    <w:rsid w:val="00340943"/>
    <w:rsid w:val="00341886"/>
    <w:rsid w:val="003428BA"/>
    <w:rsid w:val="003428C3"/>
    <w:rsid w:val="00342A9C"/>
    <w:rsid w:val="003437D5"/>
    <w:rsid w:val="00344D72"/>
    <w:rsid w:val="00344E0F"/>
    <w:rsid w:val="00344E98"/>
    <w:rsid w:val="00345F5E"/>
    <w:rsid w:val="003464F7"/>
    <w:rsid w:val="00346528"/>
    <w:rsid w:val="003507D5"/>
    <w:rsid w:val="00350BB1"/>
    <w:rsid w:val="003513E8"/>
    <w:rsid w:val="003514E6"/>
    <w:rsid w:val="00353709"/>
    <w:rsid w:val="003543BD"/>
    <w:rsid w:val="00355523"/>
    <w:rsid w:val="00356744"/>
    <w:rsid w:val="00360018"/>
    <w:rsid w:val="00360169"/>
    <w:rsid w:val="003605CD"/>
    <w:rsid w:val="0036143D"/>
    <w:rsid w:val="00363736"/>
    <w:rsid w:val="00363FBE"/>
    <w:rsid w:val="003666C4"/>
    <w:rsid w:val="00367A78"/>
    <w:rsid w:val="003711FE"/>
    <w:rsid w:val="00372C61"/>
    <w:rsid w:val="00372D62"/>
    <w:rsid w:val="00372E2C"/>
    <w:rsid w:val="00373D22"/>
    <w:rsid w:val="00373F83"/>
    <w:rsid w:val="00375510"/>
    <w:rsid w:val="003755C8"/>
    <w:rsid w:val="00375A93"/>
    <w:rsid w:val="00376EF3"/>
    <w:rsid w:val="00380760"/>
    <w:rsid w:val="00380C5B"/>
    <w:rsid w:val="00381748"/>
    <w:rsid w:val="00381830"/>
    <w:rsid w:val="0038364B"/>
    <w:rsid w:val="003845D5"/>
    <w:rsid w:val="00384BE8"/>
    <w:rsid w:val="003859EF"/>
    <w:rsid w:val="0038687A"/>
    <w:rsid w:val="00387A06"/>
    <w:rsid w:val="00390B57"/>
    <w:rsid w:val="00391395"/>
    <w:rsid w:val="00392C62"/>
    <w:rsid w:val="00394BCC"/>
    <w:rsid w:val="00394E35"/>
    <w:rsid w:val="00396164"/>
    <w:rsid w:val="003A0F9A"/>
    <w:rsid w:val="003A2B0C"/>
    <w:rsid w:val="003A2F62"/>
    <w:rsid w:val="003A3C0C"/>
    <w:rsid w:val="003A46B8"/>
    <w:rsid w:val="003A5180"/>
    <w:rsid w:val="003A544F"/>
    <w:rsid w:val="003A5463"/>
    <w:rsid w:val="003A5657"/>
    <w:rsid w:val="003A59D2"/>
    <w:rsid w:val="003A75BE"/>
    <w:rsid w:val="003B1402"/>
    <w:rsid w:val="003B16A8"/>
    <w:rsid w:val="003B1BDF"/>
    <w:rsid w:val="003B1DD8"/>
    <w:rsid w:val="003B3123"/>
    <w:rsid w:val="003B39AB"/>
    <w:rsid w:val="003B536F"/>
    <w:rsid w:val="003B61AC"/>
    <w:rsid w:val="003B6C8D"/>
    <w:rsid w:val="003B6F40"/>
    <w:rsid w:val="003B6FB7"/>
    <w:rsid w:val="003B7283"/>
    <w:rsid w:val="003B7B3A"/>
    <w:rsid w:val="003B7E32"/>
    <w:rsid w:val="003C0AFE"/>
    <w:rsid w:val="003C268A"/>
    <w:rsid w:val="003C3F72"/>
    <w:rsid w:val="003C4B31"/>
    <w:rsid w:val="003C5988"/>
    <w:rsid w:val="003D02E5"/>
    <w:rsid w:val="003D0785"/>
    <w:rsid w:val="003D07C3"/>
    <w:rsid w:val="003D0B8A"/>
    <w:rsid w:val="003D1573"/>
    <w:rsid w:val="003D1B78"/>
    <w:rsid w:val="003D345F"/>
    <w:rsid w:val="003D39CC"/>
    <w:rsid w:val="003D6936"/>
    <w:rsid w:val="003D72A6"/>
    <w:rsid w:val="003E058B"/>
    <w:rsid w:val="003E20A6"/>
    <w:rsid w:val="003E2E91"/>
    <w:rsid w:val="003E4363"/>
    <w:rsid w:val="003E461C"/>
    <w:rsid w:val="003E4A70"/>
    <w:rsid w:val="003E4C4C"/>
    <w:rsid w:val="003E4CAC"/>
    <w:rsid w:val="003E4F8D"/>
    <w:rsid w:val="003E4FD2"/>
    <w:rsid w:val="003E5650"/>
    <w:rsid w:val="003E5A5D"/>
    <w:rsid w:val="003E5E30"/>
    <w:rsid w:val="003E5E6F"/>
    <w:rsid w:val="003E7F4C"/>
    <w:rsid w:val="003E7FAD"/>
    <w:rsid w:val="003F1476"/>
    <w:rsid w:val="003F188E"/>
    <w:rsid w:val="003F2E1C"/>
    <w:rsid w:val="003F3337"/>
    <w:rsid w:val="003F34BD"/>
    <w:rsid w:val="003F70A8"/>
    <w:rsid w:val="003F76A2"/>
    <w:rsid w:val="00400919"/>
    <w:rsid w:val="00400F73"/>
    <w:rsid w:val="00400FF7"/>
    <w:rsid w:val="004020EB"/>
    <w:rsid w:val="004025E6"/>
    <w:rsid w:val="0040298E"/>
    <w:rsid w:val="00404153"/>
    <w:rsid w:val="00404604"/>
    <w:rsid w:val="004056A2"/>
    <w:rsid w:val="00406E07"/>
    <w:rsid w:val="004070EF"/>
    <w:rsid w:val="00407B9A"/>
    <w:rsid w:val="00411453"/>
    <w:rsid w:val="00411CB8"/>
    <w:rsid w:val="00411FF5"/>
    <w:rsid w:val="0041225C"/>
    <w:rsid w:val="004126EA"/>
    <w:rsid w:val="00413390"/>
    <w:rsid w:val="00413AB3"/>
    <w:rsid w:val="00414692"/>
    <w:rsid w:val="00415881"/>
    <w:rsid w:val="00416159"/>
    <w:rsid w:val="004168E4"/>
    <w:rsid w:val="00416CE7"/>
    <w:rsid w:val="00416F7A"/>
    <w:rsid w:val="00420029"/>
    <w:rsid w:val="004203FD"/>
    <w:rsid w:val="00420ADF"/>
    <w:rsid w:val="00420DC4"/>
    <w:rsid w:val="00420FB2"/>
    <w:rsid w:val="004214B2"/>
    <w:rsid w:val="0042416F"/>
    <w:rsid w:val="00424321"/>
    <w:rsid w:val="00424A5C"/>
    <w:rsid w:val="00425735"/>
    <w:rsid w:val="004260B6"/>
    <w:rsid w:val="0042647D"/>
    <w:rsid w:val="00426E6E"/>
    <w:rsid w:val="0042787F"/>
    <w:rsid w:val="00430C72"/>
    <w:rsid w:val="00430D02"/>
    <w:rsid w:val="004311DA"/>
    <w:rsid w:val="00431867"/>
    <w:rsid w:val="004319CF"/>
    <w:rsid w:val="004331D6"/>
    <w:rsid w:val="00433304"/>
    <w:rsid w:val="00433308"/>
    <w:rsid w:val="00433693"/>
    <w:rsid w:val="00433E55"/>
    <w:rsid w:val="0043540F"/>
    <w:rsid w:val="00435597"/>
    <w:rsid w:val="004357CB"/>
    <w:rsid w:val="0043635B"/>
    <w:rsid w:val="0043741E"/>
    <w:rsid w:val="0044040E"/>
    <w:rsid w:val="004416B4"/>
    <w:rsid w:val="00441918"/>
    <w:rsid w:val="00441FAF"/>
    <w:rsid w:val="00442399"/>
    <w:rsid w:val="0044252D"/>
    <w:rsid w:val="00442885"/>
    <w:rsid w:val="00442D2A"/>
    <w:rsid w:val="00445BEA"/>
    <w:rsid w:val="00445C02"/>
    <w:rsid w:val="00445D37"/>
    <w:rsid w:val="004501B8"/>
    <w:rsid w:val="00451279"/>
    <w:rsid w:val="00453687"/>
    <w:rsid w:val="00453EAB"/>
    <w:rsid w:val="004544C5"/>
    <w:rsid w:val="00454618"/>
    <w:rsid w:val="00456769"/>
    <w:rsid w:val="00456D21"/>
    <w:rsid w:val="00461BD0"/>
    <w:rsid w:val="004635F0"/>
    <w:rsid w:val="00463FF1"/>
    <w:rsid w:val="0046482D"/>
    <w:rsid w:val="004657E2"/>
    <w:rsid w:val="00465B92"/>
    <w:rsid w:val="00466567"/>
    <w:rsid w:val="00466980"/>
    <w:rsid w:val="00467EC5"/>
    <w:rsid w:val="00467EED"/>
    <w:rsid w:val="00470155"/>
    <w:rsid w:val="00470FED"/>
    <w:rsid w:val="004714C9"/>
    <w:rsid w:val="00471893"/>
    <w:rsid w:val="00471E72"/>
    <w:rsid w:val="004722E1"/>
    <w:rsid w:val="00474F70"/>
    <w:rsid w:val="00475BC9"/>
    <w:rsid w:val="0047609F"/>
    <w:rsid w:val="00476606"/>
    <w:rsid w:val="00476F5D"/>
    <w:rsid w:val="00477A7B"/>
    <w:rsid w:val="0048026D"/>
    <w:rsid w:val="00480BAA"/>
    <w:rsid w:val="00480F83"/>
    <w:rsid w:val="00481110"/>
    <w:rsid w:val="004812EC"/>
    <w:rsid w:val="004816B2"/>
    <w:rsid w:val="00482794"/>
    <w:rsid w:val="0048297E"/>
    <w:rsid w:val="004831ED"/>
    <w:rsid w:val="0048456B"/>
    <w:rsid w:val="0048482B"/>
    <w:rsid w:val="00484C69"/>
    <w:rsid w:val="004861C9"/>
    <w:rsid w:val="004863A7"/>
    <w:rsid w:val="0048671A"/>
    <w:rsid w:val="00487649"/>
    <w:rsid w:val="00487C1C"/>
    <w:rsid w:val="00490026"/>
    <w:rsid w:val="00490A25"/>
    <w:rsid w:val="00491760"/>
    <w:rsid w:val="0049262E"/>
    <w:rsid w:val="00492A90"/>
    <w:rsid w:val="00492BA2"/>
    <w:rsid w:val="00492F9F"/>
    <w:rsid w:val="00493395"/>
    <w:rsid w:val="00494326"/>
    <w:rsid w:val="00494857"/>
    <w:rsid w:val="00494DDF"/>
    <w:rsid w:val="0049567A"/>
    <w:rsid w:val="00496E82"/>
    <w:rsid w:val="00497E69"/>
    <w:rsid w:val="004A3E6A"/>
    <w:rsid w:val="004A522A"/>
    <w:rsid w:val="004A5291"/>
    <w:rsid w:val="004A5B75"/>
    <w:rsid w:val="004A629D"/>
    <w:rsid w:val="004A6995"/>
    <w:rsid w:val="004A6F20"/>
    <w:rsid w:val="004A798B"/>
    <w:rsid w:val="004B0204"/>
    <w:rsid w:val="004B0F16"/>
    <w:rsid w:val="004B1697"/>
    <w:rsid w:val="004B1FB3"/>
    <w:rsid w:val="004B2C1C"/>
    <w:rsid w:val="004B4463"/>
    <w:rsid w:val="004B5326"/>
    <w:rsid w:val="004B5557"/>
    <w:rsid w:val="004B5DB2"/>
    <w:rsid w:val="004B6527"/>
    <w:rsid w:val="004B70FA"/>
    <w:rsid w:val="004B7730"/>
    <w:rsid w:val="004B7886"/>
    <w:rsid w:val="004C2046"/>
    <w:rsid w:val="004C22C6"/>
    <w:rsid w:val="004C2A95"/>
    <w:rsid w:val="004C2FC4"/>
    <w:rsid w:val="004C342C"/>
    <w:rsid w:val="004C3A26"/>
    <w:rsid w:val="004C3EC9"/>
    <w:rsid w:val="004C405F"/>
    <w:rsid w:val="004C4B78"/>
    <w:rsid w:val="004C5189"/>
    <w:rsid w:val="004C556B"/>
    <w:rsid w:val="004C5B80"/>
    <w:rsid w:val="004D09DD"/>
    <w:rsid w:val="004D0AE3"/>
    <w:rsid w:val="004D0B8A"/>
    <w:rsid w:val="004D0F16"/>
    <w:rsid w:val="004D14D9"/>
    <w:rsid w:val="004D1591"/>
    <w:rsid w:val="004D1942"/>
    <w:rsid w:val="004D1A1D"/>
    <w:rsid w:val="004D27D8"/>
    <w:rsid w:val="004D2BB8"/>
    <w:rsid w:val="004D3664"/>
    <w:rsid w:val="004D3F98"/>
    <w:rsid w:val="004D4778"/>
    <w:rsid w:val="004D5721"/>
    <w:rsid w:val="004E0366"/>
    <w:rsid w:val="004E09C7"/>
    <w:rsid w:val="004E26AC"/>
    <w:rsid w:val="004E2BAD"/>
    <w:rsid w:val="004E3279"/>
    <w:rsid w:val="004E350E"/>
    <w:rsid w:val="004E4062"/>
    <w:rsid w:val="004E42E6"/>
    <w:rsid w:val="004E600D"/>
    <w:rsid w:val="004E6DAC"/>
    <w:rsid w:val="004E6EC9"/>
    <w:rsid w:val="004E75A1"/>
    <w:rsid w:val="004E7C52"/>
    <w:rsid w:val="004E7D6C"/>
    <w:rsid w:val="004F25DA"/>
    <w:rsid w:val="004F29B6"/>
    <w:rsid w:val="004F36EF"/>
    <w:rsid w:val="004F3C8C"/>
    <w:rsid w:val="004F4110"/>
    <w:rsid w:val="004F4146"/>
    <w:rsid w:val="004F48A1"/>
    <w:rsid w:val="004F5341"/>
    <w:rsid w:val="004F5486"/>
    <w:rsid w:val="004F5700"/>
    <w:rsid w:val="004F6447"/>
    <w:rsid w:val="004F7667"/>
    <w:rsid w:val="004F7A39"/>
    <w:rsid w:val="00500820"/>
    <w:rsid w:val="00500E76"/>
    <w:rsid w:val="00501E15"/>
    <w:rsid w:val="00502566"/>
    <w:rsid w:val="00502714"/>
    <w:rsid w:val="00504C8E"/>
    <w:rsid w:val="00504F91"/>
    <w:rsid w:val="0050508B"/>
    <w:rsid w:val="00506F96"/>
    <w:rsid w:val="0050703E"/>
    <w:rsid w:val="00507788"/>
    <w:rsid w:val="00510B6E"/>
    <w:rsid w:val="00511121"/>
    <w:rsid w:val="00511591"/>
    <w:rsid w:val="00511D2A"/>
    <w:rsid w:val="00511FBE"/>
    <w:rsid w:val="0051203B"/>
    <w:rsid w:val="005120FD"/>
    <w:rsid w:val="00512343"/>
    <w:rsid w:val="00513894"/>
    <w:rsid w:val="00515A9E"/>
    <w:rsid w:val="00516357"/>
    <w:rsid w:val="00516F71"/>
    <w:rsid w:val="0051782C"/>
    <w:rsid w:val="00520A1E"/>
    <w:rsid w:val="00520AB4"/>
    <w:rsid w:val="00520BDC"/>
    <w:rsid w:val="005221BD"/>
    <w:rsid w:val="00522476"/>
    <w:rsid w:val="00522591"/>
    <w:rsid w:val="005228B3"/>
    <w:rsid w:val="00522972"/>
    <w:rsid w:val="00523494"/>
    <w:rsid w:val="005237C2"/>
    <w:rsid w:val="005246B1"/>
    <w:rsid w:val="005258BB"/>
    <w:rsid w:val="00525B23"/>
    <w:rsid w:val="005265E0"/>
    <w:rsid w:val="0052722C"/>
    <w:rsid w:val="0052767B"/>
    <w:rsid w:val="00527A2D"/>
    <w:rsid w:val="00527DEA"/>
    <w:rsid w:val="00530FA8"/>
    <w:rsid w:val="005319DE"/>
    <w:rsid w:val="005332B4"/>
    <w:rsid w:val="0053527B"/>
    <w:rsid w:val="005357C5"/>
    <w:rsid w:val="005358FD"/>
    <w:rsid w:val="00536515"/>
    <w:rsid w:val="005368D3"/>
    <w:rsid w:val="005402C7"/>
    <w:rsid w:val="00540F36"/>
    <w:rsid w:val="0054243A"/>
    <w:rsid w:val="00542B2C"/>
    <w:rsid w:val="005437A7"/>
    <w:rsid w:val="00543C05"/>
    <w:rsid w:val="00543EBB"/>
    <w:rsid w:val="005457C8"/>
    <w:rsid w:val="005457EB"/>
    <w:rsid w:val="005470EA"/>
    <w:rsid w:val="00547BFE"/>
    <w:rsid w:val="00550105"/>
    <w:rsid w:val="005503DE"/>
    <w:rsid w:val="00550C8C"/>
    <w:rsid w:val="00552063"/>
    <w:rsid w:val="00553427"/>
    <w:rsid w:val="00554262"/>
    <w:rsid w:val="00554664"/>
    <w:rsid w:val="00555279"/>
    <w:rsid w:val="00555979"/>
    <w:rsid w:val="00555DFE"/>
    <w:rsid w:val="00556295"/>
    <w:rsid w:val="00560342"/>
    <w:rsid w:val="00562809"/>
    <w:rsid w:val="005640DF"/>
    <w:rsid w:val="0056444B"/>
    <w:rsid w:val="00565B05"/>
    <w:rsid w:val="00565E04"/>
    <w:rsid w:val="0056622C"/>
    <w:rsid w:val="005663A4"/>
    <w:rsid w:val="005677E1"/>
    <w:rsid w:val="00567A23"/>
    <w:rsid w:val="005704A5"/>
    <w:rsid w:val="00570BA3"/>
    <w:rsid w:val="00571733"/>
    <w:rsid w:val="00571C66"/>
    <w:rsid w:val="00572607"/>
    <w:rsid w:val="005738A4"/>
    <w:rsid w:val="00573B2C"/>
    <w:rsid w:val="00575268"/>
    <w:rsid w:val="005768B4"/>
    <w:rsid w:val="005770E1"/>
    <w:rsid w:val="00577A5F"/>
    <w:rsid w:val="0058069F"/>
    <w:rsid w:val="00580755"/>
    <w:rsid w:val="00581331"/>
    <w:rsid w:val="00581517"/>
    <w:rsid w:val="005819F8"/>
    <w:rsid w:val="005820D3"/>
    <w:rsid w:val="005825B4"/>
    <w:rsid w:val="00584026"/>
    <w:rsid w:val="005847E8"/>
    <w:rsid w:val="00585E47"/>
    <w:rsid w:val="005862A3"/>
    <w:rsid w:val="00586FC9"/>
    <w:rsid w:val="00587F37"/>
    <w:rsid w:val="005905A6"/>
    <w:rsid w:val="00590AAA"/>
    <w:rsid w:val="00590C2E"/>
    <w:rsid w:val="00591B27"/>
    <w:rsid w:val="005928F4"/>
    <w:rsid w:val="00592AFD"/>
    <w:rsid w:val="00594733"/>
    <w:rsid w:val="0059567B"/>
    <w:rsid w:val="0059606D"/>
    <w:rsid w:val="005970D9"/>
    <w:rsid w:val="00597FA4"/>
    <w:rsid w:val="005A00F2"/>
    <w:rsid w:val="005A02AA"/>
    <w:rsid w:val="005A07CC"/>
    <w:rsid w:val="005A0BF1"/>
    <w:rsid w:val="005A0DD2"/>
    <w:rsid w:val="005A11B0"/>
    <w:rsid w:val="005A19F9"/>
    <w:rsid w:val="005A340E"/>
    <w:rsid w:val="005A3DEA"/>
    <w:rsid w:val="005A4080"/>
    <w:rsid w:val="005A5933"/>
    <w:rsid w:val="005A5BE4"/>
    <w:rsid w:val="005A63B4"/>
    <w:rsid w:val="005B014B"/>
    <w:rsid w:val="005B1054"/>
    <w:rsid w:val="005B26A2"/>
    <w:rsid w:val="005B2B32"/>
    <w:rsid w:val="005B3221"/>
    <w:rsid w:val="005B405E"/>
    <w:rsid w:val="005B4BF1"/>
    <w:rsid w:val="005B7E49"/>
    <w:rsid w:val="005C046C"/>
    <w:rsid w:val="005C0D37"/>
    <w:rsid w:val="005C17F0"/>
    <w:rsid w:val="005C2D8B"/>
    <w:rsid w:val="005C351C"/>
    <w:rsid w:val="005C3A8C"/>
    <w:rsid w:val="005C475E"/>
    <w:rsid w:val="005C6406"/>
    <w:rsid w:val="005C649A"/>
    <w:rsid w:val="005C69CB"/>
    <w:rsid w:val="005C704B"/>
    <w:rsid w:val="005C7F7F"/>
    <w:rsid w:val="005D0698"/>
    <w:rsid w:val="005D08DF"/>
    <w:rsid w:val="005D235B"/>
    <w:rsid w:val="005D2EB5"/>
    <w:rsid w:val="005D3612"/>
    <w:rsid w:val="005D40E4"/>
    <w:rsid w:val="005D5764"/>
    <w:rsid w:val="005D5A2F"/>
    <w:rsid w:val="005D6584"/>
    <w:rsid w:val="005D691E"/>
    <w:rsid w:val="005D75BE"/>
    <w:rsid w:val="005D77FF"/>
    <w:rsid w:val="005E0755"/>
    <w:rsid w:val="005E1D1E"/>
    <w:rsid w:val="005E280F"/>
    <w:rsid w:val="005E28AD"/>
    <w:rsid w:val="005E3A80"/>
    <w:rsid w:val="005E3FA5"/>
    <w:rsid w:val="005E521D"/>
    <w:rsid w:val="005E57DF"/>
    <w:rsid w:val="005F093B"/>
    <w:rsid w:val="005F0FF0"/>
    <w:rsid w:val="005F1118"/>
    <w:rsid w:val="005F233B"/>
    <w:rsid w:val="005F2B4E"/>
    <w:rsid w:val="005F4099"/>
    <w:rsid w:val="005F4119"/>
    <w:rsid w:val="005F42F4"/>
    <w:rsid w:val="005F5712"/>
    <w:rsid w:val="005F5E12"/>
    <w:rsid w:val="005F5E99"/>
    <w:rsid w:val="005F7DE5"/>
    <w:rsid w:val="0060053B"/>
    <w:rsid w:val="006007AC"/>
    <w:rsid w:val="006010A3"/>
    <w:rsid w:val="00601544"/>
    <w:rsid w:val="006018D0"/>
    <w:rsid w:val="0060215E"/>
    <w:rsid w:val="006024D5"/>
    <w:rsid w:val="00603A34"/>
    <w:rsid w:val="00603DBF"/>
    <w:rsid w:val="00605152"/>
    <w:rsid w:val="00606153"/>
    <w:rsid w:val="006064C8"/>
    <w:rsid w:val="00606935"/>
    <w:rsid w:val="00607F06"/>
    <w:rsid w:val="006119B9"/>
    <w:rsid w:val="00611C90"/>
    <w:rsid w:val="00611FCC"/>
    <w:rsid w:val="006125F4"/>
    <w:rsid w:val="00612BF0"/>
    <w:rsid w:val="00612DDF"/>
    <w:rsid w:val="00613D9F"/>
    <w:rsid w:val="0061473F"/>
    <w:rsid w:val="0061612C"/>
    <w:rsid w:val="00616B41"/>
    <w:rsid w:val="00616F12"/>
    <w:rsid w:val="0061779D"/>
    <w:rsid w:val="006201CC"/>
    <w:rsid w:val="00621FBB"/>
    <w:rsid w:val="00622518"/>
    <w:rsid w:val="00622C8B"/>
    <w:rsid w:val="0062305A"/>
    <w:rsid w:val="00623D47"/>
    <w:rsid w:val="00625060"/>
    <w:rsid w:val="006259EF"/>
    <w:rsid w:val="006262CD"/>
    <w:rsid w:val="006272E8"/>
    <w:rsid w:val="00630075"/>
    <w:rsid w:val="00630C76"/>
    <w:rsid w:val="00632CB3"/>
    <w:rsid w:val="006330AC"/>
    <w:rsid w:val="00633B19"/>
    <w:rsid w:val="006347A8"/>
    <w:rsid w:val="00637B8F"/>
    <w:rsid w:val="006400B2"/>
    <w:rsid w:val="006403F0"/>
    <w:rsid w:val="00641788"/>
    <w:rsid w:val="00643630"/>
    <w:rsid w:val="00644496"/>
    <w:rsid w:val="00644970"/>
    <w:rsid w:val="00647B3D"/>
    <w:rsid w:val="0065088E"/>
    <w:rsid w:val="0065123E"/>
    <w:rsid w:val="00651AAA"/>
    <w:rsid w:val="00651DF4"/>
    <w:rsid w:val="006527D8"/>
    <w:rsid w:val="00653978"/>
    <w:rsid w:val="00653C10"/>
    <w:rsid w:val="00653CFE"/>
    <w:rsid w:val="00655E3A"/>
    <w:rsid w:val="00656180"/>
    <w:rsid w:val="0065639B"/>
    <w:rsid w:val="006566EC"/>
    <w:rsid w:val="00660250"/>
    <w:rsid w:val="006631E5"/>
    <w:rsid w:val="00664AA5"/>
    <w:rsid w:val="00665442"/>
    <w:rsid w:val="00666A6A"/>
    <w:rsid w:val="00666EC7"/>
    <w:rsid w:val="0067014F"/>
    <w:rsid w:val="006702F5"/>
    <w:rsid w:val="00670B1B"/>
    <w:rsid w:val="00671F27"/>
    <w:rsid w:val="00672384"/>
    <w:rsid w:val="006737BB"/>
    <w:rsid w:val="00673DF2"/>
    <w:rsid w:val="00675D4A"/>
    <w:rsid w:val="00676160"/>
    <w:rsid w:val="00677151"/>
    <w:rsid w:val="006774D8"/>
    <w:rsid w:val="00677BCF"/>
    <w:rsid w:val="00680FA4"/>
    <w:rsid w:val="006814C0"/>
    <w:rsid w:val="0068169C"/>
    <w:rsid w:val="00681955"/>
    <w:rsid w:val="00681DFD"/>
    <w:rsid w:val="00681E75"/>
    <w:rsid w:val="00682B39"/>
    <w:rsid w:val="00682B55"/>
    <w:rsid w:val="006837EE"/>
    <w:rsid w:val="00684FC1"/>
    <w:rsid w:val="00686DFB"/>
    <w:rsid w:val="00687859"/>
    <w:rsid w:val="0069118D"/>
    <w:rsid w:val="0069361E"/>
    <w:rsid w:val="006938FF"/>
    <w:rsid w:val="00693EB5"/>
    <w:rsid w:val="00693EEC"/>
    <w:rsid w:val="006944FF"/>
    <w:rsid w:val="006954CB"/>
    <w:rsid w:val="00695887"/>
    <w:rsid w:val="006973FF"/>
    <w:rsid w:val="006A0FCD"/>
    <w:rsid w:val="006A1112"/>
    <w:rsid w:val="006A1AF3"/>
    <w:rsid w:val="006A28B4"/>
    <w:rsid w:val="006A313F"/>
    <w:rsid w:val="006A3A7B"/>
    <w:rsid w:val="006A43F2"/>
    <w:rsid w:val="006A453E"/>
    <w:rsid w:val="006A532E"/>
    <w:rsid w:val="006A56CC"/>
    <w:rsid w:val="006A5A86"/>
    <w:rsid w:val="006A5BE3"/>
    <w:rsid w:val="006A5FF5"/>
    <w:rsid w:val="006A63EC"/>
    <w:rsid w:val="006A66E4"/>
    <w:rsid w:val="006A6865"/>
    <w:rsid w:val="006B1BA4"/>
    <w:rsid w:val="006B244F"/>
    <w:rsid w:val="006B2914"/>
    <w:rsid w:val="006B381F"/>
    <w:rsid w:val="006B6363"/>
    <w:rsid w:val="006B713A"/>
    <w:rsid w:val="006B7143"/>
    <w:rsid w:val="006C1007"/>
    <w:rsid w:val="006C1359"/>
    <w:rsid w:val="006C220E"/>
    <w:rsid w:val="006C2516"/>
    <w:rsid w:val="006C3DB9"/>
    <w:rsid w:val="006C3F24"/>
    <w:rsid w:val="006C44F6"/>
    <w:rsid w:val="006C4ABD"/>
    <w:rsid w:val="006C63F5"/>
    <w:rsid w:val="006C6511"/>
    <w:rsid w:val="006C6590"/>
    <w:rsid w:val="006C7591"/>
    <w:rsid w:val="006C77B2"/>
    <w:rsid w:val="006D0866"/>
    <w:rsid w:val="006D0FEB"/>
    <w:rsid w:val="006D1283"/>
    <w:rsid w:val="006D1A3E"/>
    <w:rsid w:val="006D1C0E"/>
    <w:rsid w:val="006D21E6"/>
    <w:rsid w:val="006D3939"/>
    <w:rsid w:val="006D43E1"/>
    <w:rsid w:val="006D534A"/>
    <w:rsid w:val="006D5938"/>
    <w:rsid w:val="006D7207"/>
    <w:rsid w:val="006D726A"/>
    <w:rsid w:val="006D740E"/>
    <w:rsid w:val="006D7E24"/>
    <w:rsid w:val="006E1996"/>
    <w:rsid w:val="006E1B0F"/>
    <w:rsid w:val="006E1D76"/>
    <w:rsid w:val="006E210D"/>
    <w:rsid w:val="006E3061"/>
    <w:rsid w:val="006E36AE"/>
    <w:rsid w:val="006E43D3"/>
    <w:rsid w:val="006E4505"/>
    <w:rsid w:val="006E477E"/>
    <w:rsid w:val="006E6A85"/>
    <w:rsid w:val="006F0286"/>
    <w:rsid w:val="006F0C6A"/>
    <w:rsid w:val="006F1884"/>
    <w:rsid w:val="006F2CA1"/>
    <w:rsid w:val="006F2DAA"/>
    <w:rsid w:val="006F3108"/>
    <w:rsid w:val="006F31D5"/>
    <w:rsid w:val="006F4A45"/>
    <w:rsid w:val="006F5C29"/>
    <w:rsid w:val="006F5F86"/>
    <w:rsid w:val="006F6C88"/>
    <w:rsid w:val="006F6E00"/>
    <w:rsid w:val="006F7019"/>
    <w:rsid w:val="006F72B5"/>
    <w:rsid w:val="006F7E52"/>
    <w:rsid w:val="006F7FA1"/>
    <w:rsid w:val="007006DA"/>
    <w:rsid w:val="00702FFC"/>
    <w:rsid w:val="0070415B"/>
    <w:rsid w:val="0070543A"/>
    <w:rsid w:val="00706B28"/>
    <w:rsid w:val="007075B0"/>
    <w:rsid w:val="007079CE"/>
    <w:rsid w:val="00710525"/>
    <w:rsid w:val="0071094F"/>
    <w:rsid w:val="00711B8D"/>
    <w:rsid w:val="00711DAA"/>
    <w:rsid w:val="007131EE"/>
    <w:rsid w:val="007138A3"/>
    <w:rsid w:val="007138F3"/>
    <w:rsid w:val="00713C4C"/>
    <w:rsid w:val="00713EFF"/>
    <w:rsid w:val="00714091"/>
    <w:rsid w:val="00714F9D"/>
    <w:rsid w:val="00715519"/>
    <w:rsid w:val="00715A27"/>
    <w:rsid w:val="00717A41"/>
    <w:rsid w:val="00720EF8"/>
    <w:rsid w:val="0072180E"/>
    <w:rsid w:val="00721820"/>
    <w:rsid w:val="00721C39"/>
    <w:rsid w:val="00722864"/>
    <w:rsid w:val="00722979"/>
    <w:rsid w:val="00723685"/>
    <w:rsid w:val="0072459A"/>
    <w:rsid w:val="00724AF9"/>
    <w:rsid w:val="0072556E"/>
    <w:rsid w:val="00726D60"/>
    <w:rsid w:val="00730E01"/>
    <w:rsid w:val="00731FB9"/>
    <w:rsid w:val="007322D5"/>
    <w:rsid w:val="0073286D"/>
    <w:rsid w:val="00732A98"/>
    <w:rsid w:val="00735CB2"/>
    <w:rsid w:val="0073712E"/>
    <w:rsid w:val="00740AC9"/>
    <w:rsid w:val="00742800"/>
    <w:rsid w:val="007428A6"/>
    <w:rsid w:val="007442D2"/>
    <w:rsid w:val="007456BF"/>
    <w:rsid w:val="0074657F"/>
    <w:rsid w:val="00746801"/>
    <w:rsid w:val="007501CC"/>
    <w:rsid w:val="007514B9"/>
    <w:rsid w:val="00751C6A"/>
    <w:rsid w:val="00751F82"/>
    <w:rsid w:val="007539B1"/>
    <w:rsid w:val="00754ED6"/>
    <w:rsid w:val="0075508F"/>
    <w:rsid w:val="007551ED"/>
    <w:rsid w:val="00755404"/>
    <w:rsid w:val="0075664D"/>
    <w:rsid w:val="00757FDC"/>
    <w:rsid w:val="00760A42"/>
    <w:rsid w:val="00762B1B"/>
    <w:rsid w:val="0076366C"/>
    <w:rsid w:val="0076379E"/>
    <w:rsid w:val="00763A5D"/>
    <w:rsid w:val="0076400A"/>
    <w:rsid w:val="00764543"/>
    <w:rsid w:val="007649B2"/>
    <w:rsid w:val="0076544B"/>
    <w:rsid w:val="007655AE"/>
    <w:rsid w:val="007659D6"/>
    <w:rsid w:val="00766017"/>
    <w:rsid w:val="00766152"/>
    <w:rsid w:val="00766161"/>
    <w:rsid w:val="00766C60"/>
    <w:rsid w:val="00766D03"/>
    <w:rsid w:val="00766DF6"/>
    <w:rsid w:val="00770B94"/>
    <w:rsid w:val="00770CF8"/>
    <w:rsid w:val="00770D00"/>
    <w:rsid w:val="00772378"/>
    <w:rsid w:val="00772857"/>
    <w:rsid w:val="00773D8D"/>
    <w:rsid w:val="00775435"/>
    <w:rsid w:val="007806EA"/>
    <w:rsid w:val="007807D5"/>
    <w:rsid w:val="00780ADB"/>
    <w:rsid w:val="007810B9"/>
    <w:rsid w:val="00781A44"/>
    <w:rsid w:val="00781FBF"/>
    <w:rsid w:val="00782252"/>
    <w:rsid w:val="0078232E"/>
    <w:rsid w:val="00782516"/>
    <w:rsid w:val="007834EE"/>
    <w:rsid w:val="007834F3"/>
    <w:rsid w:val="00783861"/>
    <w:rsid w:val="00784A11"/>
    <w:rsid w:val="007857D3"/>
    <w:rsid w:val="0078583F"/>
    <w:rsid w:val="00785B7E"/>
    <w:rsid w:val="00790895"/>
    <w:rsid w:val="00791428"/>
    <w:rsid w:val="00793380"/>
    <w:rsid w:val="00793490"/>
    <w:rsid w:val="0079443D"/>
    <w:rsid w:val="00794F72"/>
    <w:rsid w:val="00795506"/>
    <w:rsid w:val="00795E14"/>
    <w:rsid w:val="007968A9"/>
    <w:rsid w:val="007A0796"/>
    <w:rsid w:val="007A129A"/>
    <w:rsid w:val="007A1B90"/>
    <w:rsid w:val="007A21B9"/>
    <w:rsid w:val="007A376F"/>
    <w:rsid w:val="007A3A7F"/>
    <w:rsid w:val="007A3C66"/>
    <w:rsid w:val="007A42EA"/>
    <w:rsid w:val="007A6951"/>
    <w:rsid w:val="007A7F83"/>
    <w:rsid w:val="007B038C"/>
    <w:rsid w:val="007B03E9"/>
    <w:rsid w:val="007B0EE8"/>
    <w:rsid w:val="007B2A3F"/>
    <w:rsid w:val="007B314E"/>
    <w:rsid w:val="007B3622"/>
    <w:rsid w:val="007B3F88"/>
    <w:rsid w:val="007B3FB9"/>
    <w:rsid w:val="007B5E1B"/>
    <w:rsid w:val="007B72D2"/>
    <w:rsid w:val="007B75C2"/>
    <w:rsid w:val="007C07C2"/>
    <w:rsid w:val="007C0DA9"/>
    <w:rsid w:val="007C0FCC"/>
    <w:rsid w:val="007C17C7"/>
    <w:rsid w:val="007C1DCB"/>
    <w:rsid w:val="007C1F01"/>
    <w:rsid w:val="007C1F1E"/>
    <w:rsid w:val="007C2972"/>
    <w:rsid w:val="007C2E95"/>
    <w:rsid w:val="007C3409"/>
    <w:rsid w:val="007C35FA"/>
    <w:rsid w:val="007C3915"/>
    <w:rsid w:val="007C4C33"/>
    <w:rsid w:val="007C5872"/>
    <w:rsid w:val="007C6662"/>
    <w:rsid w:val="007C7127"/>
    <w:rsid w:val="007D06B3"/>
    <w:rsid w:val="007D0744"/>
    <w:rsid w:val="007D08B9"/>
    <w:rsid w:val="007D1233"/>
    <w:rsid w:val="007D13AD"/>
    <w:rsid w:val="007D16BF"/>
    <w:rsid w:val="007D1A66"/>
    <w:rsid w:val="007D2756"/>
    <w:rsid w:val="007D2AE4"/>
    <w:rsid w:val="007D2C8E"/>
    <w:rsid w:val="007D39F2"/>
    <w:rsid w:val="007D3B68"/>
    <w:rsid w:val="007D3DAE"/>
    <w:rsid w:val="007D4531"/>
    <w:rsid w:val="007D48F6"/>
    <w:rsid w:val="007D4F18"/>
    <w:rsid w:val="007D55F2"/>
    <w:rsid w:val="007D5C05"/>
    <w:rsid w:val="007D69C9"/>
    <w:rsid w:val="007D6E30"/>
    <w:rsid w:val="007E00D3"/>
    <w:rsid w:val="007E012C"/>
    <w:rsid w:val="007E1A1F"/>
    <w:rsid w:val="007E23F1"/>
    <w:rsid w:val="007E4112"/>
    <w:rsid w:val="007E4718"/>
    <w:rsid w:val="007E4990"/>
    <w:rsid w:val="007E4F3B"/>
    <w:rsid w:val="007E547E"/>
    <w:rsid w:val="007E5D9E"/>
    <w:rsid w:val="007E6C69"/>
    <w:rsid w:val="007E7433"/>
    <w:rsid w:val="007F2C67"/>
    <w:rsid w:val="007F4E82"/>
    <w:rsid w:val="007F5C64"/>
    <w:rsid w:val="007F714F"/>
    <w:rsid w:val="007F7672"/>
    <w:rsid w:val="008003F1"/>
    <w:rsid w:val="00800989"/>
    <w:rsid w:val="00800AAB"/>
    <w:rsid w:val="00801C73"/>
    <w:rsid w:val="008023F7"/>
    <w:rsid w:val="00802A0D"/>
    <w:rsid w:val="00802EDA"/>
    <w:rsid w:val="00803A23"/>
    <w:rsid w:val="00804903"/>
    <w:rsid w:val="0080568E"/>
    <w:rsid w:val="008057B8"/>
    <w:rsid w:val="00806F43"/>
    <w:rsid w:val="00807218"/>
    <w:rsid w:val="00807C53"/>
    <w:rsid w:val="00810E4A"/>
    <w:rsid w:val="008110F5"/>
    <w:rsid w:val="008118AB"/>
    <w:rsid w:val="00811A3C"/>
    <w:rsid w:val="0081250B"/>
    <w:rsid w:val="00812918"/>
    <w:rsid w:val="00812FDD"/>
    <w:rsid w:val="00813A10"/>
    <w:rsid w:val="008140EF"/>
    <w:rsid w:val="008158B4"/>
    <w:rsid w:val="0081653D"/>
    <w:rsid w:val="008168A5"/>
    <w:rsid w:val="00817549"/>
    <w:rsid w:val="00817B21"/>
    <w:rsid w:val="00820B49"/>
    <w:rsid w:val="0082180A"/>
    <w:rsid w:val="0082235D"/>
    <w:rsid w:val="00823CE9"/>
    <w:rsid w:val="00824618"/>
    <w:rsid w:val="008248EC"/>
    <w:rsid w:val="00824CE2"/>
    <w:rsid w:val="00825345"/>
    <w:rsid w:val="00825A5C"/>
    <w:rsid w:val="008270AD"/>
    <w:rsid w:val="00830446"/>
    <w:rsid w:val="00831DB2"/>
    <w:rsid w:val="00831FD2"/>
    <w:rsid w:val="0083208E"/>
    <w:rsid w:val="00832B10"/>
    <w:rsid w:val="00832C51"/>
    <w:rsid w:val="00832E08"/>
    <w:rsid w:val="008346F0"/>
    <w:rsid w:val="00834E40"/>
    <w:rsid w:val="00834FF0"/>
    <w:rsid w:val="00835124"/>
    <w:rsid w:val="008368EF"/>
    <w:rsid w:val="00841474"/>
    <w:rsid w:val="00841EE9"/>
    <w:rsid w:val="008452C3"/>
    <w:rsid w:val="00846445"/>
    <w:rsid w:val="00846F35"/>
    <w:rsid w:val="008475C2"/>
    <w:rsid w:val="00850043"/>
    <w:rsid w:val="00851667"/>
    <w:rsid w:val="00852025"/>
    <w:rsid w:val="008522D8"/>
    <w:rsid w:val="008532BA"/>
    <w:rsid w:val="00854D32"/>
    <w:rsid w:val="00855743"/>
    <w:rsid w:val="008558EF"/>
    <w:rsid w:val="00856028"/>
    <w:rsid w:val="00856112"/>
    <w:rsid w:val="008602EF"/>
    <w:rsid w:val="00860A6F"/>
    <w:rsid w:val="00862E6B"/>
    <w:rsid w:val="00863C8C"/>
    <w:rsid w:val="0086441A"/>
    <w:rsid w:val="00864757"/>
    <w:rsid w:val="00865D7B"/>
    <w:rsid w:val="00866564"/>
    <w:rsid w:val="0086726A"/>
    <w:rsid w:val="00871CD4"/>
    <w:rsid w:val="008722F6"/>
    <w:rsid w:val="00873307"/>
    <w:rsid w:val="008739CB"/>
    <w:rsid w:val="008739EA"/>
    <w:rsid w:val="008741F5"/>
    <w:rsid w:val="008747F5"/>
    <w:rsid w:val="00874A90"/>
    <w:rsid w:val="00875FFA"/>
    <w:rsid w:val="00876836"/>
    <w:rsid w:val="00876A45"/>
    <w:rsid w:val="00877BFE"/>
    <w:rsid w:val="00880D71"/>
    <w:rsid w:val="00883FF3"/>
    <w:rsid w:val="00884E53"/>
    <w:rsid w:val="008852EB"/>
    <w:rsid w:val="00886143"/>
    <w:rsid w:val="00886F2B"/>
    <w:rsid w:val="00887631"/>
    <w:rsid w:val="0089128E"/>
    <w:rsid w:val="008915C1"/>
    <w:rsid w:val="00891BD7"/>
    <w:rsid w:val="00892305"/>
    <w:rsid w:val="00892828"/>
    <w:rsid w:val="0089297B"/>
    <w:rsid w:val="00894306"/>
    <w:rsid w:val="00894B88"/>
    <w:rsid w:val="0089575C"/>
    <w:rsid w:val="00895CAF"/>
    <w:rsid w:val="00896FB9"/>
    <w:rsid w:val="00897BD8"/>
    <w:rsid w:val="008A0C56"/>
    <w:rsid w:val="008A0FBB"/>
    <w:rsid w:val="008A143A"/>
    <w:rsid w:val="008A1AAB"/>
    <w:rsid w:val="008A248F"/>
    <w:rsid w:val="008A2F9E"/>
    <w:rsid w:val="008A4F44"/>
    <w:rsid w:val="008A4F51"/>
    <w:rsid w:val="008A4FD7"/>
    <w:rsid w:val="008A573F"/>
    <w:rsid w:val="008B0DC0"/>
    <w:rsid w:val="008B175F"/>
    <w:rsid w:val="008B2181"/>
    <w:rsid w:val="008B222D"/>
    <w:rsid w:val="008B3B9B"/>
    <w:rsid w:val="008B43B2"/>
    <w:rsid w:val="008B6076"/>
    <w:rsid w:val="008B66BA"/>
    <w:rsid w:val="008B68F5"/>
    <w:rsid w:val="008B6D3E"/>
    <w:rsid w:val="008B6EC9"/>
    <w:rsid w:val="008B78A1"/>
    <w:rsid w:val="008C0783"/>
    <w:rsid w:val="008C1D0C"/>
    <w:rsid w:val="008C24DC"/>
    <w:rsid w:val="008C44CF"/>
    <w:rsid w:val="008C508F"/>
    <w:rsid w:val="008C63F0"/>
    <w:rsid w:val="008C7623"/>
    <w:rsid w:val="008C77EA"/>
    <w:rsid w:val="008D0248"/>
    <w:rsid w:val="008D1405"/>
    <w:rsid w:val="008D1E9B"/>
    <w:rsid w:val="008D2847"/>
    <w:rsid w:val="008D3DFB"/>
    <w:rsid w:val="008D427D"/>
    <w:rsid w:val="008D5173"/>
    <w:rsid w:val="008D5214"/>
    <w:rsid w:val="008D54B3"/>
    <w:rsid w:val="008D5BBA"/>
    <w:rsid w:val="008D5E42"/>
    <w:rsid w:val="008D63A4"/>
    <w:rsid w:val="008D64E3"/>
    <w:rsid w:val="008D67DB"/>
    <w:rsid w:val="008D7089"/>
    <w:rsid w:val="008D74A4"/>
    <w:rsid w:val="008E1800"/>
    <w:rsid w:val="008E2377"/>
    <w:rsid w:val="008E3564"/>
    <w:rsid w:val="008E51E7"/>
    <w:rsid w:val="008E52B3"/>
    <w:rsid w:val="008E5619"/>
    <w:rsid w:val="008E5645"/>
    <w:rsid w:val="008E5DC3"/>
    <w:rsid w:val="008E665B"/>
    <w:rsid w:val="008E7941"/>
    <w:rsid w:val="008E7D3A"/>
    <w:rsid w:val="008F0223"/>
    <w:rsid w:val="008F1509"/>
    <w:rsid w:val="008F2B39"/>
    <w:rsid w:val="008F40A6"/>
    <w:rsid w:val="008F4921"/>
    <w:rsid w:val="008F5294"/>
    <w:rsid w:val="008F5548"/>
    <w:rsid w:val="008F6F98"/>
    <w:rsid w:val="00900B52"/>
    <w:rsid w:val="00902AC9"/>
    <w:rsid w:val="00903898"/>
    <w:rsid w:val="00903A11"/>
    <w:rsid w:val="00904312"/>
    <w:rsid w:val="009059BA"/>
    <w:rsid w:val="00905E4F"/>
    <w:rsid w:val="00906404"/>
    <w:rsid w:val="009065E6"/>
    <w:rsid w:val="00907636"/>
    <w:rsid w:val="00910E13"/>
    <w:rsid w:val="00911A9A"/>
    <w:rsid w:val="0091309F"/>
    <w:rsid w:val="00914507"/>
    <w:rsid w:val="00914B08"/>
    <w:rsid w:val="00914B75"/>
    <w:rsid w:val="00914F93"/>
    <w:rsid w:val="00915688"/>
    <w:rsid w:val="00915CFC"/>
    <w:rsid w:val="009168EE"/>
    <w:rsid w:val="00916DBB"/>
    <w:rsid w:val="00917AD8"/>
    <w:rsid w:val="00922145"/>
    <w:rsid w:val="0092328C"/>
    <w:rsid w:val="00925BC0"/>
    <w:rsid w:val="00926001"/>
    <w:rsid w:val="00926CDE"/>
    <w:rsid w:val="00927971"/>
    <w:rsid w:val="00931D18"/>
    <w:rsid w:val="00932AB0"/>
    <w:rsid w:val="00932B30"/>
    <w:rsid w:val="009334AE"/>
    <w:rsid w:val="00934EAA"/>
    <w:rsid w:val="00934FE6"/>
    <w:rsid w:val="00935438"/>
    <w:rsid w:val="00935C71"/>
    <w:rsid w:val="00937228"/>
    <w:rsid w:val="00940BC4"/>
    <w:rsid w:val="00940ECD"/>
    <w:rsid w:val="00941725"/>
    <w:rsid w:val="00941A4A"/>
    <w:rsid w:val="009426C3"/>
    <w:rsid w:val="00943D91"/>
    <w:rsid w:val="00943E3D"/>
    <w:rsid w:val="009448CA"/>
    <w:rsid w:val="009448FC"/>
    <w:rsid w:val="00944977"/>
    <w:rsid w:val="00944A34"/>
    <w:rsid w:val="00945CCA"/>
    <w:rsid w:val="009463A9"/>
    <w:rsid w:val="00946439"/>
    <w:rsid w:val="00946575"/>
    <w:rsid w:val="00946638"/>
    <w:rsid w:val="009473FC"/>
    <w:rsid w:val="00947644"/>
    <w:rsid w:val="0094778E"/>
    <w:rsid w:val="009517BD"/>
    <w:rsid w:val="00951963"/>
    <w:rsid w:val="00952B30"/>
    <w:rsid w:val="009542BB"/>
    <w:rsid w:val="009553EB"/>
    <w:rsid w:val="00955715"/>
    <w:rsid w:val="00955726"/>
    <w:rsid w:val="00955932"/>
    <w:rsid w:val="009561E0"/>
    <w:rsid w:val="00956F92"/>
    <w:rsid w:val="00962197"/>
    <w:rsid w:val="00963237"/>
    <w:rsid w:val="009649DC"/>
    <w:rsid w:val="00965198"/>
    <w:rsid w:val="00966792"/>
    <w:rsid w:val="00966A8E"/>
    <w:rsid w:val="00967B0B"/>
    <w:rsid w:val="00970CED"/>
    <w:rsid w:val="00970DC8"/>
    <w:rsid w:val="00971C89"/>
    <w:rsid w:val="00973B45"/>
    <w:rsid w:val="00973B4A"/>
    <w:rsid w:val="009742C6"/>
    <w:rsid w:val="009749AA"/>
    <w:rsid w:val="00976F7A"/>
    <w:rsid w:val="009777E3"/>
    <w:rsid w:val="00980034"/>
    <w:rsid w:val="0098013B"/>
    <w:rsid w:val="00980F51"/>
    <w:rsid w:val="009835BD"/>
    <w:rsid w:val="009859E6"/>
    <w:rsid w:val="009867AD"/>
    <w:rsid w:val="0098705E"/>
    <w:rsid w:val="0098722A"/>
    <w:rsid w:val="00990ED2"/>
    <w:rsid w:val="0099311E"/>
    <w:rsid w:val="00995AF5"/>
    <w:rsid w:val="00996DED"/>
    <w:rsid w:val="009A00E8"/>
    <w:rsid w:val="009A049B"/>
    <w:rsid w:val="009A0A22"/>
    <w:rsid w:val="009A205D"/>
    <w:rsid w:val="009A286B"/>
    <w:rsid w:val="009A2AC3"/>
    <w:rsid w:val="009A4314"/>
    <w:rsid w:val="009A4532"/>
    <w:rsid w:val="009A5360"/>
    <w:rsid w:val="009A5503"/>
    <w:rsid w:val="009A5EFD"/>
    <w:rsid w:val="009A626D"/>
    <w:rsid w:val="009A66AF"/>
    <w:rsid w:val="009A6B8D"/>
    <w:rsid w:val="009B0088"/>
    <w:rsid w:val="009B1667"/>
    <w:rsid w:val="009B16E5"/>
    <w:rsid w:val="009B2244"/>
    <w:rsid w:val="009B2BA7"/>
    <w:rsid w:val="009B2F44"/>
    <w:rsid w:val="009B4E1E"/>
    <w:rsid w:val="009B5185"/>
    <w:rsid w:val="009B530E"/>
    <w:rsid w:val="009B7500"/>
    <w:rsid w:val="009B7F67"/>
    <w:rsid w:val="009C0689"/>
    <w:rsid w:val="009C175C"/>
    <w:rsid w:val="009C2742"/>
    <w:rsid w:val="009C3950"/>
    <w:rsid w:val="009C50A7"/>
    <w:rsid w:val="009C5171"/>
    <w:rsid w:val="009C5334"/>
    <w:rsid w:val="009C552D"/>
    <w:rsid w:val="009C6412"/>
    <w:rsid w:val="009C6D7B"/>
    <w:rsid w:val="009C7445"/>
    <w:rsid w:val="009C7DC4"/>
    <w:rsid w:val="009D0797"/>
    <w:rsid w:val="009D154E"/>
    <w:rsid w:val="009D22A2"/>
    <w:rsid w:val="009D2781"/>
    <w:rsid w:val="009D2836"/>
    <w:rsid w:val="009D35DE"/>
    <w:rsid w:val="009D3D6C"/>
    <w:rsid w:val="009D5B1B"/>
    <w:rsid w:val="009D741E"/>
    <w:rsid w:val="009E2B59"/>
    <w:rsid w:val="009E3A0E"/>
    <w:rsid w:val="009E42DD"/>
    <w:rsid w:val="009E5933"/>
    <w:rsid w:val="009E7F84"/>
    <w:rsid w:val="009F025D"/>
    <w:rsid w:val="009F0548"/>
    <w:rsid w:val="009F0A5D"/>
    <w:rsid w:val="009F3DF4"/>
    <w:rsid w:val="009F660C"/>
    <w:rsid w:val="009F745F"/>
    <w:rsid w:val="009F7663"/>
    <w:rsid w:val="00A0079B"/>
    <w:rsid w:val="00A018D6"/>
    <w:rsid w:val="00A021B2"/>
    <w:rsid w:val="00A024F9"/>
    <w:rsid w:val="00A044C4"/>
    <w:rsid w:val="00A04DBA"/>
    <w:rsid w:val="00A06C56"/>
    <w:rsid w:val="00A07FFA"/>
    <w:rsid w:val="00A1072E"/>
    <w:rsid w:val="00A10FFD"/>
    <w:rsid w:val="00A11BAB"/>
    <w:rsid w:val="00A120F6"/>
    <w:rsid w:val="00A132D3"/>
    <w:rsid w:val="00A13699"/>
    <w:rsid w:val="00A1394B"/>
    <w:rsid w:val="00A139BE"/>
    <w:rsid w:val="00A14196"/>
    <w:rsid w:val="00A14A7F"/>
    <w:rsid w:val="00A14CCA"/>
    <w:rsid w:val="00A15296"/>
    <w:rsid w:val="00A1751E"/>
    <w:rsid w:val="00A175F5"/>
    <w:rsid w:val="00A206B5"/>
    <w:rsid w:val="00A20F1B"/>
    <w:rsid w:val="00A21A6A"/>
    <w:rsid w:val="00A23013"/>
    <w:rsid w:val="00A23177"/>
    <w:rsid w:val="00A252C3"/>
    <w:rsid w:val="00A25481"/>
    <w:rsid w:val="00A258BC"/>
    <w:rsid w:val="00A25C58"/>
    <w:rsid w:val="00A260C9"/>
    <w:rsid w:val="00A263C8"/>
    <w:rsid w:val="00A265DD"/>
    <w:rsid w:val="00A275E6"/>
    <w:rsid w:val="00A27CEE"/>
    <w:rsid w:val="00A27F46"/>
    <w:rsid w:val="00A3029E"/>
    <w:rsid w:val="00A302DC"/>
    <w:rsid w:val="00A306B1"/>
    <w:rsid w:val="00A3138C"/>
    <w:rsid w:val="00A32258"/>
    <w:rsid w:val="00A32F5C"/>
    <w:rsid w:val="00A3376A"/>
    <w:rsid w:val="00A33D05"/>
    <w:rsid w:val="00A34EF7"/>
    <w:rsid w:val="00A356CA"/>
    <w:rsid w:val="00A35B07"/>
    <w:rsid w:val="00A35C00"/>
    <w:rsid w:val="00A362A7"/>
    <w:rsid w:val="00A36515"/>
    <w:rsid w:val="00A36FAC"/>
    <w:rsid w:val="00A37A82"/>
    <w:rsid w:val="00A401A8"/>
    <w:rsid w:val="00A4157E"/>
    <w:rsid w:val="00A41BD3"/>
    <w:rsid w:val="00A425AC"/>
    <w:rsid w:val="00A44916"/>
    <w:rsid w:val="00A451DA"/>
    <w:rsid w:val="00A45497"/>
    <w:rsid w:val="00A456ED"/>
    <w:rsid w:val="00A5040C"/>
    <w:rsid w:val="00A5071A"/>
    <w:rsid w:val="00A5261A"/>
    <w:rsid w:val="00A52876"/>
    <w:rsid w:val="00A52BAC"/>
    <w:rsid w:val="00A52D34"/>
    <w:rsid w:val="00A541A2"/>
    <w:rsid w:val="00A558AE"/>
    <w:rsid w:val="00A55FD0"/>
    <w:rsid w:val="00A571C2"/>
    <w:rsid w:val="00A57C99"/>
    <w:rsid w:val="00A603B4"/>
    <w:rsid w:val="00A6259A"/>
    <w:rsid w:val="00A62D35"/>
    <w:rsid w:val="00A64146"/>
    <w:rsid w:val="00A66B8B"/>
    <w:rsid w:val="00A70F7D"/>
    <w:rsid w:val="00A7126D"/>
    <w:rsid w:val="00A73523"/>
    <w:rsid w:val="00A738B8"/>
    <w:rsid w:val="00A73B1D"/>
    <w:rsid w:val="00A73E60"/>
    <w:rsid w:val="00A74960"/>
    <w:rsid w:val="00A75DD8"/>
    <w:rsid w:val="00A76665"/>
    <w:rsid w:val="00A76694"/>
    <w:rsid w:val="00A77E09"/>
    <w:rsid w:val="00A808BB"/>
    <w:rsid w:val="00A81722"/>
    <w:rsid w:val="00A8310D"/>
    <w:rsid w:val="00A842EA"/>
    <w:rsid w:val="00A84A72"/>
    <w:rsid w:val="00A858B8"/>
    <w:rsid w:val="00A862D0"/>
    <w:rsid w:val="00A86EAA"/>
    <w:rsid w:val="00A8725F"/>
    <w:rsid w:val="00A90B6F"/>
    <w:rsid w:val="00A91636"/>
    <w:rsid w:val="00A91760"/>
    <w:rsid w:val="00A91C53"/>
    <w:rsid w:val="00A91D21"/>
    <w:rsid w:val="00A923B9"/>
    <w:rsid w:val="00A92889"/>
    <w:rsid w:val="00A93182"/>
    <w:rsid w:val="00A935D1"/>
    <w:rsid w:val="00A958CF"/>
    <w:rsid w:val="00A95D08"/>
    <w:rsid w:val="00A96E3A"/>
    <w:rsid w:val="00A97200"/>
    <w:rsid w:val="00AA172F"/>
    <w:rsid w:val="00AA2191"/>
    <w:rsid w:val="00AA2470"/>
    <w:rsid w:val="00AA386E"/>
    <w:rsid w:val="00AA38FF"/>
    <w:rsid w:val="00AA396C"/>
    <w:rsid w:val="00AA3C18"/>
    <w:rsid w:val="00AA4708"/>
    <w:rsid w:val="00AA4E66"/>
    <w:rsid w:val="00AA5255"/>
    <w:rsid w:val="00AA558D"/>
    <w:rsid w:val="00AA5BA7"/>
    <w:rsid w:val="00AA7196"/>
    <w:rsid w:val="00AA7365"/>
    <w:rsid w:val="00AA765F"/>
    <w:rsid w:val="00AB14EF"/>
    <w:rsid w:val="00AB3440"/>
    <w:rsid w:val="00AB3667"/>
    <w:rsid w:val="00AB3C95"/>
    <w:rsid w:val="00AB4EF0"/>
    <w:rsid w:val="00AB53C1"/>
    <w:rsid w:val="00AB5442"/>
    <w:rsid w:val="00AB5869"/>
    <w:rsid w:val="00AB5880"/>
    <w:rsid w:val="00AB700C"/>
    <w:rsid w:val="00AB74D2"/>
    <w:rsid w:val="00AC2117"/>
    <w:rsid w:val="00AC2178"/>
    <w:rsid w:val="00AC3651"/>
    <w:rsid w:val="00AC4E3A"/>
    <w:rsid w:val="00AC5071"/>
    <w:rsid w:val="00AC6944"/>
    <w:rsid w:val="00AC6BA6"/>
    <w:rsid w:val="00AC7250"/>
    <w:rsid w:val="00AD393E"/>
    <w:rsid w:val="00AD3A27"/>
    <w:rsid w:val="00AD3A30"/>
    <w:rsid w:val="00AD4FA2"/>
    <w:rsid w:val="00AD4FFE"/>
    <w:rsid w:val="00AD5AA7"/>
    <w:rsid w:val="00AD745A"/>
    <w:rsid w:val="00AD7735"/>
    <w:rsid w:val="00AD79F5"/>
    <w:rsid w:val="00AD7EB3"/>
    <w:rsid w:val="00AE0523"/>
    <w:rsid w:val="00AE253F"/>
    <w:rsid w:val="00AE357A"/>
    <w:rsid w:val="00AE3FD1"/>
    <w:rsid w:val="00AE40AB"/>
    <w:rsid w:val="00AE6ACA"/>
    <w:rsid w:val="00AE6F90"/>
    <w:rsid w:val="00AF0232"/>
    <w:rsid w:val="00AF24ED"/>
    <w:rsid w:val="00AF4BB8"/>
    <w:rsid w:val="00AF58F9"/>
    <w:rsid w:val="00AF6188"/>
    <w:rsid w:val="00AF63D8"/>
    <w:rsid w:val="00AF6FDF"/>
    <w:rsid w:val="00B0030C"/>
    <w:rsid w:val="00B00CFC"/>
    <w:rsid w:val="00B01428"/>
    <w:rsid w:val="00B02BC6"/>
    <w:rsid w:val="00B03034"/>
    <w:rsid w:val="00B03243"/>
    <w:rsid w:val="00B042AE"/>
    <w:rsid w:val="00B04A21"/>
    <w:rsid w:val="00B068DF"/>
    <w:rsid w:val="00B07500"/>
    <w:rsid w:val="00B07827"/>
    <w:rsid w:val="00B07BC5"/>
    <w:rsid w:val="00B10A61"/>
    <w:rsid w:val="00B10FA2"/>
    <w:rsid w:val="00B123AA"/>
    <w:rsid w:val="00B12419"/>
    <w:rsid w:val="00B12C8C"/>
    <w:rsid w:val="00B12F9A"/>
    <w:rsid w:val="00B14990"/>
    <w:rsid w:val="00B164B1"/>
    <w:rsid w:val="00B16533"/>
    <w:rsid w:val="00B16CA4"/>
    <w:rsid w:val="00B173C7"/>
    <w:rsid w:val="00B208A3"/>
    <w:rsid w:val="00B209C4"/>
    <w:rsid w:val="00B21763"/>
    <w:rsid w:val="00B22A9F"/>
    <w:rsid w:val="00B22DC9"/>
    <w:rsid w:val="00B241A9"/>
    <w:rsid w:val="00B24A03"/>
    <w:rsid w:val="00B25192"/>
    <w:rsid w:val="00B25867"/>
    <w:rsid w:val="00B25C84"/>
    <w:rsid w:val="00B2654A"/>
    <w:rsid w:val="00B26F37"/>
    <w:rsid w:val="00B27664"/>
    <w:rsid w:val="00B31B28"/>
    <w:rsid w:val="00B3226F"/>
    <w:rsid w:val="00B3236F"/>
    <w:rsid w:val="00B33202"/>
    <w:rsid w:val="00B338AF"/>
    <w:rsid w:val="00B34392"/>
    <w:rsid w:val="00B34411"/>
    <w:rsid w:val="00B34B45"/>
    <w:rsid w:val="00B36014"/>
    <w:rsid w:val="00B36300"/>
    <w:rsid w:val="00B36C5B"/>
    <w:rsid w:val="00B37A08"/>
    <w:rsid w:val="00B37C8B"/>
    <w:rsid w:val="00B409C5"/>
    <w:rsid w:val="00B41843"/>
    <w:rsid w:val="00B426CF"/>
    <w:rsid w:val="00B43013"/>
    <w:rsid w:val="00B443D1"/>
    <w:rsid w:val="00B46861"/>
    <w:rsid w:val="00B47EC3"/>
    <w:rsid w:val="00B504A0"/>
    <w:rsid w:val="00B509CB"/>
    <w:rsid w:val="00B51144"/>
    <w:rsid w:val="00B5131F"/>
    <w:rsid w:val="00B54F62"/>
    <w:rsid w:val="00B565A5"/>
    <w:rsid w:val="00B56F02"/>
    <w:rsid w:val="00B57498"/>
    <w:rsid w:val="00B600EF"/>
    <w:rsid w:val="00B61237"/>
    <w:rsid w:val="00B61721"/>
    <w:rsid w:val="00B6178A"/>
    <w:rsid w:val="00B62935"/>
    <w:rsid w:val="00B62A47"/>
    <w:rsid w:val="00B64097"/>
    <w:rsid w:val="00B655AA"/>
    <w:rsid w:val="00B66057"/>
    <w:rsid w:val="00B66B02"/>
    <w:rsid w:val="00B679B0"/>
    <w:rsid w:val="00B70BA5"/>
    <w:rsid w:val="00B71193"/>
    <w:rsid w:val="00B73038"/>
    <w:rsid w:val="00B73ABC"/>
    <w:rsid w:val="00B7465D"/>
    <w:rsid w:val="00B76BE0"/>
    <w:rsid w:val="00B76DED"/>
    <w:rsid w:val="00B77190"/>
    <w:rsid w:val="00B77405"/>
    <w:rsid w:val="00B77933"/>
    <w:rsid w:val="00B816D0"/>
    <w:rsid w:val="00B826A3"/>
    <w:rsid w:val="00B82AEC"/>
    <w:rsid w:val="00B82D3F"/>
    <w:rsid w:val="00B83772"/>
    <w:rsid w:val="00B85F87"/>
    <w:rsid w:val="00B86A9D"/>
    <w:rsid w:val="00B87507"/>
    <w:rsid w:val="00B92644"/>
    <w:rsid w:val="00B93577"/>
    <w:rsid w:val="00B93DC4"/>
    <w:rsid w:val="00B946FA"/>
    <w:rsid w:val="00B96B3C"/>
    <w:rsid w:val="00BA09AA"/>
    <w:rsid w:val="00BA0FC2"/>
    <w:rsid w:val="00BA3483"/>
    <w:rsid w:val="00BA379D"/>
    <w:rsid w:val="00BA4884"/>
    <w:rsid w:val="00BA4B65"/>
    <w:rsid w:val="00BA64CC"/>
    <w:rsid w:val="00BA651A"/>
    <w:rsid w:val="00BA6AD7"/>
    <w:rsid w:val="00BA762D"/>
    <w:rsid w:val="00BA76C2"/>
    <w:rsid w:val="00BA7762"/>
    <w:rsid w:val="00BB02D1"/>
    <w:rsid w:val="00BB0B61"/>
    <w:rsid w:val="00BB147E"/>
    <w:rsid w:val="00BB1632"/>
    <w:rsid w:val="00BB16A8"/>
    <w:rsid w:val="00BB2978"/>
    <w:rsid w:val="00BB2E98"/>
    <w:rsid w:val="00BB4802"/>
    <w:rsid w:val="00BB4EE1"/>
    <w:rsid w:val="00BB6384"/>
    <w:rsid w:val="00BB7550"/>
    <w:rsid w:val="00BC08DC"/>
    <w:rsid w:val="00BC0DEB"/>
    <w:rsid w:val="00BC19BC"/>
    <w:rsid w:val="00BC1AFE"/>
    <w:rsid w:val="00BC1FA5"/>
    <w:rsid w:val="00BC2D60"/>
    <w:rsid w:val="00BC325C"/>
    <w:rsid w:val="00BC3D69"/>
    <w:rsid w:val="00BC42E3"/>
    <w:rsid w:val="00BC5872"/>
    <w:rsid w:val="00BC7518"/>
    <w:rsid w:val="00BC7C34"/>
    <w:rsid w:val="00BD08FC"/>
    <w:rsid w:val="00BD1CD0"/>
    <w:rsid w:val="00BD24D2"/>
    <w:rsid w:val="00BD3977"/>
    <w:rsid w:val="00BD3A78"/>
    <w:rsid w:val="00BD589B"/>
    <w:rsid w:val="00BD609F"/>
    <w:rsid w:val="00BD7DEA"/>
    <w:rsid w:val="00BD7EE7"/>
    <w:rsid w:val="00BE0D3F"/>
    <w:rsid w:val="00BE0DA8"/>
    <w:rsid w:val="00BE300C"/>
    <w:rsid w:val="00BE3C75"/>
    <w:rsid w:val="00BE41DA"/>
    <w:rsid w:val="00BE61FA"/>
    <w:rsid w:val="00BE7703"/>
    <w:rsid w:val="00BF03BB"/>
    <w:rsid w:val="00BF0DA9"/>
    <w:rsid w:val="00BF1199"/>
    <w:rsid w:val="00BF17BA"/>
    <w:rsid w:val="00BF1826"/>
    <w:rsid w:val="00BF285D"/>
    <w:rsid w:val="00BF3AC4"/>
    <w:rsid w:val="00BF4540"/>
    <w:rsid w:val="00BF4A7E"/>
    <w:rsid w:val="00BF4B98"/>
    <w:rsid w:val="00BF5577"/>
    <w:rsid w:val="00BF5E46"/>
    <w:rsid w:val="00BF6091"/>
    <w:rsid w:val="00BF7BAC"/>
    <w:rsid w:val="00C008AF"/>
    <w:rsid w:val="00C018CC"/>
    <w:rsid w:val="00C02E32"/>
    <w:rsid w:val="00C0308E"/>
    <w:rsid w:val="00C0336F"/>
    <w:rsid w:val="00C03649"/>
    <w:rsid w:val="00C040CF"/>
    <w:rsid w:val="00C04C51"/>
    <w:rsid w:val="00C0548D"/>
    <w:rsid w:val="00C06B57"/>
    <w:rsid w:val="00C072B7"/>
    <w:rsid w:val="00C07F5C"/>
    <w:rsid w:val="00C10261"/>
    <w:rsid w:val="00C104C1"/>
    <w:rsid w:val="00C10FCE"/>
    <w:rsid w:val="00C1195D"/>
    <w:rsid w:val="00C12D77"/>
    <w:rsid w:val="00C13848"/>
    <w:rsid w:val="00C15246"/>
    <w:rsid w:val="00C1657F"/>
    <w:rsid w:val="00C16640"/>
    <w:rsid w:val="00C170C7"/>
    <w:rsid w:val="00C1761D"/>
    <w:rsid w:val="00C20643"/>
    <w:rsid w:val="00C21723"/>
    <w:rsid w:val="00C22706"/>
    <w:rsid w:val="00C22E95"/>
    <w:rsid w:val="00C23E5C"/>
    <w:rsid w:val="00C23FB6"/>
    <w:rsid w:val="00C2413D"/>
    <w:rsid w:val="00C24390"/>
    <w:rsid w:val="00C24AA8"/>
    <w:rsid w:val="00C25A86"/>
    <w:rsid w:val="00C2672C"/>
    <w:rsid w:val="00C300A5"/>
    <w:rsid w:val="00C30CB8"/>
    <w:rsid w:val="00C31957"/>
    <w:rsid w:val="00C33231"/>
    <w:rsid w:val="00C34338"/>
    <w:rsid w:val="00C3601A"/>
    <w:rsid w:val="00C37807"/>
    <w:rsid w:val="00C378F7"/>
    <w:rsid w:val="00C405BD"/>
    <w:rsid w:val="00C41241"/>
    <w:rsid w:val="00C41332"/>
    <w:rsid w:val="00C421FB"/>
    <w:rsid w:val="00C422B5"/>
    <w:rsid w:val="00C4262E"/>
    <w:rsid w:val="00C43A9D"/>
    <w:rsid w:val="00C44644"/>
    <w:rsid w:val="00C447DC"/>
    <w:rsid w:val="00C44AD4"/>
    <w:rsid w:val="00C4519C"/>
    <w:rsid w:val="00C45FA6"/>
    <w:rsid w:val="00C467E6"/>
    <w:rsid w:val="00C47C30"/>
    <w:rsid w:val="00C50868"/>
    <w:rsid w:val="00C50B4F"/>
    <w:rsid w:val="00C51B8E"/>
    <w:rsid w:val="00C5404D"/>
    <w:rsid w:val="00C54AEB"/>
    <w:rsid w:val="00C550DD"/>
    <w:rsid w:val="00C55BED"/>
    <w:rsid w:val="00C570F8"/>
    <w:rsid w:val="00C57465"/>
    <w:rsid w:val="00C57A14"/>
    <w:rsid w:val="00C57FBD"/>
    <w:rsid w:val="00C60EB4"/>
    <w:rsid w:val="00C61634"/>
    <w:rsid w:val="00C6337E"/>
    <w:rsid w:val="00C6412E"/>
    <w:rsid w:val="00C64C70"/>
    <w:rsid w:val="00C65CAD"/>
    <w:rsid w:val="00C65E2A"/>
    <w:rsid w:val="00C65F14"/>
    <w:rsid w:val="00C67357"/>
    <w:rsid w:val="00C67649"/>
    <w:rsid w:val="00C70937"/>
    <w:rsid w:val="00C70C3B"/>
    <w:rsid w:val="00C73D45"/>
    <w:rsid w:val="00C753BA"/>
    <w:rsid w:val="00C759A4"/>
    <w:rsid w:val="00C75DA2"/>
    <w:rsid w:val="00C767FB"/>
    <w:rsid w:val="00C80060"/>
    <w:rsid w:val="00C806DC"/>
    <w:rsid w:val="00C80F7B"/>
    <w:rsid w:val="00C8151E"/>
    <w:rsid w:val="00C8175A"/>
    <w:rsid w:val="00C8178F"/>
    <w:rsid w:val="00C84269"/>
    <w:rsid w:val="00C845BF"/>
    <w:rsid w:val="00C84A11"/>
    <w:rsid w:val="00C84DBA"/>
    <w:rsid w:val="00C850F4"/>
    <w:rsid w:val="00C85553"/>
    <w:rsid w:val="00C85B18"/>
    <w:rsid w:val="00C867F9"/>
    <w:rsid w:val="00C86839"/>
    <w:rsid w:val="00C877D0"/>
    <w:rsid w:val="00C90085"/>
    <w:rsid w:val="00C90F9F"/>
    <w:rsid w:val="00C9137B"/>
    <w:rsid w:val="00C91827"/>
    <w:rsid w:val="00C91F2C"/>
    <w:rsid w:val="00C92164"/>
    <w:rsid w:val="00C948A0"/>
    <w:rsid w:val="00C94B32"/>
    <w:rsid w:val="00C9750A"/>
    <w:rsid w:val="00C975B9"/>
    <w:rsid w:val="00C97772"/>
    <w:rsid w:val="00C97868"/>
    <w:rsid w:val="00CA060C"/>
    <w:rsid w:val="00CA0698"/>
    <w:rsid w:val="00CA1066"/>
    <w:rsid w:val="00CA2A7E"/>
    <w:rsid w:val="00CA3407"/>
    <w:rsid w:val="00CA3554"/>
    <w:rsid w:val="00CA5328"/>
    <w:rsid w:val="00CB31CE"/>
    <w:rsid w:val="00CB31FC"/>
    <w:rsid w:val="00CB4680"/>
    <w:rsid w:val="00CB4EE0"/>
    <w:rsid w:val="00CB5538"/>
    <w:rsid w:val="00CB65B1"/>
    <w:rsid w:val="00CB6ABD"/>
    <w:rsid w:val="00CB705D"/>
    <w:rsid w:val="00CB745B"/>
    <w:rsid w:val="00CC047C"/>
    <w:rsid w:val="00CC0B7B"/>
    <w:rsid w:val="00CC0E9B"/>
    <w:rsid w:val="00CC1CF1"/>
    <w:rsid w:val="00CC3254"/>
    <w:rsid w:val="00CC5F8E"/>
    <w:rsid w:val="00CC6126"/>
    <w:rsid w:val="00CC61B5"/>
    <w:rsid w:val="00CC652E"/>
    <w:rsid w:val="00CC6B1E"/>
    <w:rsid w:val="00CD19EE"/>
    <w:rsid w:val="00CD1F11"/>
    <w:rsid w:val="00CD2355"/>
    <w:rsid w:val="00CD38FC"/>
    <w:rsid w:val="00CD4481"/>
    <w:rsid w:val="00CD4654"/>
    <w:rsid w:val="00CD47CA"/>
    <w:rsid w:val="00CD50FB"/>
    <w:rsid w:val="00CD524A"/>
    <w:rsid w:val="00CD62E5"/>
    <w:rsid w:val="00CD7338"/>
    <w:rsid w:val="00CD7CEE"/>
    <w:rsid w:val="00CE0439"/>
    <w:rsid w:val="00CE0B60"/>
    <w:rsid w:val="00CE0BC4"/>
    <w:rsid w:val="00CE289C"/>
    <w:rsid w:val="00CE30A2"/>
    <w:rsid w:val="00CE50A4"/>
    <w:rsid w:val="00CE572A"/>
    <w:rsid w:val="00CE577E"/>
    <w:rsid w:val="00CE5B58"/>
    <w:rsid w:val="00CE5D8F"/>
    <w:rsid w:val="00CE606E"/>
    <w:rsid w:val="00CE64F5"/>
    <w:rsid w:val="00CE7531"/>
    <w:rsid w:val="00CE7DF2"/>
    <w:rsid w:val="00CF002B"/>
    <w:rsid w:val="00CF03F1"/>
    <w:rsid w:val="00CF08CB"/>
    <w:rsid w:val="00CF456C"/>
    <w:rsid w:val="00CF68D7"/>
    <w:rsid w:val="00CF6FDC"/>
    <w:rsid w:val="00CF7508"/>
    <w:rsid w:val="00CF7706"/>
    <w:rsid w:val="00CF78C3"/>
    <w:rsid w:val="00CF7A48"/>
    <w:rsid w:val="00CF7B12"/>
    <w:rsid w:val="00CF7D1F"/>
    <w:rsid w:val="00D00F81"/>
    <w:rsid w:val="00D012C3"/>
    <w:rsid w:val="00D0273B"/>
    <w:rsid w:val="00D02AD3"/>
    <w:rsid w:val="00D0446A"/>
    <w:rsid w:val="00D070FB"/>
    <w:rsid w:val="00D106E4"/>
    <w:rsid w:val="00D117BA"/>
    <w:rsid w:val="00D11973"/>
    <w:rsid w:val="00D12348"/>
    <w:rsid w:val="00D127F8"/>
    <w:rsid w:val="00D13BFE"/>
    <w:rsid w:val="00D1426B"/>
    <w:rsid w:val="00D14A5B"/>
    <w:rsid w:val="00D14BDB"/>
    <w:rsid w:val="00D15032"/>
    <w:rsid w:val="00D15B18"/>
    <w:rsid w:val="00D15B9F"/>
    <w:rsid w:val="00D1788B"/>
    <w:rsid w:val="00D21035"/>
    <w:rsid w:val="00D21388"/>
    <w:rsid w:val="00D21442"/>
    <w:rsid w:val="00D2172E"/>
    <w:rsid w:val="00D22057"/>
    <w:rsid w:val="00D23804"/>
    <w:rsid w:val="00D256E3"/>
    <w:rsid w:val="00D25C15"/>
    <w:rsid w:val="00D26028"/>
    <w:rsid w:val="00D269C6"/>
    <w:rsid w:val="00D2703B"/>
    <w:rsid w:val="00D30B54"/>
    <w:rsid w:val="00D33D39"/>
    <w:rsid w:val="00D33ECE"/>
    <w:rsid w:val="00D344B4"/>
    <w:rsid w:val="00D3461C"/>
    <w:rsid w:val="00D34A0F"/>
    <w:rsid w:val="00D35B1F"/>
    <w:rsid w:val="00D363BD"/>
    <w:rsid w:val="00D3790C"/>
    <w:rsid w:val="00D404E5"/>
    <w:rsid w:val="00D40525"/>
    <w:rsid w:val="00D4053B"/>
    <w:rsid w:val="00D40836"/>
    <w:rsid w:val="00D40880"/>
    <w:rsid w:val="00D40A17"/>
    <w:rsid w:val="00D40AEE"/>
    <w:rsid w:val="00D40CF9"/>
    <w:rsid w:val="00D40EB7"/>
    <w:rsid w:val="00D413D5"/>
    <w:rsid w:val="00D415F3"/>
    <w:rsid w:val="00D41619"/>
    <w:rsid w:val="00D41947"/>
    <w:rsid w:val="00D43E6D"/>
    <w:rsid w:val="00D44DF1"/>
    <w:rsid w:val="00D458BF"/>
    <w:rsid w:val="00D464CD"/>
    <w:rsid w:val="00D46551"/>
    <w:rsid w:val="00D51406"/>
    <w:rsid w:val="00D5352B"/>
    <w:rsid w:val="00D540BC"/>
    <w:rsid w:val="00D548E5"/>
    <w:rsid w:val="00D54910"/>
    <w:rsid w:val="00D54C9D"/>
    <w:rsid w:val="00D55113"/>
    <w:rsid w:val="00D55BBF"/>
    <w:rsid w:val="00D563A3"/>
    <w:rsid w:val="00D56956"/>
    <w:rsid w:val="00D62029"/>
    <w:rsid w:val="00D64A87"/>
    <w:rsid w:val="00D65BA8"/>
    <w:rsid w:val="00D664DC"/>
    <w:rsid w:val="00D66C49"/>
    <w:rsid w:val="00D678B6"/>
    <w:rsid w:val="00D67921"/>
    <w:rsid w:val="00D70706"/>
    <w:rsid w:val="00D71817"/>
    <w:rsid w:val="00D718E1"/>
    <w:rsid w:val="00D71E76"/>
    <w:rsid w:val="00D722E4"/>
    <w:rsid w:val="00D72ABF"/>
    <w:rsid w:val="00D733E8"/>
    <w:rsid w:val="00D74B1A"/>
    <w:rsid w:val="00D75379"/>
    <w:rsid w:val="00D77002"/>
    <w:rsid w:val="00D77A81"/>
    <w:rsid w:val="00D77BE5"/>
    <w:rsid w:val="00D81C29"/>
    <w:rsid w:val="00D81C50"/>
    <w:rsid w:val="00D828E8"/>
    <w:rsid w:val="00D82C2D"/>
    <w:rsid w:val="00D84D3D"/>
    <w:rsid w:val="00D84DEA"/>
    <w:rsid w:val="00D84E85"/>
    <w:rsid w:val="00D85537"/>
    <w:rsid w:val="00D85733"/>
    <w:rsid w:val="00D859F9"/>
    <w:rsid w:val="00D85AA4"/>
    <w:rsid w:val="00D867EC"/>
    <w:rsid w:val="00D877BE"/>
    <w:rsid w:val="00D90542"/>
    <w:rsid w:val="00D93374"/>
    <w:rsid w:val="00D937F7"/>
    <w:rsid w:val="00D94CFE"/>
    <w:rsid w:val="00D952E2"/>
    <w:rsid w:val="00D95E0F"/>
    <w:rsid w:val="00D97737"/>
    <w:rsid w:val="00DA3478"/>
    <w:rsid w:val="00DA4470"/>
    <w:rsid w:val="00DA4618"/>
    <w:rsid w:val="00DA4E2B"/>
    <w:rsid w:val="00DA5DFA"/>
    <w:rsid w:val="00DA7C12"/>
    <w:rsid w:val="00DB246C"/>
    <w:rsid w:val="00DB2754"/>
    <w:rsid w:val="00DB3324"/>
    <w:rsid w:val="00DB3490"/>
    <w:rsid w:val="00DB47BF"/>
    <w:rsid w:val="00DB5281"/>
    <w:rsid w:val="00DB62DE"/>
    <w:rsid w:val="00DC261A"/>
    <w:rsid w:val="00DC27BC"/>
    <w:rsid w:val="00DC2CE2"/>
    <w:rsid w:val="00DC64AD"/>
    <w:rsid w:val="00DD1510"/>
    <w:rsid w:val="00DD2F66"/>
    <w:rsid w:val="00DD385D"/>
    <w:rsid w:val="00DD536B"/>
    <w:rsid w:val="00DD5FF9"/>
    <w:rsid w:val="00DD6934"/>
    <w:rsid w:val="00DD6E1F"/>
    <w:rsid w:val="00DD78C1"/>
    <w:rsid w:val="00DE2589"/>
    <w:rsid w:val="00DE3144"/>
    <w:rsid w:val="00DE48D3"/>
    <w:rsid w:val="00DF0519"/>
    <w:rsid w:val="00DF05CF"/>
    <w:rsid w:val="00DF1146"/>
    <w:rsid w:val="00DF1409"/>
    <w:rsid w:val="00DF178A"/>
    <w:rsid w:val="00DF4959"/>
    <w:rsid w:val="00DF6497"/>
    <w:rsid w:val="00DF6E0D"/>
    <w:rsid w:val="00DF7861"/>
    <w:rsid w:val="00E00AF9"/>
    <w:rsid w:val="00E00FE5"/>
    <w:rsid w:val="00E028D6"/>
    <w:rsid w:val="00E02FF0"/>
    <w:rsid w:val="00E033E8"/>
    <w:rsid w:val="00E034CE"/>
    <w:rsid w:val="00E05086"/>
    <w:rsid w:val="00E10758"/>
    <w:rsid w:val="00E12006"/>
    <w:rsid w:val="00E12B17"/>
    <w:rsid w:val="00E1367A"/>
    <w:rsid w:val="00E138ED"/>
    <w:rsid w:val="00E14528"/>
    <w:rsid w:val="00E14EA7"/>
    <w:rsid w:val="00E14EBB"/>
    <w:rsid w:val="00E14F2A"/>
    <w:rsid w:val="00E15607"/>
    <w:rsid w:val="00E164E4"/>
    <w:rsid w:val="00E17044"/>
    <w:rsid w:val="00E20E3D"/>
    <w:rsid w:val="00E23322"/>
    <w:rsid w:val="00E23987"/>
    <w:rsid w:val="00E257A2"/>
    <w:rsid w:val="00E265E1"/>
    <w:rsid w:val="00E26DA1"/>
    <w:rsid w:val="00E27558"/>
    <w:rsid w:val="00E27D45"/>
    <w:rsid w:val="00E3084B"/>
    <w:rsid w:val="00E33496"/>
    <w:rsid w:val="00E33875"/>
    <w:rsid w:val="00E34394"/>
    <w:rsid w:val="00E34502"/>
    <w:rsid w:val="00E34566"/>
    <w:rsid w:val="00E34625"/>
    <w:rsid w:val="00E3509F"/>
    <w:rsid w:val="00E35B34"/>
    <w:rsid w:val="00E3634D"/>
    <w:rsid w:val="00E36C78"/>
    <w:rsid w:val="00E37BBC"/>
    <w:rsid w:val="00E41523"/>
    <w:rsid w:val="00E41BA5"/>
    <w:rsid w:val="00E4225F"/>
    <w:rsid w:val="00E426E1"/>
    <w:rsid w:val="00E429FE"/>
    <w:rsid w:val="00E43400"/>
    <w:rsid w:val="00E4387C"/>
    <w:rsid w:val="00E44D29"/>
    <w:rsid w:val="00E44EC2"/>
    <w:rsid w:val="00E45112"/>
    <w:rsid w:val="00E47E10"/>
    <w:rsid w:val="00E50A3A"/>
    <w:rsid w:val="00E50E79"/>
    <w:rsid w:val="00E51DC7"/>
    <w:rsid w:val="00E52742"/>
    <w:rsid w:val="00E53ED1"/>
    <w:rsid w:val="00E560C7"/>
    <w:rsid w:val="00E561CD"/>
    <w:rsid w:val="00E563F3"/>
    <w:rsid w:val="00E57066"/>
    <w:rsid w:val="00E60005"/>
    <w:rsid w:val="00E6100F"/>
    <w:rsid w:val="00E62813"/>
    <w:rsid w:val="00E62D1E"/>
    <w:rsid w:val="00E63252"/>
    <w:rsid w:val="00E6435E"/>
    <w:rsid w:val="00E65CE3"/>
    <w:rsid w:val="00E67C26"/>
    <w:rsid w:val="00E705C3"/>
    <w:rsid w:val="00E71550"/>
    <w:rsid w:val="00E7208F"/>
    <w:rsid w:val="00E72B75"/>
    <w:rsid w:val="00E7323C"/>
    <w:rsid w:val="00E7344E"/>
    <w:rsid w:val="00E73573"/>
    <w:rsid w:val="00E74C3E"/>
    <w:rsid w:val="00E7662C"/>
    <w:rsid w:val="00E76FAE"/>
    <w:rsid w:val="00E77E63"/>
    <w:rsid w:val="00E8014F"/>
    <w:rsid w:val="00E82B4B"/>
    <w:rsid w:val="00E84130"/>
    <w:rsid w:val="00E84163"/>
    <w:rsid w:val="00E85BC3"/>
    <w:rsid w:val="00E85C03"/>
    <w:rsid w:val="00E86BD2"/>
    <w:rsid w:val="00E900FB"/>
    <w:rsid w:val="00E90822"/>
    <w:rsid w:val="00E90B47"/>
    <w:rsid w:val="00E94084"/>
    <w:rsid w:val="00E95997"/>
    <w:rsid w:val="00E95AF0"/>
    <w:rsid w:val="00E96FC2"/>
    <w:rsid w:val="00E972A8"/>
    <w:rsid w:val="00EA0327"/>
    <w:rsid w:val="00EA0AE2"/>
    <w:rsid w:val="00EA2152"/>
    <w:rsid w:val="00EA28EA"/>
    <w:rsid w:val="00EA2E2F"/>
    <w:rsid w:val="00EA3470"/>
    <w:rsid w:val="00EA41A2"/>
    <w:rsid w:val="00EA4761"/>
    <w:rsid w:val="00EA4AB9"/>
    <w:rsid w:val="00EA4E30"/>
    <w:rsid w:val="00EA4E53"/>
    <w:rsid w:val="00EA68DE"/>
    <w:rsid w:val="00EA7BA1"/>
    <w:rsid w:val="00EA7EA1"/>
    <w:rsid w:val="00EB030D"/>
    <w:rsid w:val="00EB1D0F"/>
    <w:rsid w:val="00EB2246"/>
    <w:rsid w:val="00EB27A2"/>
    <w:rsid w:val="00EB2B44"/>
    <w:rsid w:val="00EB461C"/>
    <w:rsid w:val="00EB71AE"/>
    <w:rsid w:val="00EC0F34"/>
    <w:rsid w:val="00EC13B3"/>
    <w:rsid w:val="00EC284D"/>
    <w:rsid w:val="00EC2E11"/>
    <w:rsid w:val="00EC3279"/>
    <w:rsid w:val="00EC5577"/>
    <w:rsid w:val="00EC70D7"/>
    <w:rsid w:val="00EC74B8"/>
    <w:rsid w:val="00EC7A01"/>
    <w:rsid w:val="00EC7BB9"/>
    <w:rsid w:val="00EC7E6D"/>
    <w:rsid w:val="00ED00A0"/>
    <w:rsid w:val="00ED1581"/>
    <w:rsid w:val="00ED16EE"/>
    <w:rsid w:val="00ED1923"/>
    <w:rsid w:val="00ED2A45"/>
    <w:rsid w:val="00ED2CCE"/>
    <w:rsid w:val="00ED4B33"/>
    <w:rsid w:val="00ED4BCC"/>
    <w:rsid w:val="00ED4E60"/>
    <w:rsid w:val="00ED4EAE"/>
    <w:rsid w:val="00ED5DAB"/>
    <w:rsid w:val="00ED636D"/>
    <w:rsid w:val="00ED69CB"/>
    <w:rsid w:val="00ED6F34"/>
    <w:rsid w:val="00EE074F"/>
    <w:rsid w:val="00EE2788"/>
    <w:rsid w:val="00EE2BE1"/>
    <w:rsid w:val="00EE2E99"/>
    <w:rsid w:val="00EE4CB5"/>
    <w:rsid w:val="00EE506A"/>
    <w:rsid w:val="00EE5286"/>
    <w:rsid w:val="00EE57C2"/>
    <w:rsid w:val="00EE6723"/>
    <w:rsid w:val="00EE684B"/>
    <w:rsid w:val="00EE6FB3"/>
    <w:rsid w:val="00EE7790"/>
    <w:rsid w:val="00EF0E92"/>
    <w:rsid w:val="00EF1164"/>
    <w:rsid w:val="00EF187C"/>
    <w:rsid w:val="00EF1C70"/>
    <w:rsid w:val="00EF1DB1"/>
    <w:rsid w:val="00EF5521"/>
    <w:rsid w:val="00EF55C4"/>
    <w:rsid w:val="00EF6082"/>
    <w:rsid w:val="00EF63A1"/>
    <w:rsid w:val="00EF793F"/>
    <w:rsid w:val="00EF7CD3"/>
    <w:rsid w:val="00F01BA2"/>
    <w:rsid w:val="00F021C0"/>
    <w:rsid w:val="00F02AC5"/>
    <w:rsid w:val="00F0317C"/>
    <w:rsid w:val="00F04F75"/>
    <w:rsid w:val="00F06AF8"/>
    <w:rsid w:val="00F070A0"/>
    <w:rsid w:val="00F07400"/>
    <w:rsid w:val="00F07894"/>
    <w:rsid w:val="00F10BA0"/>
    <w:rsid w:val="00F112FD"/>
    <w:rsid w:val="00F1131F"/>
    <w:rsid w:val="00F1453E"/>
    <w:rsid w:val="00F14835"/>
    <w:rsid w:val="00F15039"/>
    <w:rsid w:val="00F210A2"/>
    <w:rsid w:val="00F21549"/>
    <w:rsid w:val="00F22A51"/>
    <w:rsid w:val="00F23A92"/>
    <w:rsid w:val="00F24ADF"/>
    <w:rsid w:val="00F2539F"/>
    <w:rsid w:val="00F26F5F"/>
    <w:rsid w:val="00F31C72"/>
    <w:rsid w:val="00F31CDD"/>
    <w:rsid w:val="00F31EC9"/>
    <w:rsid w:val="00F3461B"/>
    <w:rsid w:val="00F34A9E"/>
    <w:rsid w:val="00F35DC6"/>
    <w:rsid w:val="00F360B0"/>
    <w:rsid w:val="00F4054C"/>
    <w:rsid w:val="00F419D6"/>
    <w:rsid w:val="00F42B1F"/>
    <w:rsid w:val="00F42F6C"/>
    <w:rsid w:val="00F4310C"/>
    <w:rsid w:val="00F45366"/>
    <w:rsid w:val="00F46EC8"/>
    <w:rsid w:val="00F47B7F"/>
    <w:rsid w:val="00F51578"/>
    <w:rsid w:val="00F525D7"/>
    <w:rsid w:val="00F53A26"/>
    <w:rsid w:val="00F53F61"/>
    <w:rsid w:val="00F543F6"/>
    <w:rsid w:val="00F54886"/>
    <w:rsid w:val="00F54921"/>
    <w:rsid w:val="00F5624B"/>
    <w:rsid w:val="00F57BB2"/>
    <w:rsid w:val="00F608C3"/>
    <w:rsid w:val="00F617F4"/>
    <w:rsid w:val="00F61DD1"/>
    <w:rsid w:val="00F62A66"/>
    <w:rsid w:val="00F62CE2"/>
    <w:rsid w:val="00F66179"/>
    <w:rsid w:val="00F672B1"/>
    <w:rsid w:val="00F673C1"/>
    <w:rsid w:val="00F67F93"/>
    <w:rsid w:val="00F707A3"/>
    <w:rsid w:val="00F70AE3"/>
    <w:rsid w:val="00F71401"/>
    <w:rsid w:val="00F726ED"/>
    <w:rsid w:val="00F73E2C"/>
    <w:rsid w:val="00F75497"/>
    <w:rsid w:val="00F76CD4"/>
    <w:rsid w:val="00F77C7F"/>
    <w:rsid w:val="00F77E16"/>
    <w:rsid w:val="00F81A00"/>
    <w:rsid w:val="00F8464E"/>
    <w:rsid w:val="00F86732"/>
    <w:rsid w:val="00F90A80"/>
    <w:rsid w:val="00F911FB"/>
    <w:rsid w:val="00F91DA4"/>
    <w:rsid w:val="00F92D7E"/>
    <w:rsid w:val="00F93209"/>
    <w:rsid w:val="00F93FF0"/>
    <w:rsid w:val="00F9505D"/>
    <w:rsid w:val="00F9515B"/>
    <w:rsid w:val="00F9515C"/>
    <w:rsid w:val="00F96372"/>
    <w:rsid w:val="00F969B4"/>
    <w:rsid w:val="00F9717F"/>
    <w:rsid w:val="00FA0C38"/>
    <w:rsid w:val="00FA1E92"/>
    <w:rsid w:val="00FA2407"/>
    <w:rsid w:val="00FA24D1"/>
    <w:rsid w:val="00FA296B"/>
    <w:rsid w:val="00FA2BE8"/>
    <w:rsid w:val="00FA35EE"/>
    <w:rsid w:val="00FA45AD"/>
    <w:rsid w:val="00FA4DD8"/>
    <w:rsid w:val="00FA570A"/>
    <w:rsid w:val="00FA5DFE"/>
    <w:rsid w:val="00FA7206"/>
    <w:rsid w:val="00FB1396"/>
    <w:rsid w:val="00FB2465"/>
    <w:rsid w:val="00FB3E5B"/>
    <w:rsid w:val="00FB3E62"/>
    <w:rsid w:val="00FB4ACC"/>
    <w:rsid w:val="00FB7B54"/>
    <w:rsid w:val="00FB7F70"/>
    <w:rsid w:val="00FC1416"/>
    <w:rsid w:val="00FC386A"/>
    <w:rsid w:val="00FC397C"/>
    <w:rsid w:val="00FC42F5"/>
    <w:rsid w:val="00FC4C13"/>
    <w:rsid w:val="00FC5490"/>
    <w:rsid w:val="00FC58A3"/>
    <w:rsid w:val="00FC6D96"/>
    <w:rsid w:val="00FC72DA"/>
    <w:rsid w:val="00FC7CB2"/>
    <w:rsid w:val="00FD01DB"/>
    <w:rsid w:val="00FD0A40"/>
    <w:rsid w:val="00FD0A76"/>
    <w:rsid w:val="00FD1F7B"/>
    <w:rsid w:val="00FD2B2A"/>
    <w:rsid w:val="00FD2EAD"/>
    <w:rsid w:val="00FD2FC0"/>
    <w:rsid w:val="00FD3609"/>
    <w:rsid w:val="00FD3E22"/>
    <w:rsid w:val="00FD4CAC"/>
    <w:rsid w:val="00FD5E10"/>
    <w:rsid w:val="00FD61B4"/>
    <w:rsid w:val="00FD6E74"/>
    <w:rsid w:val="00FD706B"/>
    <w:rsid w:val="00FD7548"/>
    <w:rsid w:val="00FE1782"/>
    <w:rsid w:val="00FE27EE"/>
    <w:rsid w:val="00FE2B69"/>
    <w:rsid w:val="00FE2F08"/>
    <w:rsid w:val="00FE418A"/>
    <w:rsid w:val="00FE46AE"/>
    <w:rsid w:val="00FE4AFF"/>
    <w:rsid w:val="00FE5362"/>
    <w:rsid w:val="00FE5B18"/>
    <w:rsid w:val="00FE5DE5"/>
    <w:rsid w:val="00FE6CA5"/>
    <w:rsid w:val="00FE7A85"/>
    <w:rsid w:val="00FF134D"/>
    <w:rsid w:val="00FF1862"/>
    <w:rsid w:val="00FF18FD"/>
    <w:rsid w:val="00FF1920"/>
    <w:rsid w:val="00FF247B"/>
    <w:rsid w:val="00FF2698"/>
    <w:rsid w:val="00FF37E6"/>
    <w:rsid w:val="00FF4028"/>
    <w:rsid w:val="00FF5848"/>
    <w:rsid w:val="00FF5C7A"/>
    <w:rsid w:val="00FF5DC7"/>
    <w:rsid w:val="00FF60F7"/>
    <w:rsid w:val="00FF6AA1"/>
    <w:rsid w:val="00FF76E2"/>
    <w:rsid w:val="00FF7F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84A71"/>
  <w15:docId w15:val="{BAE6B5EF-C2D6-4174-8F4A-3F436787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3E2C"/>
    <w:pPr>
      <w:spacing w:after="0" w:line="240" w:lineRule="auto"/>
    </w:pPr>
    <w:rPr>
      <w:sz w:val="20"/>
    </w:rPr>
  </w:style>
  <w:style w:type="character" w:customStyle="1" w:styleId="FootnoteTextChar">
    <w:name w:val="Footnote Text Char"/>
    <w:basedOn w:val="DefaultParagraphFont"/>
    <w:link w:val="FootnoteText"/>
    <w:uiPriority w:val="99"/>
    <w:rsid w:val="00F73E2C"/>
    <w:rPr>
      <w:sz w:val="20"/>
    </w:rPr>
  </w:style>
  <w:style w:type="character" w:styleId="FootnoteReference">
    <w:name w:val="footnote reference"/>
    <w:basedOn w:val="DefaultParagraphFont"/>
    <w:uiPriority w:val="99"/>
    <w:semiHidden/>
    <w:unhideWhenUsed/>
    <w:rsid w:val="00F73E2C"/>
    <w:rPr>
      <w:vertAlign w:val="superscript"/>
    </w:rPr>
  </w:style>
  <w:style w:type="paragraph" w:styleId="ListParagraph">
    <w:name w:val="List Paragraph"/>
    <w:basedOn w:val="Normal"/>
    <w:uiPriority w:val="34"/>
    <w:qFormat/>
    <w:rsid w:val="00FF4028"/>
    <w:pPr>
      <w:ind w:left="720"/>
      <w:contextualSpacing/>
    </w:pPr>
  </w:style>
  <w:style w:type="character" w:customStyle="1" w:styleId="sb8d990e2">
    <w:name w:val="sb8d990e2"/>
    <w:basedOn w:val="DefaultParagraphFont"/>
    <w:rsid w:val="00057373"/>
  </w:style>
  <w:style w:type="paragraph" w:styleId="HTMLPreformatted">
    <w:name w:val="HTML Preformatted"/>
    <w:basedOn w:val="Normal"/>
    <w:link w:val="HTMLPreformattedChar"/>
    <w:uiPriority w:val="99"/>
    <w:unhideWhenUsed/>
    <w:rsid w:val="0098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98722A"/>
    <w:rPr>
      <w:rFonts w:ascii="Courier New" w:eastAsia="Times New Roman" w:hAnsi="Courier New" w:cs="Courier New"/>
      <w:sz w:val="20"/>
      <w:lang w:eastAsia="en-GB"/>
    </w:rPr>
  </w:style>
  <w:style w:type="paragraph" w:customStyle="1" w:styleId="s30eec3f8">
    <w:name w:val="s30eec3f8"/>
    <w:basedOn w:val="Normal"/>
    <w:rsid w:val="00232DDA"/>
    <w:pPr>
      <w:spacing w:before="100" w:beforeAutospacing="1" w:after="100" w:afterAutospacing="1" w:line="240" w:lineRule="auto"/>
    </w:pPr>
    <w:rPr>
      <w:rFonts w:eastAsia="Times New Roman"/>
      <w:szCs w:val="24"/>
      <w:lang w:eastAsia="en-GB"/>
    </w:rPr>
  </w:style>
  <w:style w:type="character" w:customStyle="1" w:styleId="s6b621b36">
    <w:name w:val="s6b621b36"/>
    <w:basedOn w:val="DefaultParagraphFont"/>
    <w:rsid w:val="00232DDA"/>
  </w:style>
  <w:style w:type="character" w:styleId="Hyperlink">
    <w:name w:val="Hyperlink"/>
    <w:basedOn w:val="DefaultParagraphFont"/>
    <w:uiPriority w:val="99"/>
    <w:unhideWhenUsed/>
    <w:rsid w:val="00232DDA"/>
    <w:rPr>
      <w:color w:val="0000FF"/>
      <w:u w:val="single"/>
    </w:rPr>
  </w:style>
  <w:style w:type="character" w:styleId="CommentReference">
    <w:name w:val="annotation reference"/>
    <w:basedOn w:val="DefaultParagraphFont"/>
    <w:uiPriority w:val="99"/>
    <w:semiHidden/>
    <w:unhideWhenUsed/>
    <w:rsid w:val="00586FC9"/>
    <w:rPr>
      <w:sz w:val="16"/>
      <w:szCs w:val="16"/>
    </w:rPr>
  </w:style>
  <w:style w:type="paragraph" w:styleId="CommentText">
    <w:name w:val="annotation text"/>
    <w:basedOn w:val="Normal"/>
    <w:link w:val="CommentTextChar"/>
    <w:uiPriority w:val="99"/>
    <w:semiHidden/>
    <w:unhideWhenUsed/>
    <w:rsid w:val="00586FC9"/>
    <w:pPr>
      <w:spacing w:line="240" w:lineRule="auto"/>
    </w:pPr>
    <w:rPr>
      <w:sz w:val="20"/>
    </w:rPr>
  </w:style>
  <w:style w:type="character" w:customStyle="1" w:styleId="CommentTextChar">
    <w:name w:val="Comment Text Char"/>
    <w:basedOn w:val="DefaultParagraphFont"/>
    <w:link w:val="CommentText"/>
    <w:uiPriority w:val="99"/>
    <w:semiHidden/>
    <w:rsid w:val="00586FC9"/>
    <w:rPr>
      <w:sz w:val="20"/>
    </w:rPr>
  </w:style>
  <w:style w:type="paragraph" w:styleId="CommentSubject">
    <w:name w:val="annotation subject"/>
    <w:basedOn w:val="CommentText"/>
    <w:next w:val="CommentText"/>
    <w:link w:val="CommentSubjectChar"/>
    <w:uiPriority w:val="99"/>
    <w:semiHidden/>
    <w:unhideWhenUsed/>
    <w:rsid w:val="00586FC9"/>
    <w:rPr>
      <w:b/>
      <w:bCs/>
    </w:rPr>
  </w:style>
  <w:style w:type="character" w:customStyle="1" w:styleId="CommentSubjectChar">
    <w:name w:val="Comment Subject Char"/>
    <w:basedOn w:val="CommentTextChar"/>
    <w:link w:val="CommentSubject"/>
    <w:uiPriority w:val="99"/>
    <w:semiHidden/>
    <w:rsid w:val="00586FC9"/>
    <w:rPr>
      <w:b/>
      <w:bCs/>
      <w:sz w:val="20"/>
    </w:rPr>
  </w:style>
  <w:style w:type="paragraph" w:styleId="BalloonText">
    <w:name w:val="Balloon Text"/>
    <w:basedOn w:val="Normal"/>
    <w:link w:val="BalloonTextChar"/>
    <w:uiPriority w:val="99"/>
    <w:semiHidden/>
    <w:unhideWhenUsed/>
    <w:rsid w:val="0058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C9"/>
    <w:rPr>
      <w:rFonts w:ascii="Tahoma" w:hAnsi="Tahoma" w:cs="Tahoma"/>
      <w:sz w:val="16"/>
      <w:szCs w:val="16"/>
    </w:rPr>
  </w:style>
  <w:style w:type="paragraph" w:styleId="Header">
    <w:name w:val="header"/>
    <w:basedOn w:val="Normal"/>
    <w:link w:val="HeaderChar"/>
    <w:uiPriority w:val="99"/>
    <w:unhideWhenUsed/>
    <w:rsid w:val="008D5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3"/>
  </w:style>
  <w:style w:type="paragraph" w:styleId="Footer">
    <w:name w:val="footer"/>
    <w:basedOn w:val="Normal"/>
    <w:link w:val="FooterChar"/>
    <w:uiPriority w:val="99"/>
    <w:unhideWhenUsed/>
    <w:rsid w:val="008D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173"/>
  </w:style>
  <w:style w:type="character" w:customStyle="1" w:styleId="Mention1">
    <w:name w:val="Mention1"/>
    <w:basedOn w:val="DefaultParagraphFont"/>
    <w:uiPriority w:val="99"/>
    <w:semiHidden/>
    <w:unhideWhenUsed/>
    <w:rsid w:val="00EB2246"/>
    <w:rPr>
      <w:color w:val="2B579A"/>
      <w:shd w:val="clear" w:color="auto" w:fill="E6E6E6"/>
    </w:rPr>
  </w:style>
  <w:style w:type="character" w:customStyle="1" w:styleId="UnresolvedMention1">
    <w:name w:val="Unresolved Mention1"/>
    <w:basedOn w:val="DefaultParagraphFont"/>
    <w:uiPriority w:val="99"/>
    <w:semiHidden/>
    <w:unhideWhenUsed/>
    <w:rsid w:val="00372D62"/>
    <w:rPr>
      <w:color w:val="808080"/>
      <w:shd w:val="clear" w:color="auto" w:fill="E6E6E6"/>
    </w:rPr>
  </w:style>
  <w:style w:type="character" w:customStyle="1" w:styleId="starpage1">
    <w:name w:val="starpage1"/>
    <w:basedOn w:val="DefaultParagraphFont"/>
    <w:rsid w:val="001D217E"/>
    <w:rPr>
      <w:b/>
      <w:bCs/>
      <w:i/>
      <w:iCs/>
      <w:color w:val="663366"/>
    </w:rPr>
  </w:style>
  <w:style w:type="character" w:customStyle="1" w:styleId="UnresolvedMention2">
    <w:name w:val="Unresolved Mention2"/>
    <w:basedOn w:val="DefaultParagraphFont"/>
    <w:uiPriority w:val="99"/>
    <w:semiHidden/>
    <w:unhideWhenUsed/>
    <w:rsid w:val="0004348C"/>
    <w:rPr>
      <w:color w:val="808080"/>
      <w:shd w:val="clear" w:color="auto" w:fill="E6E6E6"/>
    </w:rPr>
  </w:style>
  <w:style w:type="paragraph" w:styleId="Revision">
    <w:name w:val="Revision"/>
    <w:hidden/>
    <w:uiPriority w:val="99"/>
    <w:semiHidden/>
    <w:rsid w:val="00A018D6"/>
    <w:pPr>
      <w:spacing w:after="0" w:line="240" w:lineRule="auto"/>
    </w:pPr>
  </w:style>
  <w:style w:type="character" w:customStyle="1" w:styleId="UnresolvedMention3">
    <w:name w:val="Unresolved Mention3"/>
    <w:basedOn w:val="DefaultParagraphFont"/>
    <w:uiPriority w:val="99"/>
    <w:semiHidden/>
    <w:unhideWhenUsed/>
    <w:rsid w:val="00573B2C"/>
    <w:rPr>
      <w:color w:val="808080"/>
      <w:shd w:val="clear" w:color="auto" w:fill="E6E6E6"/>
    </w:rPr>
  </w:style>
  <w:style w:type="character" w:styleId="Emphasis">
    <w:name w:val="Emphasis"/>
    <w:basedOn w:val="DefaultParagraphFont"/>
    <w:uiPriority w:val="20"/>
    <w:qFormat/>
    <w:rsid w:val="006D1C0E"/>
    <w:rPr>
      <w:b/>
      <w:bCs/>
      <w:i w:val="0"/>
      <w:iCs w:val="0"/>
    </w:rPr>
  </w:style>
  <w:style w:type="character" w:customStyle="1" w:styleId="st1">
    <w:name w:val="st1"/>
    <w:basedOn w:val="DefaultParagraphFont"/>
    <w:rsid w:val="006D1C0E"/>
  </w:style>
  <w:style w:type="character" w:customStyle="1" w:styleId="UnresolvedMention4">
    <w:name w:val="Unresolved Mention4"/>
    <w:basedOn w:val="DefaultParagraphFont"/>
    <w:uiPriority w:val="99"/>
    <w:semiHidden/>
    <w:unhideWhenUsed/>
    <w:rsid w:val="00021043"/>
    <w:rPr>
      <w:color w:val="808080"/>
      <w:shd w:val="clear" w:color="auto" w:fill="E6E6E6"/>
    </w:rPr>
  </w:style>
  <w:style w:type="character" w:customStyle="1" w:styleId="UnresolvedMention5">
    <w:name w:val="Unresolved Mention5"/>
    <w:basedOn w:val="DefaultParagraphFont"/>
    <w:uiPriority w:val="99"/>
    <w:semiHidden/>
    <w:unhideWhenUsed/>
    <w:rsid w:val="0081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31830">
      <w:bodyDiv w:val="1"/>
      <w:marLeft w:val="0"/>
      <w:marRight w:val="0"/>
      <w:marTop w:val="0"/>
      <w:marBottom w:val="0"/>
      <w:divBdr>
        <w:top w:val="none" w:sz="0" w:space="0" w:color="auto"/>
        <w:left w:val="none" w:sz="0" w:space="0" w:color="auto"/>
        <w:bottom w:val="none" w:sz="0" w:space="0" w:color="auto"/>
        <w:right w:val="none" w:sz="0" w:space="0" w:color="auto"/>
      </w:divBdr>
      <w:divsChild>
        <w:div w:id="1530297757">
          <w:marLeft w:val="0"/>
          <w:marRight w:val="0"/>
          <w:marTop w:val="0"/>
          <w:marBottom w:val="0"/>
          <w:divBdr>
            <w:top w:val="none" w:sz="0" w:space="0" w:color="auto"/>
            <w:left w:val="none" w:sz="0" w:space="0" w:color="auto"/>
            <w:bottom w:val="none" w:sz="0" w:space="0" w:color="auto"/>
            <w:right w:val="none" w:sz="0" w:space="0" w:color="auto"/>
          </w:divBdr>
          <w:divsChild>
            <w:div w:id="2045599216">
              <w:marLeft w:val="0"/>
              <w:marRight w:val="0"/>
              <w:marTop w:val="0"/>
              <w:marBottom w:val="0"/>
              <w:divBdr>
                <w:top w:val="none" w:sz="0" w:space="0" w:color="auto"/>
                <w:left w:val="none" w:sz="0" w:space="0" w:color="auto"/>
                <w:bottom w:val="none" w:sz="0" w:space="0" w:color="auto"/>
                <w:right w:val="none" w:sz="0" w:space="0" w:color="auto"/>
              </w:divBdr>
              <w:divsChild>
                <w:div w:id="1428187864">
                  <w:marLeft w:val="0"/>
                  <w:marRight w:val="0"/>
                  <w:marTop w:val="0"/>
                  <w:marBottom w:val="0"/>
                  <w:divBdr>
                    <w:top w:val="none" w:sz="0" w:space="0" w:color="auto"/>
                    <w:left w:val="none" w:sz="0" w:space="0" w:color="auto"/>
                    <w:bottom w:val="none" w:sz="0" w:space="0" w:color="auto"/>
                    <w:right w:val="none" w:sz="0" w:space="0" w:color="auto"/>
                  </w:divBdr>
                  <w:divsChild>
                    <w:div w:id="399642494">
                      <w:marLeft w:val="0"/>
                      <w:marRight w:val="0"/>
                      <w:marTop w:val="0"/>
                      <w:marBottom w:val="0"/>
                      <w:divBdr>
                        <w:top w:val="none" w:sz="0" w:space="0" w:color="auto"/>
                        <w:left w:val="none" w:sz="0" w:space="0" w:color="auto"/>
                        <w:bottom w:val="none" w:sz="0" w:space="0" w:color="auto"/>
                        <w:right w:val="none" w:sz="0" w:space="0" w:color="auto"/>
                      </w:divBdr>
                      <w:divsChild>
                        <w:div w:id="1943218740">
                          <w:marLeft w:val="0"/>
                          <w:marRight w:val="0"/>
                          <w:marTop w:val="0"/>
                          <w:marBottom w:val="0"/>
                          <w:divBdr>
                            <w:top w:val="none" w:sz="0" w:space="0" w:color="auto"/>
                            <w:left w:val="none" w:sz="0" w:space="0" w:color="auto"/>
                            <w:bottom w:val="none" w:sz="0" w:space="0" w:color="auto"/>
                            <w:right w:val="none" w:sz="0" w:space="0" w:color="auto"/>
                          </w:divBdr>
                          <w:divsChild>
                            <w:div w:id="4197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365">
      <w:bodyDiv w:val="1"/>
      <w:marLeft w:val="0"/>
      <w:marRight w:val="0"/>
      <w:marTop w:val="0"/>
      <w:marBottom w:val="0"/>
      <w:divBdr>
        <w:top w:val="none" w:sz="0" w:space="0" w:color="auto"/>
        <w:left w:val="none" w:sz="0" w:space="0" w:color="auto"/>
        <w:bottom w:val="none" w:sz="0" w:space="0" w:color="auto"/>
        <w:right w:val="none" w:sz="0" w:space="0" w:color="auto"/>
      </w:divBdr>
    </w:div>
    <w:div w:id="1334645220">
      <w:bodyDiv w:val="1"/>
      <w:marLeft w:val="0"/>
      <w:marRight w:val="0"/>
      <w:marTop w:val="0"/>
      <w:marBottom w:val="0"/>
      <w:divBdr>
        <w:top w:val="none" w:sz="0" w:space="0" w:color="auto"/>
        <w:left w:val="none" w:sz="0" w:space="0" w:color="auto"/>
        <w:bottom w:val="none" w:sz="0" w:space="0" w:color="auto"/>
        <w:right w:val="none" w:sz="0" w:space="0" w:color="auto"/>
      </w:divBdr>
    </w:div>
    <w:div w:id="1718430785">
      <w:bodyDiv w:val="1"/>
      <w:marLeft w:val="0"/>
      <w:marRight w:val="0"/>
      <w:marTop w:val="0"/>
      <w:marBottom w:val="0"/>
      <w:divBdr>
        <w:top w:val="none" w:sz="0" w:space="0" w:color="auto"/>
        <w:left w:val="none" w:sz="0" w:space="0" w:color="auto"/>
        <w:bottom w:val="none" w:sz="0" w:space="0" w:color="auto"/>
        <w:right w:val="none" w:sz="0" w:space="0" w:color="auto"/>
      </w:divBdr>
      <w:divsChild>
        <w:div w:id="1422409074">
          <w:marLeft w:val="0"/>
          <w:marRight w:val="0"/>
          <w:marTop w:val="0"/>
          <w:marBottom w:val="0"/>
          <w:divBdr>
            <w:top w:val="none" w:sz="0" w:space="0" w:color="auto"/>
            <w:left w:val="none" w:sz="0" w:space="0" w:color="auto"/>
            <w:bottom w:val="none" w:sz="0" w:space="0" w:color="auto"/>
            <w:right w:val="none" w:sz="0" w:space="0" w:color="auto"/>
          </w:divBdr>
          <w:divsChild>
            <w:div w:id="969634119">
              <w:marLeft w:val="0"/>
              <w:marRight w:val="0"/>
              <w:marTop w:val="0"/>
              <w:marBottom w:val="0"/>
              <w:divBdr>
                <w:top w:val="none" w:sz="0" w:space="0" w:color="auto"/>
                <w:left w:val="none" w:sz="0" w:space="0" w:color="auto"/>
                <w:bottom w:val="none" w:sz="0" w:space="0" w:color="auto"/>
                <w:right w:val="none" w:sz="0" w:space="0" w:color="auto"/>
              </w:divBdr>
              <w:divsChild>
                <w:div w:id="762840636">
                  <w:marLeft w:val="0"/>
                  <w:marRight w:val="0"/>
                  <w:marTop w:val="0"/>
                  <w:marBottom w:val="0"/>
                  <w:divBdr>
                    <w:top w:val="none" w:sz="0" w:space="0" w:color="auto"/>
                    <w:left w:val="none" w:sz="0" w:space="0" w:color="auto"/>
                    <w:bottom w:val="none" w:sz="0" w:space="0" w:color="auto"/>
                    <w:right w:val="none" w:sz="0" w:space="0" w:color="auto"/>
                  </w:divBdr>
                  <w:divsChild>
                    <w:div w:id="1859735999">
                      <w:marLeft w:val="0"/>
                      <w:marRight w:val="0"/>
                      <w:marTop w:val="0"/>
                      <w:marBottom w:val="0"/>
                      <w:divBdr>
                        <w:top w:val="none" w:sz="0" w:space="0" w:color="auto"/>
                        <w:left w:val="none" w:sz="0" w:space="0" w:color="auto"/>
                        <w:bottom w:val="none" w:sz="0" w:space="0" w:color="auto"/>
                        <w:right w:val="none" w:sz="0" w:space="0" w:color="auto"/>
                      </w:divBdr>
                      <w:divsChild>
                        <w:div w:id="1733314194">
                          <w:marLeft w:val="0"/>
                          <w:marRight w:val="0"/>
                          <w:marTop w:val="0"/>
                          <w:marBottom w:val="0"/>
                          <w:divBdr>
                            <w:top w:val="none" w:sz="0" w:space="0" w:color="auto"/>
                            <w:left w:val="none" w:sz="0" w:space="0" w:color="auto"/>
                            <w:bottom w:val="none" w:sz="0" w:space="0" w:color="auto"/>
                            <w:right w:val="none" w:sz="0" w:space="0" w:color="auto"/>
                          </w:divBdr>
                          <w:divsChild>
                            <w:div w:id="1408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xology.com/library/detail.aspx?g=46f0e5ce-37f7-4625-9c6f-5ffb51fc003b" TargetMode="External"/><Relationship Id="rId3" Type="http://schemas.openxmlformats.org/officeDocument/2006/relationships/hyperlink" Target="http://www.independent.co.uk/money/renters-braced-for-25-cost-hikes-amid-tax-changes-a7667566.html" TargetMode="External"/><Relationship Id="rId7" Type="http://schemas.openxmlformats.org/officeDocument/2006/relationships/hyperlink" Target="https://nearlylegal.co.uk/2017/12/cat-amongst-pigeons/" TargetMode="External"/><Relationship Id="rId2" Type="http://schemas.openxmlformats.org/officeDocument/2006/relationships/hyperlink" Target="https://www.gov.uk/government/statistical-data-sets/live-tables-on-homelessness" TargetMode="External"/><Relationship Id="rId1" Type="http://schemas.openxmlformats.org/officeDocument/2006/relationships/hyperlink" Target="https://landlords.org.uk/news-campaigns/news/longer-term-tenancies-nla-reacts-three-year-proposals" TargetMode="External"/><Relationship Id="rId6" Type="http://schemas.openxmlformats.org/officeDocument/2006/relationships/hyperlink" Target="http://blog.shelter.org.uk/2016/08/7172/" TargetMode="External"/><Relationship Id="rId5" Type="http://schemas.openxmlformats.org/officeDocument/2006/relationships/hyperlink" Target="https://www.theguardian.com/commentisfree/2017/jan/11/sex-for-rent-female-tenants-predatory-landlords" TargetMode="External"/><Relationship Id="rId4" Type="http://schemas.openxmlformats.org/officeDocument/2006/relationships/hyperlink" Target="http://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7B79E-1E3E-4495-93CD-3BC2EB5E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8421</Words>
  <Characters>47079</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S.A.</dc:creator>
  <cp:keywords/>
  <dc:description/>
  <cp:lastModifiedBy>Edwards L.</cp:lastModifiedBy>
  <cp:revision>2</cp:revision>
  <cp:lastPrinted>2018-12-05T14:59:00Z</cp:lastPrinted>
  <dcterms:created xsi:type="dcterms:W3CDTF">2019-03-01T11:56:00Z</dcterms:created>
  <dcterms:modified xsi:type="dcterms:W3CDTF">2019-03-01T11:56:00Z</dcterms:modified>
</cp:coreProperties>
</file>