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A4" w:rsidRPr="00F54FD3" w:rsidRDefault="00AD00AE" w:rsidP="004D6E5B">
      <w:pPr>
        <w:pStyle w:val="Heading1"/>
      </w:pPr>
      <w:r w:rsidRPr="00F54FD3">
        <w:t>Evaluating t</w:t>
      </w:r>
      <w:r w:rsidR="00C64FCA" w:rsidRPr="00F54FD3">
        <w:t xml:space="preserve">he </w:t>
      </w:r>
      <w:r w:rsidRPr="00F54FD3">
        <w:t>carbon footprint of WEEE management in the UK</w:t>
      </w:r>
    </w:p>
    <w:p w:rsidR="00CB6FA4" w:rsidRPr="00F54FD3" w:rsidRDefault="00BC2F5A">
      <w:r w:rsidRPr="00F54FD3">
        <w:t>Chris</w:t>
      </w:r>
      <w:r w:rsidR="001A7052" w:rsidRPr="00F54FD3">
        <w:t>topher</w:t>
      </w:r>
      <w:r w:rsidR="005E3972" w:rsidRPr="00F54FD3">
        <w:t xml:space="preserve"> </w:t>
      </w:r>
      <w:r w:rsidR="00E65B9C" w:rsidRPr="00F54FD3">
        <w:t>Clarke</w:t>
      </w:r>
      <w:r w:rsidR="00E65B9C" w:rsidRPr="00F54FD3">
        <w:rPr>
          <w:vertAlign w:val="superscript"/>
        </w:rPr>
        <w:t>a</w:t>
      </w:r>
      <w:r w:rsidR="00E65B9C" w:rsidRPr="00F54FD3">
        <w:t>, Ian D Williams</w:t>
      </w:r>
      <w:r w:rsidR="00E65B9C" w:rsidRPr="00F54FD3">
        <w:rPr>
          <w:vertAlign w:val="superscript"/>
        </w:rPr>
        <w:t>a</w:t>
      </w:r>
      <w:r w:rsidR="00E65B9C" w:rsidRPr="00F54FD3">
        <w:t>, Davi</w:t>
      </w:r>
      <w:bookmarkStart w:id="0" w:name="_GoBack"/>
      <w:bookmarkEnd w:id="0"/>
      <w:r w:rsidR="00E65B9C" w:rsidRPr="00F54FD3">
        <w:t>d A Turner</w:t>
      </w:r>
      <w:r w:rsidR="00335B3E" w:rsidRPr="00F54FD3">
        <w:rPr>
          <w:vertAlign w:val="superscript"/>
        </w:rPr>
        <w:t>a</w:t>
      </w:r>
      <w:r w:rsidR="00E65B9C" w:rsidRPr="00F54FD3">
        <w:rPr>
          <w:vertAlign w:val="superscript"/>
        </w:rPr>
        <w:t>b</w:t>
      </w:r>
    </w:p>
    <w:p w:rsidR="00E65B9C" w:rsidRPr="002024C1" w:rsidRDefault="00E65B9C">
      <w:r w:rsidRPr="002024C1">
        <w:rPr>
          <w:vertAlign w:val="superscript"/>
        </w:rPr>
        <w:t>a</w:t>
      </w:r>
      <w:r w:rsidRPr="002024C1">
        <w:t>Centre for Environmental Sciences, Faculty of Engineering and the Environment, University of Southampton, University Road, Southampton, Hampshire, SO17 1BJ, United Kingdom</w:t>
      </w:r>
    </w:p>
    <w:p w:rsidR="00E65B9C" w:rsidRPr="002024C1" w:rsidRDefault="00E65B9C">
      <w:r w:rsidRPr="002024C1">
        <w:rPr>
          <w:vertAlign w:val="superscript"/>
        </w:rPr>
        <w:t>b</w:t>
      </w:r>
      <w:r w:rsidR="005325CB" w:rsidRPr="002024C1">
        <w:t>Technology and Society Lab, Empa, Swiss Federal Laboratories for Materials Science and Technology, Lerchenfeldstrasse 5, CH-9014, St. Gallen, Switzerland</w:t>
      </w:r>
    </w:p>
    <w:p w:rsidR="00E65B9C" w:rsidRPr="002024C1" w:rsidRDefault="00E65B9C" w:rsidP="00F54FD3">
      <w:pPr>
        <w:spacing w:before="3600"/>
      </w:pPr>
      <w:r w:rsidRPr="002024C1">
        <w:t>Corresponding author:</w:t>
      </w:r>
    </w:p>
    <w:p w:rsidR="00E65B9C" w:rsidRPr="002024C1" w:rsidRDefault="00E65B9C" w:rsidP="00F54FD3">
      <w:r w:rsidRPr="002024C1">
        <w:t>Ian D Williams</w:t>
      </w:r>
    </w:p>
    <w:p w:rsidR="00E65B9C" w:rsidRPr="002024C1" w:rsidRDefault="00E65B9C">
      <w:r w:rsidRPr="002024C1">
        <w:t>Tel: (+44) 2380 528 755</w:t>
      </w:r>
    </w:p>
    <w:p w:rsidR="00E65B9C" w:rsidRPr="002024C1" w:rsidRDefault="00E65B9C">
      <w:r w:rsidRPr="002024C1">
        <w:t xml:space="preserve">Email: </w:t>
      </w:r>
      <w:r w:rsidRPr="00F54FD3">
        <w:t>i.d.williams@soton.ac.uk</w:t>
      </w:r>
      <w:r w:rsidRPr="002024C1">
        <w:tab/>
      </w:r>
    </w:p>
    <w:p w:rsidR="00CB6FA4" w:rsidRPr="002024C1" w:rsidRDefault="00E65B9C">
      <w:r w:rsidRPr="002024C1">
        <w:t>Mailing address: Centre for Environmental Sciences, Faculty of Engineering and the Environment, University of Southampton, University Road, Southampton, Hampshire, SO17 1BJ, United Kingdom</w:t>
      </w:r>
      <w:r w:rsidRPr="00F54FD3">
        <w:br w:type="page"/>
      </w:r>
      <w:r w:rsidR="00690AB2" w:rsidRPr="00F54FD3">
        <w:rPr>
          <w:b/>
        </w:rPr>
        <w:lastRenderedPageBreak/>
        <w:t>Abstract</w:t>
      </w:r>
      <w:r w:rsidR="00690AB2" w:rsidRPr="00F54FD3">
        <w:t>.</w:t>
      </w:r>
      <w:r w:rsidR="00E15B28" w:rsidRPr="00F54FD3">
        <w:t xml:space="preserve"> </w:t>
      </w:r>
      <w:r w:rsidR="009A73A4" w:rsidRPr="00933970">
        <w:t>The UK</w:t>
      </w:r>
      <w:r w:rsidR="009A73A4">
        <w:t xml:space="preserve"> produces an estimated 2 Mt of waste e</w:t>
      </w:r>
      <w:r w:rsidR="009A73A4" w:rsidRPr="009A73A4">
        <w:t xml:space="preserve">lectrical and </w:t>
      </w:r>
      <w:r w:rsidR="009A73A4">
        <w:t>e</w:t>
      </w:r>
      <w:r w:rsidR="009A73A4" w:rsidRPr="009A73A4">
        <w:t xml:space="preserve">lectronic </w:t>
      </w:r>
      <w:r w:rsidR="009A73A4">
        <w:t>e</w:t>
      </w:r>
      <w:r w:rsidR="009A73A4" w:rsidRPr="009A73A4">
        <w:t xml:space="preserve">quipment (WEEE) </w:t>
      </w:r>
      <w:r w:rsidR="00097ABF">
        <w:t xml:space="preserve">annually and the management of this waste has </w:t>
      </w:r>
      <w:r w:rsidR="009A73A4" w:rsidRPr="00BE24E1">
        <w:t xml:space="preserve">become a foremost environmental issue </w:t>
      </w:r>
      <w:r w:rsidR="00097ABF">
        <w:t>in the UK.</w:t>
      </w:r>
      <w:r w:rsidR="005839C7">
        <w:t xml:space="preserve"> </w:t>
      </w:r>
      <w:r w:rsidR="004550DD">
        <w:t>Whilst t</w:t>
      </w:r>
      <w:r w:rsidR="005839C7">
        <w:t xml:space="preserve">he collection, transportation and treatment of WEEE </w:t>
      </w:r>
      <w:r w:rsidR="004550DD">
        <w:t xml:space="preserve">contributes to climate </w:t>
      </w:r>
      <w:r w:rsidR="004B1B38">
        <w:t xml:space="preserve">change </w:t>
      </w:r>
      <w:r w:rsidR="004550DD">
        <w:t xml:space="preserve">due to its considerable energy and material requirements, the effective recovery and reuse or recycling of WEEE can contribute towards a net climate benefit. </w:t>
      </w:r>
      <w:r w:rsidR="00097ABF">
        <w:t xml:space="preserve">Here, we present a combined material flow analysis and carbon footprint approach </w:t>
      </w:r>
      <w:r w:rsidR="004550DD">
        <w:t xml:space="preserve">(based on a bespoke calculator tool) </w:t>
      </w:r>
      <w:r w:rsidR="00097ABF">
        <w:t xml:space="preserve">for quantifying the flows of WEEE through a national waste management system and evaluating their potential climate impacts. We apply this approach to analyse the WEEE management system for the UK </w:t>
      </w:r>
      <w:r w:rsidR="007F268F" w:rsidRPr="00F54FD3">
        <w:t xml:space="preserve">from 2010-2030 </w:t>
      </w:r>
      <w:r w:rsidR="004550DD">
        <w:t xml:space="preserve">using </w:t>
      </w:r>
      <w:r w:rsidR="00097ABF">
        <w:t xml:space="preserve">prospective scenario analysis </w:t>
      </w:r>
      <w:r w:rsidR="007F268F" w:rsidRPr="00F54FD3">
        <w:t>and assess the carbon footprint of their management pathways</w:t>
      </w:r>
      <w:r w:rsidR="00F64BBC" w:rsidRPr="00F54FD3">
        <w:t xml:space="preserve">. </w:t>
      </w:r>
      <w:r w:rsidR="00073F20">
        <w:t>R</w:t>
      </w:r>
      <w:r w:rsidR="00F64BBC" w:rsidRPr="00F54FD3">
        <w:t xml:space="preserve">euse was </w:t>
      </w:r>
      <w:r w:rsidR="00073F20">
        <w:t xml:space="preserve">identified as </w:t>
      </w:r>
      <w:r w:rsidR="00F64BBC" w:rsidRPr="00F54FD3">
        <w:t xml:space="preserve">the </w:t>
      </w:r>
      <w:r w:rsidR="004550DD">
        <w:t>most favourable</w:t>
      </w:r>
      <w:r w:rsidR="004550DD" w:rsidRPr="00F54FD3">
        <w:t xml:space="preserve"> </w:t>
      </w:r>
      <w:r w:rsidR="00F64BBC" w:rsidRPr="00F54FD3">
        <w:t xml:space="preserve">end-of-life management option in terms of </w:t>
      </w:r>
      <w:r w:rsidR="004550DD">
        <w:t>potential climate impact</w:t>
      </w:r>
      <w:r w:rsidR="00F64BBC" w:rsidRPr="00F54FD3">
        <w:t xml:space="preserve">, followed by recycling, with landfill identified as being the least </w:t>
      </w:r>
      <w:r w:rsidR="00073F20">
        <w:t xml:space="preserve">favourable </w:t>
      </w:r>
      <w:r w:rsidR="00F64BBC" w:rsidRPr="00F54FD3">
        <w:t xml:space="preserve">option. Overall, current end-of-life management practices for </w:t>
      </w:r>
      <w:r w:rsidR="004550DD">
        <w:t>WEEE</w:t>
      </w:r>
      <w:r w:rsidR="004550DD" w:rsidRPr="00F54FD3">
        <w:t xml:space="preserve"> </w:t>
      </w:r>
      <w:r w:rsidR="004550DD">
        <w:t xml:space="preserve">in the UK </w:t>
      </w:r>
      <w:r w:rsidR="00F64BBC" w:rsidRPr="00F54FD3">
        <w:t xml:space="preserve">were found to result in a net </w:t>
      </w:r>
      <w:r w:rsidR="004550DD">
        <w:t>positive (i.e. beneficial) climatic effect</w:t>
      </w:r>
      <w:r w:rsidR="00F64BBC" w:rsidRPr="00F54FD3">
        <w:t>, although this saving was found to reduce when WEEE recycled as non-obligated WEEE was not included.</w:t>
      </w:r>
      <w:r w:rsidR="00EA5DC7" w:rsidRPr="00F54FD3">
        <w:t xml:space="preserve"> </w:t>
      </w:r>
      <w:r w:rsidR="00073F20">
        <w:t>Overall, we recommend that future national policies should focus on formalising indirect WEEE collection pathways to help increase overall collection rates and, thus, reuse and recycling activities.</w:t>
      </w:r>
    </w:p>
    <w:p w:rsidR="00690AB2" w:rsidRPr="00F54FD3" w:rsidRDefault="00690AB2" w:rsidP="00F54FD3">
      <w:pPr>
        <w:pStyle w:val="SUMMARY"/>
      </w:pPr>
      <w:r w:rsidRPr="00F54FD3">
        <w:rPr>
          <w:b/>
          <w:i/>
        </w:rPr>
        <w:t>Keywords</w:t>
      </w:r>
      <w:r w:rsidRPr="00F54FD3">
        <w:t xml:space="preserve">. </w:t>
      </w:r>
      <w:r w:rsidR="00DF5040" w:rsidRPr="00F54FD3">
        <w:t>Waste elect</w:t>
      </w:r>
      <w:r w:rsidR="00445A32" w:rsidRPr="00F54FD3">
        <w:t>ronic and electrical equipment</w:t>
      </w:r>
      <w:r w:rsidR="00DF5040" w:rsidRPr="00F54FD3">
        <w:t>, c</w:t>
      </w:r>
      <w:r w:rsidR="004B7A91" w:rsidRPr="00F54FD3">
        <w:t>arbon footprint, material flow analysis, waste management</w:t>
      </w:r>
    </w:p>
    <w:p w:rsidR="00CB6FA4" w:rsidRPr="002024C1" w:rsidRDefault="00690AB2" w:rsidP="00F54FD3">
      <w:pPr>
        <w:pStyle w:val="Heading2"/>
      </w:pPr>
      <w:r w:rsidRPr="002024C1">
        <w:br w:type="page"/>
      </w:r>
      <w:r w:rsidR="00CB6FA4" w:rsidRPr="002024C1">
        <w:lastRenderedPageBreak/>
        <w:t>1. INTRODUCTION</w:t>
      </w:r>
    </w:p>
    <w:p w:rsidR="003710C1" w:rsidRPr="00F54FD3" w:rsidRDefault="00D51D66">
      <w:pPr>
        <w:pStyle w:val="TEXT"/>
      </w:pPr>
      <w:r w:rsidRPr="00F54FD3">
        <w:t xml:space="preserve">The quantity of both </w:t>
      </w:r>
      <w:r w:rsidR="008522BE" w:rsidRPr="00F54FD3">
        <w:t xml:space="preserve">household </w:t>
      </w:r>
      <w:r w:rsidRPr="00F54FD3">
        <w:t xml:space="preserve">and </w:t>
      </w:r>
      <w:r w:rsidR="008522BE" w:rsidRPr="00F54FD3">
        <w:t>industrial</w:t>
      </w:r>
      <w:r w:rsidRPr="00F54FD3">
        <w:t xml:space="preserve"> </w:t>
      </w:r>
      <w:r w:rsidR="00BB0201" w:rsidRPr="00F54FD3">
        <w:t xml:space="preserve">electrical and </w:t>
      </w:r>
      <w:r w:rsidRPr="00F54FD3">
        <w:t xml:space="preserve">electronic equipment </w:t>
      </w:r>
      <w:r w:rsidR="00BB0201" w:rsidRPr="00F54FD3">
        <w:t xml:space="preserve">(EEE) </w:t>
      </w:r>
      <w:r w:rsidRPr="00F54FD3">
        <w:t xml:space="preserve">has risen continuously over the </w:t>
      </w:r>
      <w:r w:rsidR="003C30C2" w:rsidRPr="00F54FD3">
        <w:t xml:space="preserve">past </w:t>
      </w:r>
      <w:r w:rsidRPr="00F54FD3">
        <w:t xml:space="preserve">20 years (Tanskanen, 2013). The electronics industry is the largest and fastest growing manufacturing industry globally. </w:t>
      </w:r>
      <w:r w:rsidR="00BB0201" w:rsidRPr="00F54FD3">
        <w:t>When combined</w:t>
      </w:r>
      <w:r w:rsidRPr="00F54FD3">
        <w:t xml:space="preserve"> with </w:t>
      </w:r>
      <w:r w:rsidR="00BB0201" w:rsidRPr="00F54FD3">
        <w:t>faster</w:t>
      </w:r>
      <w:r w:rsidRPr="00F54FD3">
        <w:t xml:space="preserve"> obsolescence</w:t>
      </w:r>
      <w:r w:rsidR="00BB0201" w:rsidRPr="00F54FD3">
        <w:t>, this growth</w:t>
      </w:r>
      <w:r w:rsidRPr="00F54FD3">
        <w:t xml:space="preserve"> has resulted in significant increases in waste electrical and electronic equipment (WEEE)</w:t>
      </w:r>
      <w:r w:rsidR="00D75E08" w:rsidRPr="00F54FD3">
        <w:rPr>
          <w:rStyle w:val="FootnoteReference"/>
        </w:rPr>
        <w:footnoteReference w:id="1"/>
      </w:r>
      <w:r w:rsidRPr="00F54FD3">
        <w:t xml:space="preserve"> and used electrical and electronic equipment (UEEE)</w:t>
      </w:r>
      <w:r w:rsidR="00D75E08" w:rsidRPr="00F54FD3">
        <w:rPr>
          <w:rStyle w:val="FootnoteReference"/>
        </w:rPr>
        <w:footnoteReference w:id="2"/>
      </w:r>
      <w:r w:rsidR="003F0C87" w:rsidRPr="00F54FD3">
        <w:t xml:space="preserve"> </w:t>
      </w:r>
      <w:r w:rsidRPr="00F54FD3">
        <w:t>(</w:t>
      </w:r>
      <w:r w:rsidR="003C30C2" w:rsidRPr="00F54FD3">
        <w:t xml:space="preserve">Kumar et al. </w:t>
      </w:r>
      <w:r w:rsidR="003C63DD" w:rsidRPr="00F54FD3">
        <w:t>2017</w:t>
      </w:r>
      <w:r w:rsidR="003C30C2" w:rsidRPr="00F54FD3">
        <w:t xml:space="preserve">; </w:t>
      </w:r>
      <w:r w:rsidR="00CE3108" w:rsidRPr="00F54FD3">
        <w:t>Parajuly et al. 2017</w:t>
      </w:r>
      <w:r w:rsidRPr="00F54FD3">
        <w:t>).</w:t>
      </w:r>
      <w:r w:rsidR="00D75E08" w:rsidRPr="00F54FD3">
        <w:t xml:space="preserve"> </w:t>
      </w:r>
      <w:r w:rsidR="004B1F03" w:rsidRPr="00F54FD3">
        <w:t xml:space="preserve">Globally, an </w:t>
      </w:r>
      <w:r w:rsidRPr="00F54FD3">
        <w:t>estimated 4</w:t>
      </w:r>
      <w:r w:rsidR="00AC26C9" w:rsidRPr="00F54FD3">
        <w:t>4.7</w:t>
      </w:r>
      <w:r w:rsidRPr="00F54FD3">
        <w:t xml:space="preserve"> </w:t>
      </w:r>
      <w:r w:rsidR="00895B1A" w:rsidRPr="00F54FD3">
        <w:t xml:space="preserve">Mt </w:t>
      </w:r>
      <w:r w:rsidRPr="00F54FD3">
        <w:t>of WEEE is produced annually</w:t>
      </w:r>
      <w:r w:rsidR="00AA3759">
        <w:t xml:space="preserve"> (</w:t>
      </w:r>
      <w:r w:rsidR="00AA3759" w:rsidRPr="00DC7038">
        <w:t>Baldé et al. 2017</w:t>
      </w:r>
      <w:r w:rsidR="00AA3759">
        <w:t>),</w:t>
      </w:r>
      <w:r w:rsidR="004B1F03" w:rsidRPr="00F54FD3">
        <w:t xml:space="preserve"> and</w:t>
      </w:r>
      <w:r w:rsidRPr="00F54FD3">
        <w:t xml:space="preserve"> this figure is likely to rise in the future as product life cycles become shorter and the affordability of </w:t>
      </w:r>
      <w:r w:rsidR="005B1ECF" w:rsidRPr="00F54FD3">
        <w:t>EEE</w:t>
      </w:r>
      <w:r w:rsidRPr="00F54FD3">
        <w:t xml:space="preserve"> becomes </w:t>
      </w:r>
      <w:r w:rsidR="006A3BCD" w:rsidRPr="00F54FD3">
        <w:t xml:space="preserve">ever </w:t>
      </w:r>
      <w:r w:rsidRPr="00F54FD3">
        <w:t>greater (</w:t>
      </w:r>
      <w:r w:rsidR="003C63DD" w:rsidRPr="00F54FD3">
        <w:t>Cucchiella et al. 2015</w:t>
      </w:r>
      <w:r w:rsidR="000C23DB" w:rsidRPr="00F54FD3">
        <w:t>; Thiébaud (-Müller) et al. 2017</w:t>
      </w:r>
      <w:r w:rsidRPr="00F54FD3">
        <w:t xml:space="preserve">). </w:t>
      </w:r>
    </w:p>
    <w:p w:rsidR="00C96B17" w:rsidRPr="00F54FD3" w:rsidRDefault="00D4575E">
      <w:pPr>
        <w:pStyle w:val="TEXT"/>
      </w:pPr>
      <w:r w:rsidRPr="00F54FD3">
        <w:t xml:space="preserve">Due to the ever-increasing amounts of WEEE being generated annually, </w:t>
      </w:r>
      <w:r w:rsidR="002E70AF" w:rsidRPr="00F54FD3">
        <w:t>its</w:t>
      </w:r>
      <w:r w:rsidR="00963E8E" w:rsidRPr="00F54FD3">
        <w:t xml:space="preserve"> management has become a prominent global issue</w:t>
      </w:r>
      <w:r w:rsidR="004D6E5B">
        <w:t xml:space="preserve"> (Ongondo et al. 2011)</w:t>
      </w:r>
      <w:r w:rsidRPr="00F54FD3">
        <w:t xml:space="preserve">. </w:t>
      </w:r>
      <w:r w:rsidR="003710C1" w:rsidRPr="00F54FD3">
        <w:t xml:space="preserve">WEEE contains </w:t>
      </w:r>
      <w:r w:rsidRPr="00F54FD3">
        <w:t xml:space="preserve">a variety of </w:t>
      </w:r>
      <w:r w:rsidR="003710C1" w:rsidRPr="00F54FD3">
        <w:t>hazardous</w:t>
      </w:r>
      <w:r w:rsidR="000C23DB" w:rsidRPr="00F54FD3">
        <w:t xml:space="preserve"> materials</w:t>
      </w:r>
      <w:r w:rsidRPr="00F54FD3">
        <w:t xml:space="preserve"> –</w:t>
      </w:r>
      <w:r w:rsidR="000C23DB" w:rsidRPr="00F54FD3">
        <w:t xml:space="preserve"> </w:t>
      </w:r>
      <w:r w:rsidRPr="00F54FD3">
        <w:t xml:space="preserve">such as </w:t>
      </w:r>
      <w:r w:rsidR="000C23DB" w:rsidRPr="00F54FD3">
        <w:t>cadmium, lead, mercury</w:t>
      </w:r>
      <w:r w:rsidRPr="00F54FD3">
        <w:t>, polychlorinated biphenyls</w:t>
      </w:r>
      <w:r w:rsidR="000C23DB" w:rsidRPr="00F54FD3">
        <w:t xml:space="preserve"> and brominated flame retardants (Widmer et al., 2005)</w:t>
      </w:r>
      <w:r w:rsidRPr="00F54FD3">
        <w:t xml:space="preserve"> –</w:t>
      </w:r>
      <w:r w:rsidR="000C23DB" w:rsidRPr="00F54FD3">
        <w:t xml:space="preserve"> that</w:t>
      </w:r>
      <w:r w:rsidRPr="00F54FD3">
        <w:t xml:space="preserve"> </w:t>
      </w:r>
      <w:r w:rsidR="000C23DB" w:rsidRPr="00F54FD3">
        <w:t xml:space="preserve">pose </w:t>
      </w:r>
      <w:r w:rsidRPr="00F54FD3">
        <w:t xml:space="preserve">a considerable </w:t>
      </w:r>
      <w:r w:rsidR="000C23DB" w:rsidRPr="00F54FD3">
        <w:t>risk to both humans and the environment</w:t>
      </w:r>
      <w:r w:rsidR="00963E8E" w:rsidRPr="00F54FD3">
        <w:t xml:space="preserve"> if not adequately treated. However, </w:t>
      </w:r>
      <w:r w:rsidRPr="00F54FD3">
        <w:t xml:space="preserve">WEEE </w:t>
      </w:r>
      <w:r w:rsidR="00963E8E" w:rsidRPr="00F54FD3">
        <w:t xml:space="preserve">also contains potentially valuable materials – such as (amongst others) ferrous and non-ferrous metals, glass, plastics and scarce and critical minerals (Buchert et al. 2012) – that, if recovered, represent a latent economic opportunity (Zhang &amp; Xu, 2016). </w:t>
      </w:r>
      <w:r w:rsidR="00EE011D" w:rsidRPr="00F54FD3">
        <w:t xml:space="preserve">Furthermore, inefficient </w:t>
      </w:r>
      <w:r w:rsidR="00C96B17" w:rsidRPr="002024C1">
        <w:t>WEEE</w:t>
      </w:r>
      <w:r w:rsidR="00963E8E" w:rsidRPr="002024C1">
        <w:t xml:space="preserve"> management </w:t>
      </w:r>
      <w:r w:rsidR="00C96B17" w:rsidRPr="002024C1">
        <w:t>contributes</w:t>
      </w:r>
      <w:r w:rsidR="00672893" w:rsidRPr="002024C1">
        <w:t xml:space="preserve"> </w:t>
      </w:r>
      <w:r w:rsidR="00672893" w:rsidRPr="002024C1">
        <w:lastRenderedPageBreak/>
        <w:t>directly</w:t>
      </w:r>
      <w:r w:rsidR="00C96B17" w:rsidRPr="002024C1">
        <w:t xml:space="preserve"> to climate change</w:t>
      </w:r>
      <w:r w:rsidR="00672893" w:rsidRPr="002024C1">
        <w:t>,</w:t>
      </w:r>
      <w:r w:rsidR="00C96B17" w:rsidRPr="00F668D0">
        <w:t xml:space="preserve"> due to </w:t>
      </w:r>
      <w:r w:rsidR="004B1B38" w:rsidRPr="00933970">
        <w:t>emissions</w:t>
      </w:r>
      <w:r w:rsidR="00C96B17" w:rsidRPr="00933970">
        <w:t xml:space="preserve"> </w:t>
      </w:r>
      <w:r w:rsidR="00C96B17" w:rsidRPr="00BD4C4C">
        <w:t xml:space="preserve">of </w:t>
      </w:r>
      <w:r w:rsidR="00963E8E" w:rsidRPr="00BD4C4C">
        <w:t>greenhouse gases</w:t>
      </w:r>
      <w:r w:rsidR="00C96B17" w:rsidRPr="00BD4C4C">
        <w:t xml:space="preserve"> </w:t>
      </w:r>
      <w:r w:rsidR="00963E8E" w:rsidRPr="00044F68">
        <w:t xml:space="preserve">(e.g. due to </w:t>
      </w:r>
      <w:r w:rsidR="00C96B17" w:rsidRPr="00044F68">
        <w:t xml:space="preserve">energy </w:t>
      </w:r>
      <w:r w:rsidR="00963E8E" w:rsidRPr="00044F68">
        <w:t xml:space="preserve">consumption </w:t>
      </w:r>
      <w:r w:rsidR="00C96B17" w:rsidRPr="00044F68">
        <w:t>during transport</w:t>
      </w:r>
      <w:r w:rsidR="00963E8E" w:rsidRPr="00044F68">
        <w:t>ation</w:t>
      </w:r>
      <w:r w:rsidR="00C96B17" w:rsidRPr="00044F68">
        <w:t xml:space="preserve"> and </w:t>
      </w:r>
      <w:r w:rsidR="00963E8E" w:rsidRPr="00044F68">
        <w:t>treatment)</w:t>
      </w:r>
      <w:r w:rsidR="00672893" w:rsidRPr="00044F68">
        <w:t>. This effect can be exacerbated by poor material recovery rates in many countries</w:t>
      </w:r>
      <w:r w:rsidR="00220453" w:rsidRPr="00044F68">
        <w:t>, which is</w:t>
      </w:r>
      <w:r w:rsidR="00672893" w:rsidRPr="00044F68">
        <w:t xml:space="preserve"> due to poor recycling techniques, disposal into the residual waste stream and</w:t>
      </w:r>
      <w:r w:rsidR="00220453" w:rsidRPr="00044F68">
        <w:t>/or</w:t>
      </w:r>
      <w:r w:rsidR="00672893" w:rsidRPr="00044F68">
        <w:t xml:space="preserve"> exportation of waste to developing countries for treatment and disposal (Tanskanen, 2013</w:t>
      </w:r>
      <w:r w:rsidR="00672893" w:rsidRPr="00BE24E1">
        <w:t>; Ikhlayel, 2018).</w:t>
      </w:r>
      <w:r w:rsidR="00220453" w:rsidRPr="00BE24E1">
        <w:t xml:space="preserve"> Conversely, </w:t>
      </w:r>
      <w:r w:rsidR="00EE011D" w:rsidRPr="00BE24E1">
        <w:t>effective WEEE management can contribute towards a net reduction in greenhouse gas emissions</w:t>
      </w:r>
      <w:r w:rsidR="00220453" w:rsidRPr="00BE24E1">
        <w:t xml:space="preserve"> </w:t>
      </w:r>
      <w:r w:rsidR="00EE011D" w:rsidRPr="00BE24E1">
        <w:t>(Foelster et al. 2016</w:t>
      </w:r>
      <w:r w:rsidR="009148D3" w:rsidRPr="00BE24E1">
        <w:t>; Menikpura et al. 2014</w:t>
      </w:r>
      <w:r w:rsidR="00EE011D" w:rsidRPr="00BE24E1">
        <w:t>)</w:t>
      </w:r>
      <w:r w:rsidR="00220453" w:rsidRPr="00BE24E1">
        <w:t>, with</w:t>
      </w:r>
      <w:r w:rsidR="00672893" w:rsidRPr="00BE24E1">
        <w:t xml:space="preserve"> </w:t>
      </w:r>
      <w:r w:rsidR="00220453" w:rsidRPr="008D5269">
        <w:t>increased</w:t>
      </w:r>
      <w:r w:rsidR="00672893" w:rsidRPr="008D5269">
        <w:t xml:space="preserve"> r</w:t>
      </w:r>
      <w:r w:rsidR="00C96B17" w:rsidRPr="008D5269">
        <w:t>euse and recycling of WEEE</w:t>
      </w:r>
      <w:r w:rsidR="00220453" w:rsidRPr="008D5269">
        <w:t xml:space="preserve"> </w:t>
      </w:r>
      <w:r w:rsidR="00683BAC" w:rsidRPr="008D5269">
        <w:t xml:space="preserve">potentially </w:t>
      </w:r>
      <w:r w:rsidR="00220453" w:rsidRPr="008D5269">
        <w:t xml:space="preserve">resulting in a reduction in </w:t>
      </w:r>
      <w:r w:rsidR="00C96B17" w:rsidRPr="008D5269">
        <w:t>the need for virgin materials (Turner et al. 2015)</w:t>
      </w:r>
      <w:r w:rsidR="00220453" w:rsidRPr="008D5269">
        <w:t>.</w:t>
      </w:r>
    </w:p>
    <w:p w:rsidR="00F72246" w:rsidRPr="00933970" w:rsidRDefault="00683BAC">
      <w:pPr>
        <w:pStyle w:val="TEXT"/>
      </w:pPr>
      <w:r w:rsidRPr="002024C1">
        <w:t>Recently, a number of studies have been published that have sought to analyse the potential climate impacts of WEEE management systems</w:t>
      </w:r>
      <w:r w:rsidRPr="009E32AC">
        <w:t xml:space="preserve"> </w:t>
      </w:r>
      <w:r w:rsidRPr="00933970">
        <w:t>using life cycle assessment (LCA) – a well-established method for assessing</w:t>
      </w:r>
      <w:r w:rsidRPr="00BD4C4C">
        <w:t xml:space="preserve"> the potential environmental and human health impacts of products and product systems</w:t>
      </w:r>
      <w:r w:rsidRPr="00044F68">
        <w:t xml:space="preserve"> – in </w:t>
      </w:r>
      <w:r w:rsidR="00933970" w:rsidRPr="00044F68">
        <w:t>either a full or partial form</w:t>
      </w:r>
      <w:r w:rsidR="00933970">
        <w:t xml:space="preserve">; </w:t>
      </w:r>
      <w:r w:rsidRPr="00933970">
        <w:t>so called “carbon footprint” assessment.</w:t>
      </w:r>
      <w:r w:rsidR="00933970">
        <w:t xml:space="preserve"> </w:t>
      </w:r>
      <w:r w:rsidR="002C542E" w:rsidRPr="009E32AC">
        <w:t xml:space="preserve">Ibanescu et al. (2018) </w:t>
      </w:r>
      <w:r w:rsidR="002C542E" w:rsidRPr="00933970">
        <w:t xml:space="preserve">assessed the carbon footprints of WEEE management </w:t>
      </w:r>
      <w:r w:rsidR="00F72246">
        <w:t>in</w:t>
      </w:r>
      <w:r w:rsidR="002024C1" w:rsidRPr="00933970">
        <w:t xml:space="preserve"> five </w:t>
      </w:r>
      <w:r w:rsidR="00933970">
        <w:t xml:space="preserve">EU </w:t>
      </w:r>
      <w:r w:rsidR="002024C1" w:rsidRPr="00933970">
        <w:t>countries</w:t>
      </w:r>
      <w:r w:rsidR="00F72246">
        <w:t xml:space="preserve"> (</w:t>
      </w:r>
      <w:r w:rsidR="002024C1" w:rsidRPr="00933970">
        <w:t>Germany, Sweden, Italy, Romania and Bulgaria</w:t>
      </w:r>
      <w:r w:rsidR="00F72246">
        <w:t>), with t</w:t>
      </w:r>
      <w:r w:rsidR="002024C1" w:rsidRPr="00933970">
        <w:t>heir results show</w:t>
      </w:r>
      <w:r w:rsidR="00F72246">
        <w:t>ing</w:t>
      </w:r>
      <w:r w:rsidR="002024C1" w:rsidRPr="00933970">
        <w:t xml:space="preserve"> that the total national carbon footprints of each country were </w:t>
      </w:r>
      <w:r w:rsidR="002024C1">
        <w:t xml:space="preserve">net </w:t>
      </w:r>
      <w:r w:rsidR="002024C1" w:rsidRPr="002024C1">
        <w:t xml:space="preserve">negative </w:t>
      </w:r>
      <w:r w:rsidR="002024C1">
        <w:t xml:space="preserve">(i.e. climatically </w:t>
      </w:r>
      <w:r w:rsidR="004B1B38">
        <w:t>beneficial</w:t>
      </w:r>
      <w:r w:rsidR="002024C1">
        <w:t xml:space="preserve">), due to the significant contribution of recycling in terms of avoided emissions. </w:t>
      </w:r>
      <w:r w:rsidR="00044F68">
        <w:t xml:space="preserve">Similar </w:t>
      </w:r>
      <w:r w:rsidR="00F668D0">
        <w:t>finding</w:t>
      </w:r>
      <w:r w:rsidR="00044F68">
        <w:t>s</w:t>
      </w:r>
      <w:r w:rsidR="00F668D0">
        <w:t xml:space="preserve"> </w:t>
      </w:r>
      <w:r w:rsidR="00044F68">
        <w:t xml:space="preserve">have been reported </w:t>
      </w:r>
      <w:r w:rsidR="00F668D0">
        <w:t>by</w:t>
      </w:r>
      <w:r w:rsidR="00BE24E1">
        <w:t xml:space="preserve"> numerous other researchers, for instance, by</w:t>
      </w:r>
      <w:r w:rsidR="00F668D0">
        <w:t xml:space="preserve"> </w:t>
      </w:r>
      <w:r w:rsidR="00F668D0" w:rsidRPr="00F668D0">
        <w:t xml:space="preserve">Menikpura et al. </w:t>
      </w:r>
      <w:r w:rsidR="00F668D0">
        <w:t>(</w:t>
      </w:r>
      <w:r w:rsidR="00F668D0" w:rsidRPr="00F668D0">
        <w:t>2014</w:t>
      </w:r>
      <w:r w:rsidR="00F668D0">
        <w:t>)</w:t>
      </w:r>
      <w:r w:rsidR="00044F68">
        <w:t xml:space="preserve"> in their </w:t>
      </w:r>
      <w:r w:rsidR="00F668D0">
        <w:t xml:space="preserve">study </w:t>
      </w:r>
      <w:r w:rsidR="00044F68">
        <w:t xml:space="preserve">of the potential climate benefits of </w:t>
      </w:r>
      <w:r w:rsidR="00F668D0">
        <w:t>WEEE recycling in Japan</w:t>
      </w:r>
      <w:r w:rsidR="00BE24E1">
        <w:t xml:space="preserve">; </w:t>
      </w:r>
      <w:r w:rsidR="00044F68">
        <w:t xml:space="preserve">Baxter et al. (2016) , who assessed the </w:t>
      </w:r>
      <w:r w:rsidR="00044F68" w:rsidRPr="00044F68">
        <w:t>collection, distribution and processing system for WEEE</w:t>
      </w:r>
      <w:r w:rsidR="00044F68">
        <w:t xml:space="preserve"> in Norway</w:t>
      </w:r>
      <w:r w:rsidR="00BE24E1">
        <w:t>;</w:t>
      </w:r>
      <w:r w:rsidR="00F668D0">
        <w:t xml:space="preserve"> </w:t>
      </w:r>
      <w:r w:rsidR="00F72246" w:rsidRPr="00BD4C4C">
        <w:t xml:space="preserve">Ikhlayel </w:t>
      </w:r>
      <w:r w:rsidR="00F72246">
        <w:t xml:space="preserve">(2017) </w:t>
      </w:r>
      <w:r w:rsidR="00BE24E1">
        <w:t>in their study on</w:t>
      </w:r>
      <w:r w:rsidR="00F72246" w:rsidRPr="00933970">
        <w:t xml:space="preserve"> small and large electronic device end-of-life management </w:t>
      </w:r>
      <w:r w:rsidR="00BE24E1">
        <w:t>options in Jordan; and S</w:t>
      </w:r>
      <w:r w:rsidR="00F72246" w:rsidRPr="00F668D0">
        <w:t>ong et al. (2016)</w:t>
      </w:r>
      <w:r w:rsidR="00BE24E1">
        <w:t>, who</w:t>
      </w:r>
      <w:r w:rsidR="00F72246" w:rsidRPr="00F668D0">
        <w:t xml:space="preserve"> </w:t>
      </w:r>
      <w:r w:rsidR="00F72246" w:rsidRPr="009E32AC">
        <w:t xml:space="preserve">assessed and compared alternative cathode ray tube (CRT) screen treatment options in China. </w:t>
      </w:r>
    </w:p>
    <w:p w:rsidR="009E32AC" w:rsidRPr="002024C1" w:rsidRDefault="00F72246">
      <w:pPr>
        <w:pStyle w:val="TEXT"/>
      </w:pPr>
      <w:r>
        <w:t xml:space="preserve">Other studies have combined LCA with other environmental systems analysis techniques to gain a more </w:t>
      </w:r>
      <w:r w:rsidR="00BE24E1">
        <w:t>comprehensive</w:t>
      </w:r>
      <w:r>
        <w:t xml:space="preserve"> understanding of system performance. </w:t>
      </w:r>
      <w:r w:rsidR="00044F68">
        <w:t>C</w:t>
      </w:r>
      <w:r w:rsidR="00933970">
        <w:t>ombined material flow analysis (MFA) and LCA approach</w:t>
      </w:r>
      <w:r w:rsidR="00044F68">
        <w:t>es</w:t>
      </w:r>
      <w:r w:rsidR="00933970">
        <w:t xml:space="preserve"> </w:t>
      </w:r>
      <w:r w:rsidR="00044F68">
        <w:t xml:space="preserve">have been </w:t>
      </w:r>
      <w:r w:rsidR="00933970">
        <w:t xml:space="preserve">used by Wäger et al. </w:t>
      </w:r>
      <w:r w:rsidR="00BE24E1">
        <w:t xml:space="preserve">(2011), </w:t>
      </w:r>
      <w:r w:rsidR="00044F68">
        <w:t>Biganzoli et al. (2015)</w:t>
      </w:r>
      <w:r w:rsidR="00BE24E1">
        <w:t xml:space="preserve"> and </w:t>
      </w:r>
      <w:r w:rsidR="00BE24E1">
        <w:lastRenderedPageBreak/>
        <w:t>Turner et al. (2016)</w:t>
      </w:r>
      <w:r w:rsidR="00044F68">
        <w:t xml:space="preserve"> </w:t>
      </w:r>
      <w:r w:rsidR="00933970">
        <w:t>to assess the environmental performance of the WEEE management system</w:t>
      </w:r>
      <w:r w:rsidR="00044F68">
        <w:t>s</w:t>
      </w:r>
      <w:r w:rsidR="00933970">
        <w:t xml:space="preserve"> in Switzerland</w:t>
      </w:r>
      <w:r w:rsidR="00BE24E1">
        <w:t xml:space="preserve">, </w:t>
      </w:r>
      <w:r w:rsidR="00044F68">
        <w:t xml:space="preserve">the Lombardia Region of Italy, </w:t>
      </w:r>
      <w:r w:rsidR="00BE24E1">
        <w:t xml:space="preserve">and Cardiff, UK, </w:t>
      </w:r>
      <w:r w:rsidR="00044F68">
        <w:t>respectively</w:t>
      </w:r>
      <w:r w:rsidR="00933970">
        <w:t xml:space="preserve">. </w:t>
      </w:r>
      <w:r w:rsidR="008D5269">
        <w:t>Elsewhere, a</w:t>
      </w:r>
      <w:r w:rsidR="00BE24E1">
        <w:t>n LCA-integrated multi-criteria analysis approach was presented by de Souza et al. (2016) in their study into the sustainability of WEEE management systems in Brazil</w:t>
      </w:r>
      <w:r w:rsidR="008D5269">
        <w:t>, which considered social and economic performance as well as environmental</w:t>
      </w:r>
      <w:r w:rsidR="00BE24E1">
        <w:t xml:space="preserve">. </w:t>
      </w:r>
    </w:p>
    <w:p w:rsidR="008D5269" w:rsidRPr="00DC7038" w:rsidRDefault="008D5269">
      <w:pPr>
        <w:pStyle w:val="TEXT"/>
      </w:pPr>
      <w:r w:rsidRPr="00BE24E1">
        <w:t xml:space="preserve">Despite the growing concern for WEEE management in the UK and the wider proliferation of work </w:t>
      </w:r>
      <w:r w:rsidRPr="008D5269">
        <w:t xml:space="preserve">carried out in this field globally, </w:t>
      </w:r>
      <w:r w:rsidR="00F87FC6">
        <w:t xml:space="preserve">no previous research has been done to systematically evaluate </w:t>
      </w:r>
      <w:r w:rsidRPr="008D5269">
        <w:t xml:space="preserve">the potential </w:t>
      </w:r>
      <w:r w:rsidRPr="00DC7038">
        <w:t xml:space="preserve">climate impacts of </w:t>
      </w:r>
      <w:r>
        <w:t xml:space="preserve">the </w:t>
      </w:r>
      <w:r w:rsidRPr="00DC7038">
        <w:t xml:space="preserve">WEEE management </w:t>
      </w:r>
      <w:r>
        <w:t xml:space="preserve">system </w:t>
      </w:r>
      <w:r w:rsidRPr="00DC7038">
        <w:t xml:space="preserve">in the UK. </w:t>
      </w:r>
      <w:r>
        <w:t>As demonstrated by studies elsewhere, s</w:t>
      </w:r>
      <w:r w:rsidRPr="00DC7038">
        <w:t>uch work could help to provide policy makers and waste managers in the UK with useful information to support WEEE decision making at the national and sub-national scale.</w:t>
      </w:r>
    </w:p>
    <w:p w:rsidR="008522BE" w:rsidRPr="00F72246" w:rsidRDefault="002C542E">
      <w:pPr>
        <w:pStyle w:val="TEXT"/>
      </w:pPr>
      <w:r w:rsidRPr="00933970">
        <w:t>T</w:t>
      </w:r>
      <w:r w:rsidR="008522BE" w:rsidRPr="00933970">
        <w:t>he UK</w:t>
      </w:r>
      <w:r w:rsidRPr="00933970">
        <w:t xml:space="preserve"> is a major producer of WEEE</w:t>
      </w:r>
      <w:r w:rsidR="008522BE" w:rsidRPr="00933970">
        <w:t xml:space="preserve">, </w:t>
      </w:r>
      <w:r w:rsidRPr="00933970">
        <w:t xml:space="preserve">with </w:t>
      </w:r>
      <w:r w:rsidR="008522BE" w:rsidRPr="00933970">
        <w:t xml:space="preserve">an </w:t>
      </w:r>
      <w:r w:rsidRPr="00933970">
        <w:t xml:space="preserve">estimated </w:t>
      </w:r>
      <w:r w:rsidR="008522BE" w:rsidRPr="00933970">
        <w:t xml:space="preserve">2 Mt of WEEE </w:t>
      </w:r>
      <w:r w:rsidR="008522BE" w:rsidRPr="00BD4C4C">
        <w:t>is generated and discarded annually</w:t>
      </w:r>
      <w:r w:rsidR="008522BE" w:rsidRPr="00044F68">
        <w:t xml:space="preserve">; approximately </w:t>
      </w:r>
      <w:r w:rsidR="00DB2A94" w:rsidRPr="00044F68">
        <w:t>32</w:t>
      </w:r>
      <w:r w:rsidR="008522BE" w:rsidRPr="00044F68">
        <w:t xml:space="preserve"> kg of WEEE per capita</w:t>
      </w:r>
      <w:r w:rsidR="00DB2A94" w:rsidRPr="00044F68">
        <w:t xml:space="preserve"> (HSE 2018)</w:t>
      </w:r>
      <w:r w:rsidR="008522BE" w:rsidRPr="00044F68">
        <w:t>.</w:t>
      </w:r>
      <w:r w:rsidR="008522BE" w:rsidRPr="00C52A97">
        <w:t xml:space="preserve"> </w:t>
      </w:r>
      <w:r w:rsidR="00DB2A94" w:rsidRPr="00C52A97">
        <w:t xml:space="preserve">With this amount ever-increasing, </w:t>
      </w:r>
      <w:r w:rsidR="008522BE" w:rsidRPr="00BE24E1">
        <w:t xml:space="preserve">WEEE management has become a foremost environmental issue over the past </w:t>
      </w:r>
      <w:r w:rsidR="008522BE" w:rsidRPr="008D5269">
        <w:t>decade for UK policy makers and waste managers</w:t>
      </w:r>
      <w:r w:rsidR="00672156" w:rsidRPr="008D5269">
        <w:t>, and</w:t>
      </w:r>
      <w:r w:rsidR="008522BE" w:rsidRPr="008D5269">
        <w:t xml:space="preserve"> </w:t>
      </w:r>
      <w:r w:rsidR="00672156" w:rsidRPr="008D5269">
        <w:t xml:space="preserve">a prominent, rapidly growing </w:t>
      </w:r>
      <w:r w:rsidR="008522BE" w:rsidRPr="008D5269">
        <w:t>WEEE recycling industry</w:t>
      </w:r>
      <w:r w:rsidR="00672156" w:rsidRPr="008D5269">
        <w:t xml:space="preserve"> has emerged</w:t>
      </w:r>
      <w:r w:rsidR="004D6E5B">
        <w:t xml:space="preserve"> (Ongondo &amp; Williams 2012)</w:t>
      </w:r>
      <w:r w:rsidR="008522BE" w:rsidRPr="008D5269">
        <w:t>. This has been driven to a large extent by</w:t>
      </w:r>
      <w:r w:rsidR="00672156" w:rsidRPr="009E32AC">
        <w:t xml:space="preserve"> re</w:t>
      </w:r>
      <w:r w:rsidR="005F7A1A" w:rsidRPr="009E32AC">
        <w:t xml:space="preserve">gulatory </w:t>
      </w:r>
      <w:r w:rsidR="00672156" w:rsidRPr="00933970">
        <w:t xml:space="preserve">compliance and the implementation of a regulatory framework that transposes </w:t>
      </w:r>
      <w:r w:rsidR="00801AA6" w:rsidRPr="00933970">
        <w:t xml:space="preserve">two </w:t>
      </w:r>
      <w:r w:rsidR="00C35F23" w:rsidRPr="00933970">
        <w:t xml:space="preserve">EU Directives. </w:t>
      </w:r>
      <w:r w:rsidR="006A3BCD" w:rsidRPr="002024C1">
        <w:t>T</w:t>
      </w:r>
      <w:r w:rsidR="00D51D66" w:rsidRPr="00F668D0">
        <w:t xml:space="preserve">he WEEE Directive </w:t>
      </w:r>
      <w:r w:rsidR="00903543" w:rsidRPr="00933970">
        <w:t>(</w:t>
      </w:r>
      <w:r w:rsidR="00D51D66" w:rsidRPr="00933970">
        <w:t>2012/19/EU</w:t>
      </w:r>
      <w:r w:rsidR="00903543" w:rsidRPr="00BD4C4C">
        <w:t>)</w:t>
      </w:r>
      <w:r w:rsidR="00C35F23" w:rsidRPr="00BD4C4C">
        <w:t xml:space="preserve"> – transposed in the UK </w:t>
      </w:r>
      <w:r w:rsidR="005F7A1A" w:rsidRPr="00044F68">
        <w:t>by</w:t>
      </w:r>
      <w:r w:rsidR="000B0224" w:rsidRPr="00044F68">
        <w:t xml:space="preserve"> The</w:t>
      </w:r>
      <w:r w:rsidR="005F7A1A" w:rsidRPr="00044F68">
        <w:t xml:space="preserve"> Waste Electrical and Electronic Equipment Regulations 2013</w:t>
      </w:r>
      <w:r w:rsidR="000B0224" w:rsidRPr="00044F68">
        <w:t xml:space="preserve"> (as amended)</w:t>
      </w:r>
      <w:r w:rsidR="005F7A1A" w:rsidRPr="00044F68">
        <w:t xml:space="preserve"> – </w:t>
      </w:r>
      <w:r w:rsidR="00D51D66" w:rsidRPr="00044F68">
        <w:t>set</w:t>
      </w:r>
      <w:r w:rsidR="00C35F23" w:rsidRPr="00044F68">
        <w:t>s</w:t>
      </w:r>
      <w:r w:rsidR="00D51D66" w:rsidRPr="00044F68">
        <w:t xml:space="preserve"> targets for the collection of WEEE for all </w:t>
      </w:r>
      <w:r w:rsidR="00617DE9" w:rsidRPr="00C52A97">
        <w:t>M</w:t>
      </w:r>
      <w:r w:rsidR="00D51D66" w:rsidRPr="00C52A97">
        <w:t xml:space="preserve">ember </w:t>
      </w:r>
      <w:r w:rsidR="00617DE9" w:rsidRPr="00C52A97">
        <w:t>S</w:t>
      </w:r>
      <w:r w:rsidR="00D51D66" w:rsidRPr="00F72246">
        <w:t>tates</w:t>
      </w:r>
      <w:r w:rsidR="00837A70" w:rsidRPr="00F72246">
        <w:t xml:space="preserve"> </w:t>
      </w:r>
      <w:r w:rsidR="003610ED" w:rsidRPr="00F72246">
        <w:t xml:space="preserve">and </w:t>
      </w:r>
      <w:r w:rsidR="00D51D66" w:rsidRPr="00F72246">
        <w:t xml:space="preserve">requires </w:t>
      </w:r>
      <w:r w:rsidR="003610ED" w:rsidRPr="00F72246">
        <w:t xml:space="preserve">that all </w:t>
      </w:r>
      <w:r w:rsidR="00D51D66" w:rsidRPr="00F72246">
        <w:t xml:space="preserve">manufacturers of electronic products and importers </w:t>
      </w:r>
      <w:r w:rsidR="003610ED" w:rsidRPr="00F72246">
        <w:t xml:space="preserve">establish </w:t>
      </w:r>
      <w:r w:rsidR="009E4CF6" w:rsidRPr="00BE24E1">
        <w:t xml:space="preserve">collection </w:t>
      </w:r>
      <w:r w:rsidR="003610ED" w:rsidRPr="00BE24E1">
        <w:t xml:space="preserve">schemes for </w:t>
      </w:r>
      <w:r w:rsidR="00D51D66" w:rsidRPr="00BE24E1">
        <w:t>their products and ensure</w:t>
      </w:r>
      <w:r w:rsidR="005B1ECF" w:rsidRPr="00BE24E1">
        <w:t xml:space="preserve"> that</w:t>
      </w:r>
      <w:r w:rsidR="00D51D66" w:rsidRPr="00BE24E1">
        <w:t xml:space="preserve"> </w:t>
      </w:r>
      <w:r w:rsidR="005B1ECF" w:rsidRPr="00BE24E1">
        <w:t>environmentally-</w:t>
      </w:r>
      <w:r w:rsidR="00D51D66" w:rsidRPr="00BE24E1">
        <w:t xml:space="preserve">sound treatment and disposal methods are used. </w:t>
      </w:r>
      <w:r w:rsidR="009E4CF6" w:rsidRPr="00BE24E1">
        <w:t xml:space="preserve">For </w:t>
      </w:r>
      <w:r w:rsidR="000B0224" w:rsidRPr="00BE24E1">
        <w:t xml:space="preserve">UK </w:t>
      </w:r>
      <w:r w:rsidR="009E4CF6" w:rsidRPr="00BE24E1">
        <w:t xml:space="preserve">manufacturers, compliance is </w:t>
      </w:r>
      <w:r w:rsidR="000B0224" w:rsidRPr="00BE24E1">
        <w:t xml:space="preserve">typically </w:t>
      </w:r>
      <w:r w:rsidR="00837A70" w:rsidRPr="00BE24E1">
        <w:t xml:space="preserve">attained either through </w:t>
      </w:r>
      <w:r w:rsidR="00D51D66" w:rsidRPr="00BE24E1">
        <w:t>joining</w:t>
      </w:r>
      <w:r w:rsidR="000D55E3" w:rsidRPr="00BE24E1">
        <w:t xml:space="preserve"> a Distributor Take-</w:t>
      </w:r>
      <w:r w:rsidR="00837A70" w:rsidRPr="00BE24E1">
        <w:t>B</w:t>
      </w:r>
      <w:r w:rsidR="00D51D66" w:rsidRPr="00BE24E1">
        <w:t xml:space="preserve">ack Scheme (DTS) or </w:t>
      </w:r>
      <w:r w:rsidR="00837A70" w:rsidRPr="00BE24E1">
        <w:t xml:space="preserve">by </w:t>
      </w:r>
      <w:r w:rsidR="00D51D66" w:rsidRPr="00BE24E1">
        <w:t>offer</w:t>
      </w:r>
      <w:r w:rsidR="005B1ECF" w:rsidRPr="00BE24E1">
        <w:t>ing</w:t>
      </w:r>
      <w:r w:rsidR="00D51D66" w:rsidRPr="00BE24E1">
        <w:t xml:space="preserve"> free in-store take</w:t>
      </w:r>
      <w:r w:rsidR="00334FD2" w:rsidRPr="00BE24E1">
        <w:t>-</w:t>
      </w:r>
      <w:r w:rsidR="00D51D66" w:rsidRPr="00BE24E1">
        <w:t>back</w:t>
      </w:r>
      <w:r w:rsidR="00837A70" w:rsidRPr="00BE24E1">
        <w:t xml:space="preserve"> of WEEE</w:t>
      </w:r>
      <w:r w:rsidR="00D51D66" w:rsidRPr="00BE24E1">
        <w:t xml:space="preserve">. In </w:t>
      </w:r>
      <w:r w:rsidR="005B1ECF" w:rsidRPr="00BE24E1">
        <w:t xml:space="preserve">either </w:t>
      </w:r>
      <w:r w:rsidR="00D51D66" w:rsidRPr="00BE24E1">
        <w:t>case</w:t>
      </w:r>
      <w:r w:rsidR="00334FD2" w:rsidRPr="00BE24E1">
        <w:t>,</w:t>
      </w:r>
      <w:r w:rsidR="00D51D66" w:rsidRPr="00BE24E1">
        <w:t xml:space="preserve"> the distributer </w:t>
      </w:r>
      <w:r w:rsidR="005B1ECF" w:rsidRPr="00BE24E1">
        <w:t xml:space="preserve">is </w:t>
      </w:r>
      <w:r w:rsidR="00D51D66" w:rsidRPr="00BE24E1">
        <w:t>financial</w:t>
      </w:r>
      <w:r w:rsidR="004D220B" w:rsidRPr="008D5269">
        <w:t>ly</w:t>
      </w:r>
      <w:r w:rsidR="00D51D66" w:rsidRPr="008D5269">
        <w:t xml:space="preserve"> obligat</w:t>
      </w:r>
      <w:r w:rsidR="004D220B" w:rsidRPr="008D5269">
        <w:t xml:space="preserve">ed to </w:t>
      </w:r>
      <w:r w:rsidR="00D51D66" w:rsidRPr="008D5269">
        <w:t>collect</w:t>
      </w:r>
      <w:r w:rsidR="004D220B" w:rsidRPr="008D5269">
        <w:t xml:space="preserve"> </w:t>
      </w:r>
      <w:r w:rsidR="00D51D66" w:rsidRPr="008D5269">
        <w:t>and transport</w:t>
      </w:r>
      <w:r w:rsidR="004D220B" w:rsidRPr="008D5269">
        <w:t xml:space="preserve"> the </w:t>
      </w:r>
      <w:r w:rsidR="00D51D66" w:rsidRPr="008D5269">
        <w:t xml:space="preserve">WEEE. The Restriction of Hazardous Substances Directive </w:t>
      </w:r>
      <w:r w:rsidR="00D51D66" w:rsidRPr="008D5269">
        <w:lastRenderedPageBreak/>
        <w:t xml:space="preserve">(RoHS) </w:t>
      </w:r>
      <w:r w:rsidR="000B0224" w:rsidRPr="008D5269">
        <w:t>(</w:t>
      </w:r>
      <w:r w:rsidR="00D51D66" w:rsidRPr="008D5269">
        <w:t>2002/95/EC</w:t>
      </w:r>
      <w:r w:rsidR="000B0224" w:rsidRPr="008D5269">
        <w:t>)</w:t>
      </w:r>
      <w:r w:rsidR="00D51D66" w:rsidRPr="008D5269">
        <w:t xml:space="preserve"> </w:t>
      </w:r>
      <w:r w:rsidR="000B0224" w:rsidRPr="008D5269">
        <w:t>– transposed in the UK by</w:t>
      </w:r>
      <w:r w:rsidR="000B0224" w:rsidRPr="002024C1">
        <w:t xml:space="preserve"> The Restriction of the Use of Certain Hazardous Substances in Electrical and Electronic Regulations 2012 (as amended) – </w:t>
      </w:r>
      <w:r w:rsidR="00D51D66" w:rsidRPr="002024C1">
        <w:t>aims</w:t>
      </w:r>
      <w:r w:rsidR="000B0224" w:rsidRPr="002024C1">
        <w:t xml:space="preserve"> </w:t>
      </w:r>
      <w:r w:rsidR="00D51D66" w:rsidRPr="00F668D0">
        <w:t xml:space="preserve">to </w:t>
      </w:r>
      <w:r w:rsidR="000B0224" w:rsidRPr="00F668D0">
        <w:t xml:space="preserve">limit </w:t>
      </w:r>
      <w:r w:rsidR="00D51D66" w:rsidRPr="00F668D0">
        <w:t xml:space="preserve">the amount of </w:t>
      </w:r>
      <w:r w:rsidR="000B0224" w:rsidRPr="00F668D0">
        <w:t xml:space="preserve">certain toxic substances in </w:t>
      </w:r>
      <w:r w:rsidR="00660CD0" w:rsidRPr="00F668D0">
        <w:t xml:space="preserve">newly produced </w:t>
      </w:r>
      <w:r w:rsidR="000B0224" w:rsidRPr="00933970">
        <w:t>EEE</w:t>
      </w:r>
      <w:r w:rsidR="00660CD0" w:rsidRPr="00933970">
        <w:t xml:space="preserve"> (including </w:t>
      </w:r>
      <w:r w:rsidR="00D51D66" w:rsidRPr="00BD4C4C">
        <w:t>lead, cadmium, mercury, hexavalent chromium, polybrominated biphenyl and polybrominated diphenyl ether</w:t>
      </w:r>
      <w:r w:rsidR="00660CD0" w:rsidRPr="00BD4C4C">
        <w:t>)</w:t>
      </w:r>
      <w:r w:rsidR="00D51D66" w:rsidRPr="00044F68">
        <w:t xml:space="preserve"> by banning the placement of any EEE on EU market</w:t>
      </w:r>
      <w:r w:rsidR="004D220B" w:rsidRPr="00044F68">
        <w:t>s</w:t>
      </w:r>
      <w:r w:rsidR="00D51D66" w:rsidRPr="00044F68">
        <w:t xml:space="preserve"> </w:t>
      </w:r>
      <w:r w:rsidR="004D220B" w:rsidRPr="00044F68">
        <w:t>if</w:t>
      </w:r>
      <w:r w:rsidR="00D51D66" w:rsidRPr="00044F68">
        <w:t xml:space="preserve"> agreed levels </w:t>
      </w:r>
      <w:r w:rsidR="004D220B" w:rsidRPr="00044F68">
        <w:t>are exceeded</w:t>
      </w:r>
      <w:r w:rsidR="00D51D66" w:rsidRPr="00F72246">
        <w:t>.</w:t>
      </w:r>
    </w:p>
    <w:p w:rsidR="002520BE" w:rsidRPr="002024C1" w:rsidRDefault="00E8255F">
      <w:pPr>
        <w:pStyle w:val="TEXT"/>
      </w:pPr>
      <w:r>
        <w:t xml:space="preserve">Here, we present a combined material flow analysis and carbon footprint approach for quantifying the flows of WEEE through a waste management system and evaluating their potential climate impacts. Using prospective scenario analysis, we apply this approach to </w:t>
      </w:r>
      <w:r w:rsidR="009214D5" w:rsidRPr="005839C7">
        <w:t xml:space="preserve">a) assess </w:t>
      </w:r>
      <w:r w:rsidR="00D51D66" w:rsidRPr="004550DD">
        <w:t>the major flows of WEEE/UEEE</w:t>
      </w:r>
      <w:r w:rsidR="007D692A" w:rsidRPr="004550DD">
        <w:t xml:space="preserve"> within the UK </w:t>
      </w:r>
      <w:r w:rsidR="009214D5" w:rsidRPr="004550DD">
        <w:t>waste management system</w:t>
      </w:r>
      <w:r>
        <w:t xml:space="preserve"> from 2010-2030</w:t>
      </w:r>
      <w:r w:rsidR="007D692A" w:rsidRPr="004550DD">
        <w:t xml:space="preserve"> and </w:t>
      </w:r>
      <w:r w:rsidR="009214D5" w:rsidRPr="004550DD">
        <w:t>b</w:t>
      </w:r>
      <w:r w:rsidR="007D692A" w:rsidRPr="004550DD">
        <w:t>)</w:t>
      </w:r>
      <w:r w:rsidR="00D51D66" w:rsidRPr="004550DD">
        <w:t xml:space="preserve"> </w:t>
      </w:r>
      <w:r w:rsidR="009214D5" w:rsidRPr="004550DD">
        <w:t xml:space="preserve">evaluate </w:t>
      </w:r>
      <w:r w:rsidR="007D692A" w:rsidRPr="004550DD">
        <w:t xml:space="preserve">the </w:t>
      </w:r>
      <w:r w:rsidR="009214D5" w:rsidRPr="004550DD">
        <w:t xml:space="preserve">potential climate </w:t>
      </w:r>
      <w:r w:rsidR="007D692A" w:rsidRPr="004550DD">
        <w:t>impacts</w:t>
      </w:r>
      <w:r w:rsidR="00D51D66" w:rsidRPr="004550DD">
        <w:t xml:space="preserve"> </w:t>
      </w:r>
      <w:r w:rsidR="009214D5" w:rsidRPr="004550DD">
        <w:t xml:space="preserve">(carbon footprint) of different </w:t>
      </w:r>
      <w:r w:rsidR="00D51D66" w:rsidRPr="004550DD">
        <w:t>WEEE/UEEE</w:t>
      </w:r>
      <w:r w:rsidR="009214D5" w:rsidRPr="004550DD">
        <w:t xml:space="preserve"> management routes.</w:t>
      </w:r>
      <w:r w:rsidR="002024C1" w:rsidRPr="002024C1">
        <w:t xml:space="preserve"> The carbon footprint assessment </w:t>
      </w:r>
      <w:r w:rsidR="00F87FC6">
        <w:t xml:space="preserve">is performed using a bespoke calculator tool and </w:t>
      </w:r>
      <w:r w:rsidR="002024C1" w:rsidRPr="002024C1">
        <w:t xml:space="preserve">takes into account the potential GHG emissions from waste treatment and disposal, as well as those from the collection and transportation of WEEE to treatment facilities. </w:t>
      </w:r>
      <w:r w:rsidR="00073F20">
        <w:t xml:space="preserve">To the best of these authors’ knowledge, this is the first paper to estimate the carbon footprint of WEEE management in the UK. </w:t>
      </w:r>
      <w:r w:rsidR="002024C1" w:rsidRPr="002024C1">
        <w:t>The remainder of this</w:t>
      </w:r>
      <w:r w:rsidR="006002C2" w:rsidRPr="002024C1">
        <w:t xml:space="preserve"> paper comprises an </w:t>
      </w:r>
      <w:r w:rsidR="00F87FC6" w:rsidRPr="002024C1">
        <w:t>outline</w:t>
      </w:r>
      <w:r w:rsidR="006002C2" w:rsidRPr="002024C1">
        <w:t xml:space="preserve"> of the methods used to complete the analysis and the presentation and interpretation of key results. </w:t>
      </w:r>
      <w:r w:rsidR="009214D5" w:rsidRPr="002024C1">
        <w:t xml:space="preserve">Through hotspot analysis, we </w:t>
      </w:r>
      <w:r w:rsidR="00D51D66" w:rsidRPr="00F668D0">
        <w:t xml:space="preserve">highlight areas of concern within the </w:t>
      </w:r>
      <w:r w:rsidR="009214D5" w:rsidRPr="00F668D0">
        <w:t xml:space="preserve">extant WEEE </w:t>
      </w:r>
      <w:r w:rsidR="00D51D66" w:rsidRPr="00F668D0">
        <w:t xml:space="preserve">management </w:t>
      </w:r>
      <w:r w:rsidR="009214D5" w:rsidRPr="00F668D0">
        <w:t xml:space="preserve">system </w:t>
      </w:r>
      <w:r w:rsidR="00D51D66" w:rsidRPr="00F668D0">
        <w:t xml:space="preserve">with regards to </w:t>
      </w:r>
      <w:r w:rsidR="009214D5" w:rsidRPr="00F668D0">
        <w:t>the potential climate impacts</w:t>
      </w:r>
      <w:r w:rsidR="00D51D66" w:rsidRPr="00F668D0">
        <w:t xml:space="preserve">. </w:t>
      </w:r>
      <w:r w:rsidR="009214D5" w:rsidRPr="00F668D0">
        <w:t xml:space="preserve">Finally, based on the outcomes of our research we make recommendations </w:t>
      </w:r>
      <w:r w:rsidR="009214D5" w:rsidRPr="009E32AC">
        <w:t xml:space="preserve">on how future policies and management </w:t>
      </w:r>
      <w:r w:rsidR="009214D5" w:rsidRPr="00933970">
        <w:t>should be developed to improve the environmental performance of the system.</w:t>
      </w:r>
      <w:r w:rsidR="00D51D66" w:rsidRPr="002024C1">
        <w:t>.</w:t>
      </w:r>
      <w:r w:rsidR="006A1A23" w:rsidRPr="002024C1">
        <w:t xml:space="preserve"> </w:t>
      </w:r>
    </w:p>
    <w:p w:rsidR="00CB6FA4" w:rsidRPr="002024C1" w:rsidRDefault="006C7A36" w:rsidP="00F54FD3">
      <w:pPr>
        <w:pStyle w:val="Heading2"/>
      </w:pPr>
      <w:r w:rsidRPr="002024C1">
        <w:t>2</w:t>
      </w:r>
      <w:r w:rsidR="00047C3D" w:rsidRPr="002024C1">
        <w:t>. METHODS</w:t>
      </w:r>
    </w:p>
    <w:p w:rsidR="009A33DE" w:rsidRPr="00933970" w:rsidRDefault="0024388D" w:rsidP="00F54FD3">
      <w:r w:rsidRPr="00F668D0">
        <w:t xml:space="preserve">Material flow analysis (MFA) was </w:t>
      </w:r>
      <w:r w:rsidR="00E0364A" w:rsidRPr="00F668D0">
        <w:t xml:space="preserve">used </w:t>
      </w:r>
      <w:r w:rsidRPr="00F668D0">
        <w:t xml:space="preserve">quantify </w:t>
      </w:r>
      <w:r w:rsidR="0042405B" w:rsidRPr="00F668D0">
        <w:t xml:space="preserve">the </w:t>
      </w:r>
      <w:r w:rsidRPr="00F668D0">
        <w:t xml:space="preserve">flows </w:t>
      </w:r>
      <w:r w:rsidR="0042405B" w:rsidRPr="00F668D0">
        <w:t xml:space="preserve">of WEEE through </w:t>
      </w:r>
      <w:r w:rsidR="00C513A6" w:rsidRPr="00F668D0">
        <w:t xml:space="preserve">the UK </w:t>
      </w:r>
      <w:r w:rsidR="00E0364A" w:rsidRPr="00F668D0">
        <w:t>WEEE</w:t>
      </w:r>
      <w:r w:rsidR="00C513A6" w:rsidRPr="00F668D0">
        <w:t xml:space="preserve"> management network</w:t>
      </w:r>
      <w:r w:rsidR="005921B5" w:rsidRPr="00F668D0">
        <w:t>. MFA</w:t>
      </w:r>
      <w:r w:rsidRPr="00F668D0">
        <w:t xml:space="preserve"> enables a systematic assessment of flows and stocks of materials </w:t>
      </w:r>
      <w:r w:rsidR="00BD63DD" w:rsidRPr="00F668D0">
        <w:t xml:space="preserve">into, </w:t>
      </w:r>
      <w:r w:rsidRPr="00F668D0">
        <w:t>within</w:t>
      </w:r>
      <w:r w:rsidR="00BD63DD" w:rsidRPr="00F668D0">
        <w:t>, and from</w:t>
      </w:r>
      <w:r w:rsidRPr="00F668D0">
        <w:t xml:space="preserve"> a </w:t>
      </w:r>
      <w:r w:rsidR="00BD63DD" w:rsidRPr="00F668D0">
        <w:t>defined</w:t>
      </w:r>
      <w:r w:rsidRPr="009E32AC">
        <w:t xml:space="preserve"> system (Brunner &amp; Rechberger, 2005). The use of MFA to </w:t>
      </w:r>
      <w:r w:rsidRPr="009E32AC">
        <w:lastRenderedPageBreak/>
        <w:t xml:space="preserve">analyse waste systems has been widely acknowledged (Wager </w:t>
      </w:r>
      <w:r w:rsidR="00A219A9" w:rsidRPr="009E32AC">
        <w:t>et al.</w:t>
      </w:r>
      <w:r w:rsidRPr="009E32AC">
        <w:t xml:space="preserve">, 2011; Cifrian </w:t>
      </w:r>
      <w:r w:rsidR="00A219A9" w:rsidRPr="009E32AC">
        <w:t>et al.</w:t>
      </w:r>
      <w:r w:rsidRPr="00933970">
        <w:t xml:space="preserve">, 2012; Lau </w:t>
      </w:r>
      <w:r w:rsidR="00A219A9" w:rsidRPr="00933970">
        <w:t>et al.</w:t>
      </w:r>
      <w:r w:rsidRPr="00933970">
        <w:t>, 2013</w:t>
      </w:r>
      <w:r w:rsidR="00BD63DD" w:rsidRPr="00933970">
        <w:t xml:space="preserve">; Turner et al., </w:t>
      </w:r>
      <w:r w:rsidR="006A1A23" w:rsidRPr="00933970">
        <w:t>2016</w:t>
      </w:r>
      <w:r w:rsidRPr="00933970">
        <w:t xml:space="preserve">). MFA involves </w:t>
      </w:r>
      <w:r w:rsidR="002520BE" w:rsidRPr="00933970">
        <w:t>four basic steps:</w:t>
      </w:r>
      <w:r w:rsidRPr="00933970">
        <w:t xml:space="preserve"> (1) determination of the system model including processes and materials, (2) measurement of material flows, (3) calculation of material flows, </w:t>
      </w:r>
      <w:r w:rsidR="002520BE" w:rsidRPr="00933970">
        <w:t xml:space="preserve">and </w:t>
      </w:r>
      <w:r w:rsidR="006A1A23" w:rsidRPr="00933970">
        <w:t>(4) interpretation of results</w:t>
      </w:r>
      <w:r w:rsidRPr="00933970">
        <w:t xml:space="preserve">. </w:t>
      </w:r>
    </w:p>
    <w:p w:rsidR="0024388D" w:rsidRPr="00F54FD3" w:rsidRDefault="002520BE">
      <w:r w:rsidRPr="00933970">
        <w:t>The c</w:t>
      </w:r>
      <w:r w:rsidR="0024388D" w:rsidRPr="00933970">
        <w:t xml:space="preserve">arbon footprint </w:t>
      </w:r>
      <w:r w:rsidRPr="00933970">
        <w:t xml:space="preserve">methodology </w:t>
      </w:r>
      <w:r w:rsidR="0024388D" w:rsidRPr="00933970">
        <w:t xml:space="preserve">was used to </w:t>
      </w:r>
      <w:r w:rsidR="002024C1" w:rsidRPr="00933970">
        <w:t>evaluate</w:t>
      </w:r>
      <w:r w:rsidR="0024388D" w:rsidRPr="00933970">
        <w:t xml:space="preserve"> the </w:t>
      </w:r>
      <w:r w:rsidRPr="00933970">
        <w:t>potential climate impacts</w:t>
      </w:r>
      <w:r w:rsidR="0024388D" w:rsidRPr="00933970">
        <w:t xml:space="preserve"> of WEEE </w:t>
      </w:r>
      <w:r w:rsidRPr="00933970">
        <w:t xml:space="preserve">management in </w:t>
      </w:r>
      <w:r w:rsidR="0024388D" w:rsidRPr="00933970">
        <w:t>the UK</w:t>
      </w:r>
      <w:r w:rsidR="00A535D9" w:rsidRPr="00933970">
        <w:t>. Carbon footprinting is a well-</w:t>
      </w:r>
      <w:r w:rsidR="0024388D" w:rsidRPr="00933970">
        <w:t>acknowledged and systematic method of quantifying GHG emissions and has been utilised in studies of</w:t>
      </w:r>
      <w:r w:rsidR="00A535D9" w:rsidRPr="00933970">
        <w:t xml:space="preserve"> </w:t>
      </w:r>
      <w:r w:rsidR="00BF48FD" w:rsidRPr="00044F68">
        <w:t xml:space="preserve">WEEE </w:t>
      </w:r>
      <w:r w:rsidR="0024388D" w:rsidRPr="00044F68">
        <w:t>management systems throughout the world</w:t>
      </w:r>
      <w:r w:rsidR="004D6E5B">
        <w:t xml:space="preserve"> (see previous section)</w:t>
      </w:r>
      <w:r w:rsidR="0024388D" w:rsidRPr="00F668D0">
        <w:t>.</w:t>
      </w:r>
      <w:r w:rsidR="005E087D" w:rsidRPr="00F668D0">
        <w:t xml:space="preserve"> </w:t>
      </w:r>
      <w:r w:rsidR="00BF48FD" w:rsidRPr="00F668D0">
        <w:t xml:space="preserve">Here, the </w:t>
      </w:r>
      <w:r w:rsidR="005F5B56" w:rsidRPr="009E32AC">
        <w:t xml:space="preserve">carbon footprint </w:t>
      </w:r>
      <w:r w:rsidR="00BF48FD" w:rsidRPr="009E32AC">
        <w:t xml:space="preserve">is defined </w:t>
      </w:r>
      <w:r w:rsidR="005F5B56" w:rsidRPr="009E32AC">
        <w:t xml:space="preserve">in accordance with </w:t>
      </w:r>
      <w:r w:rsidR="005E087D" w:rsidRPr="009E32AC">
        <w:t xml:space="preserve">Wright </w:t>
      </w:r>
      <w:r w:rsidR="005F5B56" w:rsidRPr="00933970">
        <w:t xml:space="preserve">et al. (2011) as </w:t>
      </w:r>
      <w:r w:rsidR="005E087D" w:rsidRPr="00933970">
        <w:t>“a measure of the total amount of carbon dioxide (CO</w:t>
      </w:r>
      <w:r w:rsidR="005E087D" w:rsidRPr="00933970">
        <w:rPr>
          <w:vertAlign w:val="subscript"/>
        </w:rPr>
        <w:t>2</w:t>
      </w:r>
      <w:r w:rsidR="005E087D" w:rsidRPr="00933970">
        <w:t>) and methane (CH</w:t>
      </w:r>
      <w:r w:rsidR="005E087D" w:rsidRPr="00933970">
        <w:rPr>
          <w:vertAlign w:val="subscript"/>
        </w:rPr>
        <w:t>4</w:t>
      </w:r>
      <w:r w:rsidR="005E087D" w:rsidRPr="00933970">
        <w:t>) emissions of a defined population, system or activity, considering all relevant sources, sinks and storage within the spatial and temporal boundary of the population, system or activity of interest”</w:t>
      </w:r>
      <w:r w:rsidR="00BF48FD" w:rsidRPr="00933970">
        <w:t>.</w:t>
      </w:r>
    </w:p>
    <w:p w:rsidR="00CB6FA4" w:rsidRPr="00F54FD3" w:rsidRDefault="009956C0" w:rsidP="00F54FD3">
      <w:pPr>
        <w:pStyle w:val="Heading3"/>
      </w:pPr>
      <w:r w:rsidRPr="004B1B38">
        <w:t>2.1 System model</w:t>
      </w:r>
    </w:p>
    <w:p w:rsidR="00A61127" w:rsidRPr="00044F68" w:rsidRDefault="006A1A23" w:rsidP="00F54FD3">
      <w:pPr>
        <w:pStyle w:val="TEXT"/>
      </w:pPr>
      <w:r w:rsidRPr="00F54FD3">
        <w:t xml:space="preserve">The basis for the </w:t>
      </w:r>
      <w:r w:rsidR="00BF48FD" w:rsidRPr="00F54FD3">
        <w:t xml:space="preserve">MFA </w:t>
      </w:r>
      <w:r w:rsidRPr="00F54FD3">
        <w:t xml:space="preserve">was the </w:t>
      </w:r>
      <w:r w:rsidR="001D7185" w:rsidRPr="002024C1">
        <w:t xml:space="preserve">model </w:t>
      </w:r>
      <w:r w:rsidRPr="002024C1">
        <w:t xml:space="preserve">developed by </w:t>
      </w:r>
      <w:r w:rsidR="0016732E" w:rsidRPr="002024C1">
        <w:t xml:space="preserve">the </w:t>
      </w:r>
      <w:r w:rsidR="009956C0" w:rsidRPr="002024C1">
        <w:t>Waste and Resources Action Programme (WRAP</w:t>
      </w:r>
      <w:r w:rsidR="001D7185" w:rsidRPr="002024C1">
        <w:t>, 2011</w:t>
      </w:r>
      <w:r w:rsidR="009956C0" w:rsidRPr="002024C1">
        <w:t xml:space="preserve">) </w:t>
      </w:r>
      <w:r w:rsidRPr="002024C1">
        <w:t xml:space="preserve">for estimating </w:t>
      </w:r>
      <w:r w:rsidR="009956C0" w:rsidRPr="002024C1">
        <w:t>the flows of WEEE/UEEE in the UK (Fig</w:t>
      </w:r>
      <w:r w:rsidR="0016732E" w:rsidRPr="00F668D0">
        <w:t>ure</w:t>
      </w:r>
      <w:r w:rsidR="009956C0" w:rsidRPr="00F668D0">
        <w:t xml:space="preserve"> 1). </w:t>
      </w:r>
      <w:r w:rsidRPr="00F668D0">
        <w:t xml:space="preserve">Key input </w:t>
      </w:r>
      <w:r w:rsidR="00BF48FD" w:rsidRPr="00F668D0">
        <w:t xml:space="preserve">data to the model </w:t>
      </w:r>
      <w:r w:rsidRPr="00F668D0">
        <w:t>include a</w:t>
      </w:r>
      <w:r w:rsidR="009956C0" w:rsidRPr="00F668D0">
        <w:t xml:space="preserve">nnual UK WEEE/UEEE disposal figures, consumer/business disposal </w:t>
      </w:r>
      <w:r w:rsidRPr="00F668D0">
        <w:t>practices</w:t>
      </w:r>
      <w:r w:rsidR="009956C0" w:rsidRPr="00F668D0">
        <w:t xml:space="preserve">, </w:t>
      </w:r>
      <w:r w:rsidRPr="00F668D0">
        <w:t xml:space="preserve">the amounts of </w:t>
      </w:r>
      <w:r w:rsidR="009956C0" w:rsidRPr="00F668D0">
        <w:t xml:space="preserve">WEEE </w:t>
      </w:r>
      <w:r w:rsidRPr="00F668D0">
        <w:t xml:space="preserve">treated by different processing means, </w:t>
      </w:r>
      <w:r w:rsidR="009956C0" w:rsidRPr="009E32AC">
        <w:t>and the final destination</w:t>
      </w:r>
      <w:r w:rsidR="00BF48FD" w:rsidRPr="009E32AC">
        <w:t xml:space="preserve">s </w:t>
      </w:r>
      <w:r w:rsidRPr="00933970">
        <w:t>of treated WEEE (more details below)</w:t>
      </w:r>
      <w:r w:rsidR="009956C0" w:rsidRPr="00933970">
        <w:t>. The model contain</w:t>
      </w:r>
      <w:r w:rsidR="006951E3" w:rsidRPr="00933970">
        <w:t>s</w:t>
      </w:r>
      <w:r w:rsidR="009956C0" w:rsidRPr="00933970">
        <w:t xml:space="preserve"> data for both household and non-household WEEE. The boundaries for this study were set as the </w:t>
      </w:r>
      <w:r w:rsidR="00EA34B5" w:rsidRPr="00933970">
        <w:t>UK</w:t>
      </w:r>
      <w:r w:rsidR="009956C0" w:rsidRPr="00933970">
        <w:t xml:space="preserve"> for the years 2010</w:t>
      </w:r>
      <w:r w:rsidR="00BF48FD" w:rsidRPr="00933970">
        <w:t xml:space="preserve"> (baseline) through until </w:t>
      </w:r>
      <w:r w:rsidR="009956C0" w:rsidRPr="00933970">
        <w:t xml:space="preserve">2030. It should be noted that </w:t>
      </w:r>
      <w:r w:rsidR="00BF48FD" w:rsidRPr="00933970">
        <w:t xml:space="preserve">the model developed by </w:t>
      </w:r>
      <w:r w:rsidR="009956C0" w:rsidRPr="00933970">
        <w:t xml:space="preserve">WRAP </w:t>
      </w:r>
      <w:r w:rsidR="00BF48FD" w:rsidRPr="00933970">
        <w:t xml:space="preserve">was </w:t>
      </w:r>
      <w:r w:rsidR="009956C0" w:rsidRPr="00933970">
        <w:t>based on a number of assumptions</w:t>
      </w:r>
      <w:r w:rsidR="00BF48FD" w:rsidRPr="00933970">
        <w:t xml:space="preserve">; </w:t>
      </w:r>
      <w:r w:rsidR="009956C0" w:rsidRPr="00BD4C4C">
        <w:t>a</w:t>
      </w:r>
      <w:r w:rsidR="00EA34B5" w:rsidRPr="00044F68">
        <w:t xml:space="preserve">n overview </w:t>
      </w:r>
      <w:r w:rsidR="009956C0" w:rsidRPr="00044F68">
        <w:t xml:space="preserve">of </w:t>
      </w:r>
      <w:r w:rsidR="00EA34B5" w:rsidRPr="00044F68">
        <w:t>these, which were independently validated by Valpak,</w:t>
      </w:r>
      <w:r w:rsidR="009956C0" w:rsidRPr="00044F68">
        <w:t xml:space="preserve"> </w:t>
      </w:r>
      <w:r w:rsidR="00BF48FD" w:rsidRPr="00044F68">
        <w:t xml:space="preserve">is available in </w:t>
      </w:r>
      <w:r w:rsidR="009956C0" w:rsidRPr="00044F68">
        <w:t>WRAP (2011)</w:t>
      </w:r>
      <w:r w:rsidR="00EA34B5" w:rsidRPr="00044F68">
        <w:t>.</w:t>
      </w:r>
    </w:p>
    <w:p w:rsidR="00CB6FA4" w:rsidRPr="00F54FD3" w:rsidRDefault="00107CB0" w:rsidP="00F54FD3">
      <w:pPr>
        <w:pStyle w:val="Heading3"/>
      </w:pPr>
      <w:r w:rsidRPr="004B1B38">
        <w:t>2</w:t>
      </w:r>
      <w:r w:rsidR="00DF4A93" w:rsidRPr="00F54FD3">
        <w:t xml:space="preserve">.2 </w:t>
      </w:r>
      <w:r w:rsidRPr="00F54FD3">
        <w:t>Estimation of UEEE/WEEE arising in the UK</w:t>
      </w:r>
    </w:p>
    <w:p w:rsidR="00C66D96" w:rsidRPr="004B1B38" w:rsidRDefault="0042405B" w:rsidP="00F54FD3">
      <w:pPr>
        <w:pStyle w:val="TEXT"/>
      </w:pPr>
      <w:r w:rsidRPr="002024C1">
        <w:lastRenderedPageBreak/>
        <w:t>E</w:t>
      </w:r>
      <w:r w:rsidR="005F0FDE" w:rsidRPr="002024C1">
        <w:t xml:space="preserve">stimates </w:t>
      </w:r>
      <w:r w:rsidRPr="002024C1">
        <w:t xml:space="preserve">on the mass of </w:t>
      </w:r>
      <w:r w:rsidR="005D13E7" w:rsidRPr="002024C1">
        <w:t>WEEE/UEEE disposed of in the UK for the years 2010-2030 were taken from W</w:t>
      </w:r>
      <w:r w:rsidR="00091B98" w:rsidRPr="002024C1">
        <w:t>RAP</w:t>
      </w:r>
      <w:r w:rsidR="005D13E7" w:rsidRPr="002024C1">
        <w:t xml:space="preserve"> (2011). These </w:t>
      </w:r>
      <w:r w:rsidR="00091B98" w:rsidRPr="002024C1">
        <w:t xml:space="preserve">estimates </w:t>
      </w:r>
      <w:r w:rsidR="005D13E7" w:rsidRPr="002024C1">
        <w:t>were based on Weibull distribution</w:t>
      </w:r>
      <w:r w:rsidRPr="00F668D0">
        <w:t>s</w:t>
      </w:r>
      <w:r w:rsidR="005D13E7" w:rsidRPr="00F668D0">
        <w:t xml:space="preserve"> that predicted the time-to-failure of</w:t>
      </w:r>
      <w:r w:rsidRPr="00F668D0">
        <w:t xml:space="preserve"> EEE </w:t>
      </w:r>
      <w:r w:rsidR="005D13E7" w:rsidRPr="00F668D0">
        <w:t xml:space="preserve">products. Historical data was used to create </w:t>
      </w:r>
      <w:r w:rsidRPr="00F668D0">
        <w:t xml:space="preserve">representative </w:t>
      </w:r>
      <w:r w:rsidR="005D13E7" w:rsidRPr="00F668D0">
        <w:t xml:space="preserve">lifespan distributions for </w:t>
      </w:r>
      <w:r w:rsidRPr="00F668D0">
        <w:t xml:space="preserve">the </w:t>
      </w:r>
      <w:r w:rsidR="005D13E7" w:rsidRPr="00F668D0">
        <w:t>1</w:t>
      </w:r>
      <w:r w:rsidR="00040CAC" w:rsidRPr="00F668D0">
        <w:t>0</w:t>
      </w:r>
      <w:r w:rsidR="005D13E7" w:rsidRPr="00F668D0">
        <w:t xml:space="preserve"> categories of WEEE</w:t>
      </w:r>
      <w:r w:rsidR="009148D3" w:rsidRPr="00F668D0">
        <w:t>:</w:t>
      </w:r>
      <w:r w:rsidR="009148D3" w:rsidRPr="004B1B38">
        <w:t xml:space="preserve"> </w:t>
      </w:r>
      <w:r w:rsidR="009148D3" w:rsidRPr="002024C1">
        <w:t>C1, large household appliances; C2, small household appliances</w:t>
      </w:r>
      <w:r w:rsidR="009148D3" w:rsidRPr="00F668D0">
        <w:t>; C3, IT and telecommunications equipment; C4, consumer equipment and photovoltaic panels; C5, lighting equipment; C6, electrical and electronic tools (</w:t>
      </w:r>
      <w:r w:rsidR="009148D3" w:rsidRPr="009E32AC">
        <w:t>excluding large-scale stationary industrial tools); C7</w:t>
      </w:r>
      <w:r w:rsidR="009148D3" w:rsidRPr="00933970">
        <w:t>, toys, leisure and sports equipment; C8, medical devices (excluding implanted and infected products); C9, monitoring and control instruments; and C10, automatic dispensers (EC 2012).</w:t>
      </w:r>
      <w:r w:rsidR="005D13E7" w:rsidRPr="00933970">
        <w:t xml:space="preserve"> Data </w:t>
      </w:r>
      <w:r w:rsidR="00903DB7" w:rsidRPr="00933970">
        <w:t xml:space="preserve">on the amount </w:t>
      </w:r>
      <w:r w:rsidR="00903DB7" w:rsidRPr="00BD4C4C">
        <w:t xml:space="preserve">of </w:t>
      </w:r>
      <w:r w:rsidR="005D13E7" w:rsidRPr="00BD4C4C">
        <w:t xml:space="preserve">EEE </w:t>
      </w:r>
      <w:r w:rsidR="00903DB7" w:rsidRPr="00044F68">
        <w:t xml:space="preserve">entering </w:t>
      </w:r>
      <w:r w:rsidR="005D13E7" w:rsidRPr="00044F68">
        <w:t xml:space="preserve">the UK market </w:t>
      </w:r>
      <w:r w:rsidR="00903DB7" w:rsidRPr="00044F68">
        <w:t xml:space="preserve">annually </w:t>
      </w:r>
      <w:r w:rsidR="005D13E7" w:rsidRPr="00044F68">
        <w:t xml:space="preserve">and estimated lifespans were </w:t>
      </w:r>
      <w:r w:rsidR="00903DB7" w:rsidRPr="00044F68">
        <w:t xml:space="preserve">taken </w:t>
      </w:r>
      <w:r w:rsidR="005D13E7" w:rsidRPr="00044F68">
        <w:t>from WRAP, 2011.</w:t>
      </w:r>
    </w:p>
    <w:p w:rsidR="00C66D96" w:rsidRPr="00F54FD3" w:rsidRDefault="00D57039" w:rsidP="00F54FD3">
      <w:pPr>
        <w:pStyle w:val="Heading3"/>
      </w:pPr>
      <w:r w:rsidRPr="00F54FD3">
        <w:t>2</w:t>
      </w:r>
      <w:r w:rsidR="00C66D96" w:rsidRPr="00F54FD3">
        <w:t xml:space="preserve">.3 </w:t>
      </w:r>
      <w:r w:rsidRPr="00F54FD3">
        <w:t>Disposal decision</w:t>
      </w:r>
    </w:p>
    <w:p w:rsidR="007A22C7" w:rsidRPr="00BE24E1" w:rsidRDefault="007A22C7" w:rsidP="00F54FD3">
      <w:pPr>
        <w:pStyle w:val="TEXT"/>
      </w:pPr>
      <w:r w:rsidRPr="002024C1">
        <w:t xml:space="preserve">The second stage of the model </w:t>
      </w:r>
      <w:r w:rsidR="00C20505" w:rsidRPr="002024C1">
        <w:t xml:space="preserve">concerned </w:t>
      </w:r>
      <w:r w:rsidRPr="002024C1">
        <w:t xml:space="preserve">the </w:t>
      </w:r>
      <w:r w:rsidR="00C20505" w:rsidRPr="002024C1">
        <w:t xml:space="preserve">decisions of </w:t>
      </w:r>
      <w:r w:rsidRPr="002024C1">
        <w:t>consumer</w:t>
      </w:r>
      <w:r w:rsidR="00C20505" w:rsidRPr="002024C1">
        <w:t>s</w:t>
      </w:r>
      <w:r w:rsidRPr="00F668D0">
        <w:t>/business</w:t>
      </w:r>
      <w:r w:rsidR="00C20505" w:rsidRPr="00F668D0">
        <w:t>es</w:t>
      </w:r>
      <w:r w:rsidRPr="00F668D0">
        <w:t xml:space="preserve"> </w:t>
      </w:r>
      <w:r w:rsidR="00A279C0" w:rsidRPr="00F668D0">
        <w:t xml:space="preserve">regarding </w:t>
      </w:r>
      <w:r w:rsidRPr="00F668D0">
        <w:t>the disposal route that WEEE/UEEE enters (Fig</w:t>
      </w:r>
      <w:r w:rsidR="00F647AF" w:rsidRPr="00F668D0">
        <w:t>ure</w:t>
      </w:r>
      <w:r w:rsidRPr="00F668D0">
        <w:t xml:space="preserve"> 1). </w:t>
      </w:r>
      <w:r w:rsidR="00EE64DD" w:rsidRPr="00F668D0">
        <w:t>Data on t</w:t>
      </w:r>
      <w:r w:rsidR="00EA34B5" w:rsidRPr="00F668D0">
        <w:t xml:space="preserve">he amount of </w:t>
      </w:r>
      <w:r w:rsidRPr="00F668D0">
        <w:t>WEEE collected at designat</w:t>
      </w:r>
      <w:r w:rsidR="00EE64DD" w:rsidRPr="00F668D0">
        <w:t>ed collection facilities (DCF; includes h</w:t>
      </w:r>
      <w:r w:rsidR="00A31765" w:rsidRPr="009E32AC">
        <w:t xml:space="preserve">ousehold waste recycling centres </w:t>
      </w:r>
      <w:r w:rsidR="00EE64DD" w:rsidRPr="009E32AC">
        <w:t>(</w:t>
      </w:r>
      <w:r w:rsidRPr="009E32AC">
        <w:t>HWRC</w:t>
      </w:r>
      <w:r w:rsidR="00EE64DD" w:rsidRPr="009E32AC">
        <w:t>)</w:t>
      </w:r>
      <w:r w:rsidRPr="00933970">
        <w:t xml:space="preserve">, </w:t>
      </w:r>
      <w:r w:rsidR="00A31765" w:rsidRPr="00933970">
        <w:t>k</w:t>
      </w:r>
      <w:r w:rsidRPr="00933970">
        <w:t>erbside collections</w:t>
      </w:r>
      <w:r w:rsidR="00EE64DD" w:rsidRPr="00933970">
        <w:t>,</w:t>
      </w:r>
      <w:r w:rsidRPr="00933970">
        <w:t xml:space="preserve"> and bulky waste collections</w:t>
      </w:r>
      <w:r w:rsidR="00EE64DD" w:rsidRPr="00933970">
        <w:t>)</w:t>
      </w:r>
      <w:r w:rsidRPr="00933970">
        <w:t xml:space="preserve"> and received through pr</w:t>
      </w:r>
      <w:r w:rsidR="00EE64DD" w:rsidRPr="00933970">
        <w:t>oducer compliance schemes (PCS; includes i</w:t>
      </w:r>
      <w:r w:rsidRPr="00933970">
        <w:t>n-warran</w:t>
      </w:r>
      <w:r w:rsidR="00EE64DD" w:rsidRPr="00933970">
        <w:t>ty returns and retail take-back)</w:t>
      </w:r>
      <w:r w:rsidRPr="00933970">
        <w:t xml:space="preserve"> for </w:t>
      </w:r>
      <w:r w:rsidR="00EE64DD" w:rsidRPr="00933970">
        <w:t xml:space="preserve">the period </w:t>
      </w:r>
      <w:r w:rsidRPr="00933970">
        <w:t>2010-2013 w</w:t>
      </w:r>
      <w:r w:rsidR="00A279C0" w:rsidRPr="00933970">
        <w:t>ere</w:t>
      </w:r>
      <w:r w:rsidRPr="00933970">
        <w:t xml:space="preserve"> obtained from published annual Environment Agency (EA) </w:t>
      </w:r>
      <w:r w:rsidR="00EE64DD" w:rsidRPr="00933970">
        <w:t>reports</w:t>
      </w:r>
      <w:r w:rsidRPr="00933970">
        <w:t xml:space="preserve"> (EA, 2014). </w:t>
      </w:r>
      <w:r w:rsidR="00544D68" w:rsidRPr="00933970">
        <w:t>For the f</w:t>
      </w:r>
      <w:r w:rsidRPr="00933970">
        <w:t>uture scenarios (</w:t>
      </w:r>
      <w:r w:rsidR="00544D68" w:rsidRPr="00933970">
        <w:t xml:space="preserve">the years </w:t>
      </w:r>
      <w:r w:rsidRPr="00933970">
        <w:t>2015, 2020, 2025 and 2030)</w:t>
      </w:r>
      <w:r w:rsidR="00544D68" w:rsidRPr="00933970">
        <w:t xml:space="preserve">, WEEE collection </w:t>
      </w:r>
      <w:r w:rsidRPr="00933970">
        <w:t xml:space="preserve">were modelled using data from WRAP (2011). The </w:t>
      </w:r>
      <w:r w:rsidR="00EA34B5" w:rsidRPr="00BD4C4C">
        <w:t xml:space="preserve">amount of </w:t>
      </w:r>
      <w:r w:rsidRPr="00BD4C4C">
        <w:t xml:space="preserve">WEEE collected at DCFs was split between </w:t>
      </w:r>
      <w:r w:rsidR="00A31765" w:rsidRPr="00044F68">
        <w:t>HWRC</w:t>
      </w:r>
      <w:r w:rsidR="00D24738" w:rsidRPr="00044F68">
        <w:t>, k</w:t>
      </w:r>
      <w:r w:rsidR="00A31765" w:rsidRPr="00044F68">
        <w:t xml:space="preserve">erbside </w:t>
      </w:r>
      <w:r w:rsidR="00544D68" w:rsidRPr="00044F68">
        <w:t xml:space="preserve">collections, </w:t>
      </w:r>
      <w:r w:rsidR="00A31765" w:rsidRPr="00044F68">
        <w:t>and b</w:t>
      </w:r>
      <w:r w:rsidRPr="00044F68">
        <w:t>ulky waste collections</w:t>
      </w:r>
      <w:r w:rsidR="00D24738" w:rsidRPr="00044F68">
        <w:t xml:space="preserve">. </w:t>
      </w:r>
      <w:r w:rsidR="00544D68" w:rsidRPr="00044F68">
        <w:t xml:space="preserve">The amount </w:t>
      </w:r>
      <w:r w:rsidRPr="00044F68">
        <w:t xml:space="preserve">received through PCS and non-household </w:t>
      </w:r>
      <w:r w:rsidR="00544D68" w:rsidRPr="00044F68">
        <w:t xml:space="preserve">collections </w:t>
      </w:r>
      <w:r w:rsidRPr="00044F68">
        <w:t xml:space="preserve">was split between in-warranty return and retail take-back </w:t>
      </w:r>
      <w:r w:rsidR="00544D68" w:rsidRPr="00044F68">
        <w:t xml:space="preserve">based on </w:t>
      </w:r>
      <w:r w:rsidRPr="00044F68">
        <w:t xml:space="preserve">WRAP (2011). Estimates for </w:t>
      </w:r>
      <w:r w:rsidR="00DB38E6" w:rsidRPr="00044F68">
        <w:t xml:space="preserve">WEEE </w:t>
      </w:r>
      <w:r w:rsidRPr="00044F68">
        <w:t>flows into resale/reuse, asset management</w:t>
      </w:r>
      <w:r w:rsidR="00DB38E6" w:rsidRPr="00044F68">
        <w:t>,</w:t>
      </w:r>
      <w:r w:rsidRPr="00044F68">
        <w:t xml:space="preserve"> and residual waste were taken from WRAP (2011). WEEE collected through indirect collections </w:t>
      </w:r>
      <w:r w:rsidR="00D65216" w:rsidRPr="00044F68">
        <w:t xml:space="preserve">for a given year </w:t>
      </w:r>
      <w:r w:rsidRPr="00C52A97">
        <w:t xml:space="preserve">was </w:t>
      </w:r>
      <w:r w:rsidR="00D65216" w:rsidRPr="00F72246">
        <w:t xml:space="preserve">estimated as </w:t>
      </w:r>
      <w:r w:rsidRPr="00F72246">
        <w:t xml:space="preserve">the difference between the predicted </w:t>
      </w:r>
      <w:r w:rsidR="00D65216" w:rsidRPr="00F72246">
        <w:t xml:space="preserve">mass of </w:t>
      </w:r>
      <w:r w:rsidRPr="00F72246">
        <w:t>WEEE/UEEE arising</w:t>
      </w:r>
      <w:r w:rsidR="00D65216" w:rsidRPr="00F72246">
        <w:t xml:space="preserve">s </w:t>
      </w:r>
      <w:r w:rsidRPr="00F72246">
        <w:t xml:space="preserve">and the </w:t>
      </w:r>
      <w:r w:rsidR="0042405B" w:rsidRPr="00F72246">
        <w:t xml:space="preserve">predicted mass </w:t>
      </w:r>
      <w:r w:rsidR="00D65216" w:rsidRPr="00F72246">
        <w:t xml:space="preserve">of WEEE collected through </w:t>
      </w:r>
      <w:r w:rsidR="009969C4" w:rsidRPr="00BE24E1">
        <w:t>other routes</w:t>
      </w:r>
      <w:r w:rsidRPr="00BE24E1">
        <w:t>.</w:t>
      </w:r>
    </w:p>
    <w:p w:rsidR="00B32D68" w:rsidRPr="00F54FD3" w:rsidRDefault="00B32D68" w:rsidP="00F54FD3">
      <w:pPr>
        <w:pStyle w:val="Heading3"/>
      </w:pPr>
      <w:r w:rsidRPr="004B1B38">
        <w:lastRenderedPageBreak/>
        <w:t xml:space="preserve">2.4 </w:t>
      </w:r>
      <w:r w:rsidR="006315D4" w:rsidRPr="00F54FD3">
        <w:t>Processing stage</w:t>
      </w:r>
    </w:p>
    <w:p w:rsidR="006315D4" w:rsidRPr="009E32AC" w:rsidRDefault="006315D4" w:rsidP="00F54FD3">
      <w:pPr>
        <w:pStyle w:val="TEXT"/>
      </w:pPr>
      <w:r w:rsidRPr="002024C1">
        <w:t>Seven major processing routes for WEEE were identified (Fig</w:t>
      </w:r>
      <w:r w:rsidR="00A31765" w:rsidRPr="002024C1">
        <w:t>ure</w:t>
      </w:r>
      <w:r w:rsidRPr="002024C1">
        <w:t xml:space="preserve"> 1). For the years 2010-2013</w:t>
      </w:r>
      <w:r w:rsidR="00A31765" w:rsidRPr="002024C1">
        <w:t>,</w:t>
      </w:r>
      <w:r w:rsidRPr="002024C1">
        <w:t xml:space="preserve"> the amount of WEEE received at authorised approved treatment facilities (AATF) for treatment</w:t>
      </w:r>
      <w:r w:rsidR="00EA34B5" w:rsidRPr="002024C1">
        <w:t>,</w:t>
      </w:r>
      <w:r w:rsidRPr="002024C1">
        <w:t xml:space="preserve"> including household and non-household WEEE and non-obligated WEEE</w:t>
      </w:r>
      <w:r w:rsidR="0084505D" w:rsidRPr="002024C1">
        <w:rPr>
          <w:rStyle w:val="FootnoteReference"/>
        </w:rPr>
        <w:footnoteReference w:id="3"/>
      </w:r>
      <w:r w:rsidRPr="002024C1">
        <w:t xml:space="preserve"> received at approved treatment facilities (ATF)</w:t>
      </w:r>
      <w:r w:rsidR="00383713" w:rsidRPr="002024C1">
        <w:t>,</w:t>
      </w:r>
      <w:r w:rsidRPr="002024C1">
        <w:t xml:space="preserve"> </w:t>
      </w:r>
      <w:r w:rsidR="0084505D" w:rsidRPr="002024C1">
        <w:t xml:space="preserve">was </w:t>
      </w:r>
      <w:r w:rsidR="00383713" w:rsidRPr="002024C1">
        <w:t>determined based on</w:t>
      </w:r>
      <w:r w:rsidRPr="002024C1">
        <w:t xml:space="preserve"> </w:t>
      </w:r>
      <w:r w:rsidR="0084505D" w:rsidRPr="00F668D0">
        <w:t>published annual EA data (EA, 2014).</w:t>
      </w:r>
      <w:r w:rsidRPr="00F668D0">
        <w:t xml:space="preserve"> </w:t>
      </w:r>
      <w:r w:rsidR="00EC3F78" w:rsidRPr="00F668D0">
        <w:t xml:space="preserve">The percentage of WEEE </w:t>
      </w:r>
      <w:r w:rsidR="00FF2F46" w:rsidRPr="00F668D0">
        <w:t xml:space="preserve">that is </w:t>
      </w:r>
      <w:r w:rsidR="00EC3F78" w:rsidRPr="00F668D0">
        <w:t xml:space="preserve">disposed of via other processing routes </w:t>
      </w:r>
      <w:r w:rsidR="00FF2F46" w:rsidRPr="00F668D0">
        <w:t xml:space="preserve">(e.g. </w:t>
      </w:r>
      <w:r w:rsidR="006A1A23" w:rsidRPr="00F668D0">
        <w:t>incineration or dismantling</w:t>
      </w:r>
      <w:r w:rsidR="00FF2F46" w:rsidRPr="00F668D0">
        <w:t xml:space="preserve">) </w:t>
      </w:r>
      <w:r w:rsidR="00EC3F78" w:rsidRPr="00F668D0">
        <w:t xml:space="preserve">was estimated based on </w:t>
      </w:r>
      <w:r w:rsidRPr="00F668D0">
        <w:t>pathway split estimates</w:t>
      </w:r>
      <w:r w:rsidR="00EC3F78" w:rsidRPr="00F668D0">
        <w:t xml:space="preserve"> from WRAP (2011)</w:t>
      </w:r>
      <w:r w:rsidRPr="00F668D0">
        <w:t xml:space="preserve">. Estimated future flows </w:t>
      </w:r>
      <w:r w:rsidR="00FF2F46" w:rsidRPr="00F668D0">
        <w:t xml:space="preserve">of </w:t>
      </w:r>
      <w:r w:rsidR="006A1A23" w:rsidRPr="00F668D0">
        <w:t xml:space="preserve">WEEE </w:t>
      </w:r>
      <w:r w:rsidRPr="00F668D0">
        <w:t>were taken from WRAP (2011) for all path</w:t>
      </w:r>
      <w:r w:rsidRPr="009E32AC">
        <w:t>ways.</w:t>
      </w:r>
    </w:p>
    <w:p w:rsidR="006315D4" w:rsidRPr="00933970" w:rsidRDefault="00EC3F78">
      <w:pPr>
        <w:pStyle w:val="TEXT"/>
      </w:pPr>
      <w:r w:rsidRPr="009E32AC">
        <w:t xml:space="preserve">WEEE is also present in the </w:t>
      </w:r>
      <w:r w:rsidR="00FC1BAD" w:rsidRPr="009E32AC">
        <w:t>“</w:t>
      </w:r>
      <w:r w:rsidRPr="00933970">
        <w:t>light iron</w:t>
      </w:r>
      <w:r w:rsidR="00FC1BAD" w:rsidRPr="00933970">
        <w:t>”</w:t>
      </w:r>
      <w:r w:rsidR="00FC1BAD" w:rsidRPr="00933970">
        <w:rPr>
          <w:rStyle w:val="FootnoteReference"/>
        </w:rPr>
        <w:footnoteReference w:id="4"/>
      </w:r>
      <w:r w:rsidRPr="00933970">
        <w:t xml:space="preserve"> waste stream, </w:t>
      </w:r>
      <w:r w:rsidR="006315D4" w:rsidRPr="00933970">
        <w:t xml:space="preserve">a mixed stream of ferrous metal (WRAP, 2014). An estimate of WEEE present in the light iron waste stream was calculated by taking the non-obligated WEEE received for treatment at ATFs and subtracting the WEEE entering this stream from other routes. This gave the quantity of WEEE received from indirect collections </w:t>
      </w:r>
      <w:r w:rsidRPr="00933970">
        <w:t xml:space="preserve">that </w:t>
      </w:r>
      <w:r w:rsidR="006315D4" w:rsidRPr="00933970">
        <w:t>could be identified as WEEE. This was subtracted from the overall indirect collection disposal decision from the previous stage, giving an estimate of WEEE collected indirectly that is then processed as part of the light iron stream at ATFs (</w:t>
      </w:r>
      <w:r w:rsidR="009969C4" w:rsidRPr="00933970">
        <w:t>Eq. 1</w:t>
      </w:r>
      <w:r w:rsidR="006315D4" w:rsidRPr="00933970">
        <w:t>)</w:t>
      </w:r>
      <w:r w:rsidR="00FB366F" w:rsidRPr="00933970">
        <w:t>, as:</w:t>
      </w:r>
    </w:p>
    <w:tbl>
      <w:tblPr>
        <w:tblStyle w:val="TableGrid"/>
        <w:tblW w:w="0" w:type="auto"/>
        <w:tblLook w:val="04A0" w:firstRow="1" w:lastRow="0" w:firstColumn="1" w:lastColumn="0" w:noHBand="0" w:noVBand="1"/>
      </w:tblPr>
      <w:tblGrid>
        <w:gridCol w:w="9039"/>
        <w:gridCol w:w="526"/>
      </w:tblGrid>
      <w:tr w:rsidR="009969C4" w:rsidRPr="002024C1" w:rsidTr="009969C4">
        <w:tc>
          <w:tcPr>
            <w:tcW w:w="9039" w:type="dxa"/>
          </w:tcPr>
          <w:p w:rsidR="009969C4" w:rsidRPr="00044F68" w:rsidRDefault="009B0F08" w:rsidP="00F54FD3">
            <w:pPr>
              <w:pStyle w:val="TEXT"/>
            </w:pPr>
            <m:oMathPara>
              <m:oMath>
                <m:r>
                  <w:rPr>
                    <w:rFonts w:ascii="Cambria Math" w:hAnsi="Cambria Math"/>
                  </w:rPr>
                  <m:t>W</m:t>
                </m:r>
                <m:r>
                  <m:rPr>
                    <m:sty m:val="p"/>
                  </m:rPr>
                  <w:rPr>
                    <w:rFonts w:ascii="Cambria Math" w:hAnsi="Cambria Math"/>
                  </w:rPr>
                  <m:t>=</m:t>
                </m:r>
                <m:r>
                  <w:rPr>
                    <w:rFonts w:ascii="Cambria Math" w:hAnsi="Cambria Math"/>
                  </w:rPr>
                  <m:t>IC</m:t>
                </m:r>
                <m:r>
                  <m:rPr>
                    <m:sty m:val="p"/>
                  </m:rPr>
                  <w:rPr>
                    <w:rFonts w:ascii="Cambria Math" w:hAnsi="Cambria Math"/>
                  </w:rPr>
                  <m:t>-(</m:t>
                </m:r>
                <m:r>
                  <w:rPr>
                    <w:rFonts w:ascii="Cambria Math" w:hAnsi="Cambria Math"/>
                  </w:rPr>
                  <m:t>NO</m:t>
                </m:r>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rPr>
                        </m:ctrlPr>
                      </m:dPr>
                      <m:e>
                        <m:r>
                          <w:rPr>
                            <w:rFonts w:ascii="Cambria Math" w:hAnsi="Cambria Math"/>
                          </w:rPr>
                          <m:t>IR</m:t>
                        </m:r>
                        <m:r>
                          <m:rPr>
                            <m:sty m:val="p"/>
                          </m:rPr>
                          <w:rPr>
                            <w:rFonts w:ascii="Cambria Math" w:hAnsi="Cambria Math"/>
                          </w:rPr>
                          <m:t>∙0.08</m:t>
                        </m:r>
                      </m:e>
                    </m:d>
                    <m:r>
                      <m:rPr>
                        <m:sty m:val="p"/>
                      </m:rPr>
                      <w:rPr>
                        <w:rFonts w:ascii="Cambria Math" w:hAnsi="Cambria Math"/>
                      </w:rPr>
                      <m:t>+</m:t>
                    </m:r>
                    <m:d>
                      <m:dPr>
                        <m:ctrlPr>
                          <w:rPr>
                            <w:rFonts w:ascii="Cambria Math" w:hAnsi="Cambria Math"/>
                          </w:rPr>
                        </m:ctrlPr>
                      </m:dPr>
                      <m:e>
                        <m:r>
                          <w:rPr>
                            <w:rFonts w:ascii="Cambria Math" w:hAnsi="Cambria Math"/>
                          </w:rPr>
                          <m:t>RT</m:t>
                        </m:r>
                        <m:r>
                          <m:rPr>
                            <m:sty m:val="p"/>
                          </m:rPr>
                          <w:rPr>
                            <w:rFonts w:ascii="Cambria Math" w:hAnsi="Cambria Math"/>
                          </w:rPr>
                          <m:t xml:space="preserve"> ∙0.08</m:t>
                        </m:r>
                      </m:e>
                    </m:d>
                    <m:r>
                      <m:rPr>
                        <m:sty m:val="p"/>
                      </m:rPr>
                      <w:rPr>
                        <w:rFonts w:ascii="Cambria Math" w:hAnsi="Cambria Math"/>
                      </w:rPr>
                      <m:t>+(</m:t>
                    </m:r>
                    <m:r>
                      <w:rPr>
                        <w:rFonts w:ascii="Cambria Math" w:hAnsi="Cambria Math"/>
                      </w:rPr>
                      <m:t>AM</m:t>
                    </m:r>
                    <m:r>
                      <m:rPr>
                        <m:sty m:val="p"/>
                      </m:rPr>
                      <w:rPr>
                        <w:rFonts w:ascii="Cambria Math" w:hAnsi="Cambria Math"/>
                      </w:rPr>
                      <m:t>∙0.5))</m:t>
                    </m:r>
                  </m:e>
                </m:nary>
              </m:oMath>
            </m:oMathPara>
          </w:p>
        </w:tc>
        <w:tc>
          <w:tcPr>
            <w:tcW w:w="526" w:type="dxa"/>
          </w:tcPr>
          <w:p w:rsidR="009969C4" w:rsidRPr="00044F68" w:rsidRDefault="009969C4" w:rsidP="00F54FD3">
            <w:pPr>
              <w:pStyle w:val="TEXT"/>
            </w:pPr>
            <w:r w:rsidRPr="00044F68">
              <w:t>(1)</w:t>
            </w:r>
          </w:p>
        </w:tc>
      </w:tr>
    </w:tbl>
    <w:p w:rsidR="00E6572A" w:rsidRPr="00F668D0" w:rsidRDefault="0072468B" w:rsidP="00F54FD3">
      <w:pPr>
        <w:pStyle w:val="TEXT"/>
      </w:pPr>
      <w:r w:rsidRPr="002024C1">
        <w:lastRenderedPageBreak/>
        <w:t xml:space="preserve">Where </w:t>
      </w:r>
      <w:r w:rsidRPr="002024C1">
        <w:rPr>
          <w:i/>
        </w:rPr>
        <w:t>W</w:t>
      </w:r>
      <w:r w:rsidRPr="002024C1">
        <w:t xml:space="preserve"> is the mass of WEEE present in the light iron waste stream, </w:t>
      </w:r>
      <w:r w:rsidRPr="00F668D0">
        <w:rPr>
          <w:i/>
        </w:rPr>
        <w:t>ID</w:t>
      </w:r>
      <w:r w:rsidRPr="00F668D0">
        <w:t xml:space="preserve">, </w:t>
      </w:r>
      <w:r w:rsidRPr="00F668D0">
        <w:rPr>
          <w:i/>
        </w:rPr>
        <w:t>IR</w:t>
      </w:r>
      <w:r w:rsidRPr="00F668D0">
        <w:t xml:space="preserve">, </w:t>
      </w:r>
      <w:r w:rsidRPr="00F668D0">
        <w:rPr>
          <w:i/>
        </w:rPr>
        <w:t>RT</w:t>
      </w:r>
      <w:r w:rsidRPr="00F668D0">
        <w:t xml:space="preserve">, and </w:t>
      </w:r>
      <w:r w:rsidRPr="00F668D0">
        <w:rPr>
          <w:i/>
        </w:rPr>
        <w:t>AM</w:t>
      </w:r>
      <w:r w:rsidRPr="00F668D0">
        <w:t xml:space="preserve"> are the masses of WEEE collected through indirect collections, in-warranty returns, retail take-back, and asset management schemes, respectively, and </w:t>
      </w:r>
      <w:r w:rsidRPr="00F668D0">
        <w:rPr>
          <w:i/>
        </w:rPr>
        <w:t>NO</w:t>
      </w:r>
      <w:r w:rsidRPr="00F668D0">
        <w:t xml:space="preserve"> is the mass of non-obligated WEEE.</w:t>
      </w:r>
      <w:r w:rsidR="00FB366F" w:rsidRPr="00F668D0">
        <w:t xml:space="preserve"> Note that the coefficients in Eq. 1 were taken from WRAP (2011). </w:t>
      </w:r>
      <w:r w:rsidR="00FB366F" w:rsidRPr="00F668D0">
        <w:t>It was assumed that all WEEE collected through indirect/informal collections would be treated via an ATF as non-obligated WEEE or as part of the light iron stream</w:t>
      </w:r>
    </w:p>
    <w:p w:rsidR="00B32D68" w:rsidRPr="00F54FD3" w:rsidRDefault="00B32D68" w:rsidP="00F54FD3">
      <w:pPr>
        <w:pStyle w:val="Heading3"/>
      </w:pPr>
      <w:r w:rsidRPr="004B1B38">
        <w:t>2.</w:t>
      </w:r>
      <w:r w:rsidR="004C25A5" w:rsidRPr="00F54FD3">
        <w:t>5</w:t>
      </w:r>
      <w:r w:rsidRPr="00F54FD3">
        <w:t xml:space="preserve"> </w:t>
      </w:r>
      <w:r w:rsidR="004C25A5" w:rsidRPr="00F54FD3">
        <w:t>Final Destinations</w:t>
      </w:r>
    </w:p>
    <w:p w:rsidR="00B204F2" w:rsidRPr="004B1B38" w:rsidRDefault="004C25A5" w:rsidP="00F54FD3">
      <w:pPr>
        <w:pStyle w:val="TEXT"/>
      </w:pPr>
      <w:r w:rsidRPr="002024C1">
        <w:t xml:space="preserve">Five final destinations </w:t>
      </w:r>
      <w:r w:rsidR="002F5B93" w:rsidRPr="002024C1">
        <w:t xml:space="preserve">for collected WEEE </w:t>
      </w:r>
      <w:r w:rsidRPr="002024C1">
        <w:t>were identified</w:t>
      </w:r>
      <w:r w:rsidR="00EC5B8B" w:rsidRPr="002024C1">
        <w:t>:</w:t>
      </w:r>
      <w:r w:rsidRPr="002024C1">
        <w:t xml:space="preserve"> </w:t>
      </w:r>
      <w:r w:rsidR="002F5B93" w:rsidRPr="00F668D0">
        <w:t>r</w:t>
      </w:r>
      <w:r w:rsidRPr="00F668D0">
        <w:t xml:space="preserve">euse in the UK, </w:t>
      </w:r>
      <w:r w:rsidR="002F5B93" w:rsidRPr="00F668D0">
        <w:t>r</w:t>
      </w:r>
      <w:r w:rsidRPr="00F668D0">
        <w:t xml:space="preserve">ecycling, </w:t>
      </w:r>
      <w:r w:rsidR="002F5B93" w:rsidRPr="00F668D0">
        <w:t>e</w:t>
      </w:r>
      <w:r w:rsidRPr="00F668D0">
        <w:t xml:space="preserve">xport, </w:t>
      </w:r>
      <w:r w:rsidR="002F5B93" w:rsidRPr="00F668D0">
        <w:t>i</w:t>
      </w:r>
      <w:r w:rsidRPr="00F668D0">
        <w:t>ncineration</w:t>
      </w:r>
      <w:r w:rsidR="002F5B93" w:rsidRPr="00F668D0">
        <w:t>,</w:t>
      </w:r>
      <w:r w:rsidRPr="00F668D0">
        <w:t xml:space="preserve"> and </w:t>
      </w:r>
      <w:r w:rsidR="002F5B93" w:rsidRPr="00F668D0">
        <w:t>l</w:t>
      </w:r>
      <w:r w:rsidRPr="00F668D0">
        <w:t>andfill. Pathway splits from the processing stage w</w:t>
      </w:r>
      <w:r w:rsidR="00686C7D" w:rsidRPr="00F668D0">
        <w:t>ere</w:t>
      </w:r>
      <w:r w:rsidRPr="00F668D0">
        <w:t xml:space="preserve"> taken from estimates made by WRAP (2011). This process was repeated for each year and the quantity of WEEE entering each final destination route was used to calculate the </w:t>
      </w:r>
      <w:r w:rsidR="002F5B93" w:rsidRPr="00F668D0">
        <w:t xml:space="preserve">carbon footprint associated with </w:t>
      </w:r>
      <w:r w:rsidRPr="00F668D0">
        <w:t xml:space="preserve">each </w:t>
      </w:r>
      <w:r w:rsidR="002F5B93" w:rsidRPr="009E32AC">
        <w:t xml:space="preserve">final </w:t>
      </w:r>
      <w:r w:rsidRPr="009E32AC">
        <w:t>destination. For the years of 2015–2030</w:t>
      </w:r>
      <w:r w:rsidR="002F5B93" w:rsidRPr="009E32AC">
        <w:t>,</w:t>
      </w:r>
      <w:r w:rsidRPr="00933970">
        <w:t xml:space="preserve"> scenarios were developed based on a model calibration method (</w:t>
      </w:r>
      <w:r w:rsidR="002F5B93" w:rsidRPr="00933970">
        <w:t xml:space="preserve">see </w:t>
      </w:r>
      <w:r w:rsidRPr="00933970">
        <w:t>Section 2.6).</w:t>
      </w:r>
    </w:p>
    <w:p w:rsidR="00B204F2" w:rsidRPr="00F54FD3" w:rsidRDefault="00B204F2" w:rsidP="00F54FD3">
      <w:pPr>
        <w:pStyle w:val="Heading3"/>
      </w:pPr>
      <w:r w:rsidRPr="00F54FD3">
        <w:t>2.</w:t>
      </w:r>
      <w:r w:rsidR="000A2FB9" w:rsidRPr="00F54FD3">
        <w:t>6</w:t>
      </w:r>
      <w:r w:rsidRPr="00F54FD3">
        <w:t xml:space="preserve"> </w:t>
      </w:r>
      <w:r w:rsidR="000A2FB9" w:rsidRPr="00F54FD3">
        <w:t>Calibration of model predictions</w:t>
      </w:r>
    </w:p>
    <w:p w:rsidR="00E6572A" w:rsidRPr="00F668D0" w:rsidRDefault="00847F12" w:rsidP="00F54FD3">
      <w:pPr>
        <w:pStyle w:val="TEXT"/>
      </w:pPr>
      <w:r w:rsidRPr="002024C1">
        <w:t>F</w:t>
      </w:r>
      <w:r w:rsidR="000A2FB9" w:rsidRPr="002024C1">
        <w:t>or the years 2015 onwards</w:t>
      </w:r>
      <w:r w:rsidR="00F72A94" w:rsidRPr="002024C1">
        <w:t>,</w:t>
      </w:r>
      <w:r w:rsidR="000A2FB9" w:rsidRPr="002024C1">
        <w:t xml:space="preserve"> a range of flows w</w:t>
      </w:r>
      <w:r w:rsidRPr="002024C1">
        <w:t>ere</w:t>
      </w:r>
      <w:r w:rsidR="000A2FB9" w:rsidRPr="002024C1">
        <w:t xml:space="preserve"> calculated using the percentage difference between the original WRAP model and the research model</w:t>
      </w:r>
      <w:r w:rsidR="000A2FB9" w:rsidRPr="00F668D0">
        <w:t xml:space="preserve"> for each disposal destination (Table </w:t>
      </w:r>
      <w:r w:rsidR="00D6585C" w:rsidRPr="00F668D0">
        <w:t>1). This was calculated for the years 2011-</w:t>
      </w:r>
      <w:r w:rsidR="000A2FB9" w:rsidRPr="00F668D0">
        <w:t>2013. The average percentage change between the two models for each disposal destination was used to create high, medium and low scenarios for the future flow predictions.</w:t>
      </w:r>
    </w:p>
    <w:p w:rsidR="00B204F2" w:rsidRPr="00F54FD3" w:rsidRDefault="00B204F2" w:rsidP="00F54FD3">
      <w:pPr>
        <w:pStyle w:val="Heading3"/>
      </w:pPr>
      <w:r w:rsidRPr="004B1B38">
        <w:t>2.</w:t>
      </w:r>
      <w:r w:rsidR="008B3BEC" w:rsidRPr="00F54FD3">
        <w:t>7</w:t>
      </w:r>
      <w:r w:rsidRPr="00F54FD3">
        <w:t xml:space="preserve"> Processing stage</w:t>
      </w:r>
    </w:p>
    <w:p w:rsidR="00B204F2" w:rsidRPr="00F668D0" w:rsidRDefault="00EC3A4F" w:rsidP="00F54FD3">
      <w:pPr>
        <w:pStyle w:val="TEXT"/>
      </w:pPr>
      <w:r w:rsidRPr="002024C1">
        <w:t xml:space="preserve">The collection and recycling rates for 2013 were calculated as a percentage of the average weight of EEE placed on the UK market in the three </w:t>
      </w:r>
      <w:r w:rsidR="002024C1" w:rsidRPr="002024C1">
        <w:t>preceding</w:t>
      </w:r>
      <w:r w:rsidRPr="002024C1">
        <w:t xml:space="preserve"> years</w:t>
      </w:r>
      <w:r w:rsidR="00847F12" w:rsidRPr="002024C1">
        <w:t>;</w:t>
      </w:r>
      <w:r w:rsidRPr="002024C1">
        <w:t xml:space="preserve"> this allowed direct comparison with EU targets. The 2015 rates were calculated</w:t>
      </w:r>
      <w:r w:rsidRPr="00F668D0">
        <w:t xml:space="preserve"> using 2012 and 2013 data for EEE placed on the </w:t>
      </w:r>
      <w:r w:rsidRPr="00F668D0">
        <w:lastRenderedPageBreak/>
        <w:t xml:space="preserve">UK market (EA, 2014). </w:t>
      </w:r>
      <w:r w:rsidR="002A3213" w:rsidRPr="00F668D0">
        <w:t>More recent data were not</w:t>
      </w:r>
      <w:r w:rsidRPr="00F668D0">
        <w:t xml:space="preserve"> available at the time of this study. The rates for 2020 could only be calculated as a percentage of the total WEEE disposed of in the UK due to there being no data available for the three preceding years. The collection and recycling rates were calculated including WEEE indirectly collected and subsequently recycled as non-obligated WEEE in the light iron stream.</w:t>
      </w:r>
    </w:p>
    <w:p w:rsidR="00B204F2" w:rsidRPr="00F54FD3" w:rsidRDefault="00B204F2" w:rsidP="00F54FD3">
      <w:pPr>
        <w:pStyle w:val="Heading3"/>
      </w:pPr>
      <w:r w:rsidRPr="004B1B38">
        <w:t>2.</w:t>
      </w:r>
      <w:r w:rsidR="002102A2" w:rsidRPr="00F54FD3">
        <w:t>8</w:t>
      </w:r>
      <w:r w:rsidRPr="00F54FD3">
        <w:t xml:space="preserve"> </w:t>
      </w:r>
      <w:r w:rsidR="005621EB" w:rsidRPr="00F54FD3">
        <w:t>Carbon footprint methodology</w:t>
      </w:r>
    </w:p>
    <w:p w:rsidR="003D4B83" w:rsidRPr="00933970" w:rsidRDefault="00F96291" w:rsidP="00F54FD3">
      <w:pPr>
        <w:pStyle w:val="TEXT"/>
      </w:pPr>
      <w:r w:rsidRPr="002024C1">
        <w:t xml:space="preserve">Carbon footprinting, a streamlined form of life cycle assessment, is recognised as a </w:t>
      </w:r>
      <w:r w:rsidR="00900488" w:rsidRPr="002024C1">
        <w:t>valid tool</w:t>
      </w:r>
      <w:r w:rsidRPr="002024C1">
        <w:t xml:space="preserve"> for assessing the environmental performance of waste management systems (Turner et al., 2011). </w:t>
      </w:r>
      <w:r w:rsidR="00EC3F78" w:rsidRPr="002024C1">
        <w:t>To calculate the</w:t>
      </w:r>
      <w:r w:rsidR="00EC3F78" w:rsidRPr="00F668D0">
        <w:t xml:space="preserve"> </w:t>
      </w:r>
      <w:r w:rsidR="003D4B83" w:rsidRPr="00F668D0">
        <w:t>carbon footprint</w:t>
      </w:r>
      <w:r w:rsidR="00EC3F78" w:rsidRPr="00F668D0">
        <w:t xml:space="preserve"> of WEEE </w:t>
      </w:r>
      <w:r w:rsidR="00FB6CA8" w:rsidRPr="00F668D0">
        <w:t>management</w:t>
      </w:r>
      <w:r w:rsidR="00EC3F78" w:rsidRPr="00F668D0">
        <w:t>,</w:t>
      </w:r>
      <w:r w:rsidR="003D4B83" w:rsidRPr="00F668D0">
        <w:t xml:space="preserve"> a carbon footprint calculator</w:t>
      </w:r>
      <w:r w:rsidR="00FB6CA8" w:rsidRPr="00F668D0">
        <w:t xml:space="preserve"> tool</w:t>
      </w:r>
      <w:r w:rsidR="00EC3F78" w:rsidRPr="00F668D0">
        <w:t xml:space="preserve"> was developed</w:t>
      </w:r>
      <w:r w:rsidR="00FB6CA8" w:rsidRPr="00F668D0">
        <w:t xml:space="preserve"> (see Supporting Information) using life cycle inventory data from a variety of secondary sources, particularly </w:t>
      </w:r>
      <w:r w:rsidR="00E00608" w:rsidRPr="00F668D0">
        <w:t>Turner et al. (2015)</w:t>
      </w:r>
      <w:r w:rsidR="00FB6CA8" w:rsidRPr="00F668D0">
        <w:t xml:space="preserve"> and Turner et al. (2016)</w:t>
      </w:r>
      <w:r w:rsidR="003D4B83" w:rsidRPr="00F668D0">
        <w:t xml:space="preserve">. The composition of WEEE used in the calculation was the average composition of </w:t>
      </w:r>
      <w:r w:rsidR="00C55D22" w:rsidRPr="00F668D0">
        <w:t>categor</w:t>
      </w:r>
      <w:r w:rsidR="00040CAC" w:rsidRPr="009E32AC">
        <w:t>ies 1</w:t>
      </w:r>
      <w:r w:rsidR="00C55D22" w:rsidRPr="00933970">
        <w:t xml:space="preserve"> (</w:t>
      </w:r>
      <w:r w:rsidR="003D4B83" w:rsidRPr="00933970">
        <w:t xml:space="preserve">large </w:t>
      </w:r>
      <w:r w:rsidR="00C55D22" w:rsidRPr="00933970">
        <w:t>household appliances</w:t>
      </w:r>
      <w:r w:rsidR="00040CAC" w:rsidRPr="00933970">
        <w:t xml:space="preserve">; </w:t>
      </w:r>
      <w:r w:rsidR="004A01E1">
        <w:t xml:space="preserve">based on </w:t>
      </w:r>
      <w:r w:rsidR="004A01E1" w:rsidRPr="00933970">
        <w:t>Department for Environment Food &amp; Rural Affairs</w:t>
      </w:r>
      <w:r w:rsidR="004A01E1" w:rsidRPr="00933970" w:rsidDel="004A01E1">
        <w:t xml:space="preserve"> </w:t>
      </w:r>
      <w:r w:rsidR="004A01E1">
        <w:t>[Defra]</w:t>
      </w:r>
      <w:r w:rsidR="003D4B83" w:rsidRPr="00933970">
        <w:t>, 2007)</w:t>
      </w:r>
      <w:r w:rsidR="00040CAC" w:rsidRPr="00933970">
        <w:t xml:space="preserve">, </w:t>
      </w:r>
      <w:r w:rsidR="003D4B83" w:rsidRPr="00933970">
        <w:t>2</w:t>
      </w:r>
      <w:r w:rsidR="00C55D22" w:rsidRPr="00933970">
        <w:t xml:space="preserve"> (small household)</w:t>
      </w:r>
      <w:r w:rsidR="003D4B83" w:rsidRPr="00933970">
        <w:t>, 3</w:t>
      </w:r>
      <w:r w:rsidR="00C55D22" w:rsidRPr="00933970">
        <w:t xml:space="preserve"> (IT and telecommunications equipment</w:t>
      </w:r>
      <w:r w:rsidR="003D4B83" w:rsidRPr="00933970">
        <w:t>, 4</w:t>
      </w:r>
      <w:r w:rsidR="00C55D22" w:rsidRPr="00933970">
        <w:t xml:space="preserve"> (consumer equipment)</w:t>
      </w:r>
      <w:r w:rsidR="003D4B83" w:rsidRPr="00933970">
        <w:t xml:space="preserve">, 6 </w:t>
      </w:r>
      <w:r w:rsidR="00C55D22" w:rsidRPr="00933970">
        <w:t xml:space="preserve">(electrical tools) </w:t>
      </w:r>
      <w:r w:rsidR="003D4B83" w:rsidRPr="00933970">
        <w:t xml:space="preserve">and 7 </w:t>
      </w:r>
      <w:r w:rsidR="00C55D22" w:rsidRPr="00933970">
        <w:t xml:space="preserve">(toys, games and leisure) </w:t>
      </w:r>
      <w:r w:rsidR="003D4B83" w:rsidRPr="00933970">
        <w:t>(</w:t>
      </w:r>
      <w:r w:rsidR="004A01E1">
        <w:t xml:space="preserve">all based on </w:t>
      </w:r>
      <w:r w:rsidR="003D4B83" w:rsidRPr="00933970">
        <w:t>WRAP, 2012a).</w:t>
      </w:r>
    </w:p>
    <w:p w:rsidR="00A57D15" w:rsidRPr="00F54FD3" w:rsidRDefault="003D4B83">
      <w:pPr>
        <w:pStyle w:val="TEXT"/>
      </w:pPr>
      <w:r w:rsidRPr="00933970">
        <w:t>The transport distance for WEEE when reused and from collection to disposal (</w:t>
      </w:r>
      <w:r w:rsidR="00847F12" w:rsidRPr="00933970">
        <w:t>i</w:t>
      </w:r>
      <w:r w:rsidRPr="00933970">
        <w:t xml:space="preserve">nert </w:t>
      </w:r>
      <w:r w:rsidR="00847F12" w:rsidRPr="00933970">
        <w:t>l</w:t>
      </w:r>
      <w:r w:rsidRPr="00BD4C4C">
        <w:t xml:space="preserve">andfill) was set as 25 km, </w:t>
      </w:r>
      <w:r w:rsidR="00847F12" w:rsidRPr="00BD4C4C">
        <w:t xml:space="preserve">based on data from the </w:t>
      </w:r>
      <w:r w:rsidRPr="00BD4C4C">
        <w:t xml:space="preserve">EA (2010). The distance from collection to treatment facilities and to subsequent reprocessing was </w:t>
      </w:r>
      <w:r w:rsidR="00847F12" w:rsidRPr="00044F68">
        <w:t xml:space="preserve">set as </w:t>
      </w:r>
      <w:r w:rsidRPr="00044F68">
        <w:t xml:space="preserve">250 km for recycling (EA, 2010). The carbon footprint calculated both the net emissions and avoided burdens of the major disposal destinations allowing total emissions associated with each destination and the network as a whole to be calculated. The </w:t>
      </w:r>
      <w:r w:rsidR="00131581" w:rsidRPr="00044F68">
        <w:t>carbon footprint</w:t>
      </w:r>
      <w:r w:rsidRPr="00044F68">
        <w:t xml:space="preserve"> </w:t>
      </w:r>
      <w:r w:rsidR="00131581" w:rsidRPr="00044F68">
        <w:t xml:space="preserve">associated with exported </w:t>
      </w:r>
      <w:r w:rsidRPr="00044F68">
        <w:t xml:space="preserve">WEEE/UEEE out of the UK for treatment/disposal was not included as it was </w:t>
      </w:r>
      <w:r w:rsidR="00131581" w:rsidRPr="00044F68">
        <w:t xml:space="preserve">considered </w:t>
      </w:r>
      <w:r w:rsidRPr="00044F68">
        <w:t xml:space="preserve">out of the </w:t>
      </w:r>
      <w:r w:rsidR="00131581" w:rsidRPr="00044F68">
        <w:t xml:space="preserve">scope of this study, which is only concerned with WEEE/UEEE management in </w:t>
      </w:r>
      <w:r w:rsidR="008D1AAB" w:rsidRPr="00044F68">
        <w:t xml:space="preserve">the </w:t>
      </w:r>
      <w:r w:rsidRPr="00044F68">
        <w:t xml:space="preserve">UK. The </w:t>
      </w:r>
      <w:r w:rsidR="00AC58C9" w:rsidRPr="00044F68">
        <w:t xml:space="preserve">carbon footprint </w:t>
      </w:r>
      <w:r w:rsidRPr="00044F68">
        <w:t xml:space="preserve">associated with the incineration of WEEE was not calculated as only 1% of the total WEEE </w:t>
      </w:r>
      <w:r w:rsidRPr="00044F68">
        <w:lastRenderedPageBreak/>
        <w:t>entered this disposal route</w:t>
      </w:r>
      <w:r w:rsidR="005E4F68" w:rsidRPr="00044F68">
        <w:t>,</w:t>
      </w:r>
      <w:r w:rsidRPr="00044F68">
        <w:t xml:space="preserve"> which was </w:t>
      </w:r>
      <w:r w:rsidR="009B3F32" w:rsidRPr="00044F68">
        <w:t>considered</w:t>
      </w:r>
      <w:r w:rsidRPr="00C52A97">
        <w:t xml:space="preserve"> negligible.</w:t>
      </w:r>
    </w:p>
    <w:p w:rsidR="00991B26" w:rsidRPr="002024C1" w:rsidRDefault="00A562E1" w:rsidP="00F54FD3">
      <w:pPr>
        <w:pStyle w:val="Heading2"/>
      </w:pPr>
      <w:r w:rsidRPr="002024C1">
        <w:t>3</w:t>
      </w:r>
      <w:r w:rsidR="00F271DA" w:rsidRPr="002024C1">
        <w:t>. RESULTS</w:t>
      </w:r>
    </w:p>
    <w:p w:rsidR="004644B0" w:rsidRPr="002024C1" w:rsidRDefault="00A562E1" w:rsidP="00F54FD3">
      <w:pPr>
        <w:pStyle w:val="Heading3"/>
      </w:pPr>
      <w:r w:rsidRPr="002024C1">
        <w:t>3</w:t>
      </w:r>
      <w:r w:rsidR="00940EF1" w:rsidRPr="002024C1">
        <w:t>.1 Current flows of WEEE</w:t>
      </w:r>
    </w:p>
    <w:p w:rsidR="00940EF1" w:rsidRPr="00044F68" w:rsidRDefault="00940EF1" w:rsidP="00F54FD3">
      <w:pPr>
        <w:pStyle w:val="TEXT"/>
      </w:pPr>
      <w:r w:rsidRPr="002024C1">
        <w:t xml:space="preserve">Results </w:t>
      </w:r>
      <w:r w:rsidR="005E4F68" w:rsidRPr="002024C1">
        <w:t xml:space="preserve">presented </w:t>
      </w:r>
      <w:r w:rsidRPr="002024C1">
        <w:t>in this section</w:t>
      </w:r>
      <w:r w:rsidR="009B3F32" w:rsidRPr="002024C1">
        <w:t xml:space="preserve"> concern</w:t>
      </w:r>
      <w:r w:rsidRPr="002024C1">
        <w:t xml:space="preserve"> </w:t>
      </w:r>
      <w:r w:rsidR="009B3F32" w:rsidRPr="002024C1">
        <w:t>the material flows of WEEE</w:t>
      </w:r>
      <w:r w:rsidR="00F66BBF" w:rsidRPr="002024C1">
        <w:t>/UEEE</w:t>
      </w:r>
      <w:r w:rsidR="009B3F32" w:rsidRPr="002024C1">
        <w:t xml:space="preserve"> </w:t>
      </w:r>
      <w:r w:rsidR="00C82979" w:rsidRPr="002024C1">
        <w:t>into, through and from the UK WEEE</w:t>
      </w:r>
      <w:r w:rsidR="00DB4835" w:rsidRPr="00F668D0">
        <w:t>/UEEE</w:t>
      </w:r>
      <w:r w:rsidR="00C82979" w:rsidRPr="00F668D0">
        <w:t xml:space="preserve"> management system </w:t>
      </w:r>
      <w:r w:rsidR="00F25003" w:rsidRPr="00F668D0">
        <w:t>for the period 2010-2015</w:t>
      </w:r>
      <w:r w:rsidR="003F0C87" w:rsidRPr="00F668D0">
        <w:t xml:space="preserve">. The mass of WEEE/UEEE that enters the system via different routes (‘flows’) is presented in </w:t>
      </w:r>
      <w:r w:rsidRPr="00F668D0">
        <w:t>Fig</w:t>
      </w:r>
      <w:r w:rsidR="00AF5B8E" w:rsidRPr="00F668D0">
        <w:t>ure</w:t>
      </w:r>
      <w:r w:rsidRPr="00F668D0">
        <w:t xml:space="preserve"> 2. The largest flow of WEEE into the system is through the </w:t>
      </w:r>
      <w:r w:rsidR="009B3F32" w:rsidRPr="00F668D0">
        <w:t>mixed (‘residual’)</w:t>
      </w:r>
      <w:r w:rsidRPr="00F668D0">
        <w:t xml:space="preserve"> waste stream</w:t>
      </w:r>
      <w:r w:rsidR="003F0C87" w:rsidRPr="00F668D0">
        <w:t xml:space="preserve">, </w:t>
      </w:r>
      <w:r w:rsidR="002024C1" w:rsidRPr="00F668D0">
        <w:t>although</w:t>
      </w:r>
      <w:r w:rsidR="003F0C87" w:rsidRPr="00F668D0">
        <w:t xml:space="preserve"> </w:t>
      </w:r>
      <w:r w:rsidR="00B47D42" w:rsidRPr="00F668D0">
        <w:t>t</w:t>
      </w:r>
      <w:r w:rsidRPr="00F668D0">
        <w:t xml:space="preserve">here </w:t>
      </w:r>
      <w:r w:rsidR="003F0C87" w:rsidRPr="00F668D0">
        <w:t xml:space="preserve">the mass of </w:t>
      </w:r>
      <w:r w:rsidRPr="009E32AC">
        <w:t>WEEE entering</w:t>
      </w:r>
      <w:r w:rsidR="00B65738" w:rsidRPr="009E32AC">
        <w:t xml:space="preserve"> </w:t>
      </w:r>
      <w:r w:rsidR="003F0C87" w:rsidRPr="00933970">
        <w:t xml:space="preserve">the system </w:t>
      </w:r>
      <w:r w:rsidR="00B65738" w:rsidRPr="00933970">
        <w:t>through</w:t>
      </w:r>
      <w:r w:rsidRPr="00933970">
        <w:t xml:space="preserve"> this route </w:t>
      </w:r>
      <w:r w:rsidR="002024C1" w:rsidRPr="00933970">
        <w:t>steadily</w:t>
      </w:r>
      <w:r w:rsidR="003F0C87" w:rsidRPr="00933970">
        <w:t xml:space="preserve"> declined </w:t>
      </w:r>
      <w:r w:rsidRPr="00933970">
        <w:t>between 2010 and 2013 (2.6%). Disposal through collection at a DCF was the second largest flow of WEEE into the formal system. WEEE collected via this route decreased by 1.7% between 2010 and 2013, although there was a slight increase between 2012 and 2013. Disposal of WEEE through a PCS (In-warranty return and retail take-back) increased by 15% over the time period, however there was a reduction between 201</w:t>
      </w:r>
      <w:r w:rsidR="00B65738" w:rsidRPr="00933970">
        <w:t>2 and 2013 from approximately 49</w:t>
      </w:r>
      <w:r w:rsidRPr="00933970">
        <w:t xml:space="preserve"> </w:t>
      </w:r>
      <w:r w:rsidR="00B65738" w:rsidRPr="00933970">
        <w:t>k</w:t>
      </w:r>
      <w:r w:rsidRPr="00933970">
        <w:t xml:space="preserve">t to 41 </w:t>
      </w:r>
      <w:r w:rsidR="00B65738" w:rsidRPr="00933970">
        <w:t>k</w:t>
      </w:r>
      <w:r w:rsidRPr="00933970">
        <w:t>t. The quantity of WEEE/UEEE being reused or resold directly from the consumers was steady</w:t>
      </w:r>
      <w:r w:rsidR="00B32ABE" w:rsidRPr="00933970">
        <w:t>,</w:t>
      </w:r>
      <w:r w:rsidRPr="00933970">
        <w:t xml:space="preserve"> with an overall rise of 0.6%</w:t>
      </w:r>
      <w:r w:rsidR="00AF5B8E" w:rsidRPr="00933970">
        <w:t>;</w:t>
      </w:r>
      <w:r w:rsidRPr="00933970">
        <w:t xml:space="preserve"> however</w:t>
      </w:r>
      <w:r w:rsidR="00AF5B8E" w:rsidRPr="00933970">
        <w:t>,</w:t>
      </w:r>
      <w:r w:rsidRPr="00933970">
        <w:t xml:space="preserve"> there was a slight </w:t>
      </w:r>
      <w:r w:rsidR="00B32ABE" w:rsidRPr="00933970">
        <w:t>decline</w:t>
      </w:r>
      <w:r w:rsidRPr="00933970">
        <w:t xml:space="preserve"> in 2013 from 2012 levels. Disposal of WEEE from business</w:t>
      </w:r>
      <w:r w:rsidR="00F72A94" w:rsidRPr="00BD4C4C">
        <w:t>es,</w:t>
      </w:r>
      <w:r w:rsidRPr="00BD4C4C">
        <w:t xml:space="preserve"> </w:t>
      </w:r>
      <w:r w:rsidR="00F72A94" w:rsidRPr="00044F68">
        <w:t>primarily via</w:t>
      </w:r>
      <w:r w:rsidRPr="00044F68">
        <w:t xml:space="preserve"> asset management companies</w:t>
      </w:r>
      <w:r w:rsidR="00F72A94" w:rsidRPr="00044F68">
        <w:t>,</w:t>
      </w:r>
      <w:r w:rsidRPr="00044F68">
        <w:t xml:space="preserve"> reduced steadily </w:t>
      </w:r>
      <w:r w:rsidR="00B32ABE" w:rsidRPr="00044F68">
        <w:t xml:space="preserve">over the time period </w:t>
      </w:r>
      <w:r w:rsidRPr="00044F68">
        <w:t xml:space="preserve">by 3.5%. WEEE disposed </w:t>
      </w:r>
      <w:r w:rsidR="00F72A94" w:rsidRPr="00044F68">
        <w:t>via</w:t>
      </w:r>
      <w:r w:rsidRPr="00044F68">
        <w:t xml:space="preserve"> indirect collections was estimated to </w:t>
      </w:r>
      <w:r w:rsidR="00AF5B8E" w:rsidRPr="00044F68">
        <w:t>have</w:t>
      </w:r>
      <w:r w:rsidRPr="00044F68">
        <w:t xml:space="preserve"> risen by 5.5% with a slight fall in collections in 2011. The practice of hoarding WEEE/UEEE by consumers/businesses occurs throughout the UK</w:t>
      </w:r>
      <w:r w:rsidR="00AF5B8E" w:rsidRPr="00044F68">
        <w:t xml:space="preserve"> and</w:t>
      </w:r>
      <w:r w:rsidRPr="00044F68">
        <w:t xml:space="preserve"> this reduces the amount of WEEE/UEEE available for collection through the formal waste system. Permanent hoarding of WEEE/UEEE dropped by 3.6%.</w:t>
      </w:r>
    </w:p>
    <w:p w:rsidR="00940EF1" w:rsidRPr="00BE24E1" w:rsidRDefault="00F50EE5">
      <w:pPr>
        <w:pStyle w:val="TEXT"/>
      </w:pPr>
      <w:r w:rsidRPr="00044F68">
        <w:t>‘</w:t>
      </w:r>
      <w:r w:rsidR="00940EF1" w:rsidRPr="00044F68">
        <w:t>Processing of WEEE</w:t>
      </w:r>
      <w:r w:rsidRPr="00044F68">
        <w:t>’</w:t>
      </w:r>
      <w:r w:rsidR="00940EF1" w:rsidRPr="00044F68">
        <w:t xml:space="preserve"> is the second stage </w:t>
      </w:r>
      <w:r w:rsidRPr="00044F68">
        <w:t xml:space="preserve">in the </w:t>
      </w:r>
      <w:r w:rsidR="00940EF1" w:rsidRPr="00C52A97">
        <w:t xml:space="preserve">WEEE </w:t>
      </w:r>
      <w:r w:rsidRPr="00C52A97">
        <w:t>management system</w:t>
      </w:r>
      <w:r w:rsidR="00940EF1" w:rsidRPr="00F72246">
        <w:t xml:space="preserve">. </w:t>
      </w:r>
      <w:r w:rsidR="00045485" w:rsidRPr="00F72246">
        <w:t xml:space="preserve">The mass of </w:t>
      </w:r>
      <w:r w:rsidR="00940EF1" w:rsidRPr="00F72246">
        <w:t xml:space="preserve">WEEE </w:t>
      </w:r>
      <w:r w:rsidR="00045485" w:rsidRPr="00F72246">
        <w:t xml:space="preserve">processed via the various alternative methods in the year 2013 is </w:t>
      </w:r>
      <w:r w:rsidR="00940EF1" w:rsidRPr="00F72246">
        <w:t>shown in Figure 3. The largest flows of WEEE are into AATF and ATFs</w:t>
      </w:r>
      <w:r w:rsidR="00F72A94" w:rsidRPr="00F72246">
        <w:t>,</w:t>
      </w:r>
      <w:r w:rsidR="00940EF1" w:rsidRPr="00BE24E1">
        <w:t xml:space="preserve"> which saw overall increase</w:t>
      </w:r>
      <w:r w:rsidR="006A1F6E" w:rsidRPr="00BE24E1">
        <w:t>s</w:t>
      </w:r>
      <w:r w:rsidR="00940EF1" w:rsidRPr="00BE24E1">
        <w:t xml:space="preserve"> of 1.6% and 5.1%</w:t>
      </w:r>
      <w:r w:rsidR="00C35BA8" w:rsidRPr="00BE24E1">
        <w:t xml:space="preserve"> </w:t>
      </w:r>
      <w:r w:rsidR="00C35BA8" w:rsidRPr="00BE24E1">
        <w:lastRenderedPageBreak/>
        <w:t>between the period 2013-2015</w:t>
      </w:r>
      <w:r w:rsidR="006A1F6E" w:rsidRPr="00BE24E1">
        <w:t>,</w:t>
      </w:r>
      <w:r w:rsidR="00940EF1" w:rsidRPr="00BE24E1">
        <w:t xml:space="preserve"> respectively. WEEE entering landfill directly over th</w:t>
      </w:r>
      <w:r w:rsidR="00E1284B" w:rsidRPr="00BE24E1">
        <w:t>is</w:t>
      </w:r>
      <w:r w:rsidR="00940EF1" w:rsidRPr="00BE24E1">
        <w:t xml:space="preserve"> period decrease</w:t>
      </w:r>
      <w:r w:rsidR="006A1F6E" w:rsidRPr="00BE24E1">
        <w:t>s</w:t>
      </w:r>
      <w:r w:rsidR="00940EF1" w:rsidRPr="00BE24E1">
        <w:t xml:space="preserve"> by 2.6%</w:t>
      </w:r>
      <w:r w:rsidR="00E1284B" w:rsidRPr="00BE24E1">
        <w:t xml:space="preserve"> (note that t</w:t>
      </w:r>
      <w:r w:rsidR="00940EF1" w:rsidRPr="00BE24E1">
        <w:t xml:space="preserve">his </w:t>
      </w:r>
      <w:r w:rsidR="00E1284B" w:rsidRPr="00BE24E1">
        <w:t xml:space="preserve">value </w:t>
      </w:r>
      <w:r w:rsidR="00940EF1" w:rsidRPr="00BE24E1">
        <w:t>does not include WEEE entering landfill thro</w:t>
      </w:r>
      <w:r w:rsidR="00E1284B" w:rsidRPr="00BE24E1">
        <w:t xml:space="preserve">ugh other processing facilities, such as </w:t>
      </w:r>
      <w:r w:rsidR="000C07F4" w:rsidRPr="00BE24E1">
        <w:t>MRF</w:t>
      </w:r>
      <w:r w:rsidR="00E1284B" w:rsidRPr="00BE24E1">
        <w:t xml:space="preserve">s or </w:t>
      </w:r>
      <w:r w:rsidR="00F50707" w:rsidRPr="00BE24E1">
        <w:t>i</w:t>
      </w:r>
      <w:r w:rsidR="00E1284B" w:rsidRPr="00BE24E1">
        <w:t>ncinerators, as process rejects)</w:t>
      </w:r>
      <w:r w:rsidR="000C07F4" w:rsidRPr="00BE24E1">
        <w:t>.</w:t>
      </w:r>
    </w:p>
    <w:p w:rsidR="004644B0" w:rsidRPr="00097ABF" w:rsidRDefault="00346F0E">
      <w:pPr>
        <w:pStyle w:val="TEXT"/>
      </w:pPr>
      <w:r w:rsidRPr="00BE24E1">
        <w:t xml:space="preserve">The mass of </w:t>
      </w:r>
      <w:r w:rsidR="00940EF1" w:rsidRPr="00BE24E1">
        <w:t xml:space="preserve">WEEE/UEEE </w:t>
      </w:r>
      <w:r w:rsidRPr="00BE24E1">
        <w:t xml:space="preserve">collected </w:t>
      </w:r>
      <w:r w:rsidR="00940EF1" w:rsidRPr="00BE24E1">
        <w:t>the UK</w:t>
      </w:r>
      <w:r w:rsidRPr="00BE24E1">
        <w:t xml:space="preserve"> that is sent</w:t>
      </w:r>
      <w:r w:rsidR="00940EF1" w:rsidRPr="008D5269">
        <w:t xml:space="preserve"> </w:t>
      </w:r>
      <w:r w:rsidRPr="008D5269">
        <w:t>to each final destination (</w:t>
      </w:r>
      <w:r w:rsidR="00940EF1" w:rsidRPr="008D5269">
        <w:t>reuse, recycle, export, incineration and landfill</w:t>
      </w:r>
      <w:r w:rsidRPr="008D5269">
        <w:t xml:space="preserve">) </w:t>
      </w:r>
      <w:r w:rsidR="00162C1E" w:rsidRPr="008D5269">
        <w:t xml:space="preserve">in the year 2013 </w:t>
      </w:r>
      <w:r w:rsidRPr="008D5269">
        <w:t xml:space="preserve">is presented in </w:t>
      </w:r>
      <w:r w:rsidR="00940EF1" w:rsidRPr="008D5269">
        <w:t>Fig</w:t>
      </w:r>
      <w:r w:rsidR="00DF6F1E" w:rsidRPr="008D5269">
        <w:t>ure</w:t>
      </w:r>
      <w:r w:rsidR="00940EF1" w:rsidRPr="008D5269">
        <w:t xml:space="preserve"> 4. The largest flow was recycling</w:t>
      </w:r>
      <w:r w:rsidR="00415967" w:rsidRPr="008D5269">
        <w:t>,</w:t>
      </w:r>
      <w:r w:rsidR="00940EF1" w:rsidRPr="008D5269">
        <w:t xml:space="preserve"> which increased by 3.2% over the time period. This figure contained WEEE that is collected and recycled by the formal waste system that is recorded by the EA. It also contained an estimate of WEEE potentially recycled as part of the light iron stream. Approximately one third</w:t>
      </w:r>
      <w:r w:rsidR="00E95F7B" w:rsidRPr="009A73A4">
        <w:t xml:space="preserve"> of WEEE is landfilled annually and this amount </w:t>
      </w:r>
      <w:r w:rsidR="00940EF1" w:rsidRPr="009A73A4">
        <w:t>remains relatively constant</w:t>
      </w:r>
      <w:r w:rsidR="00E95F7B" w:rsidRPr="009A73A4">
        <w:t>,</w:t>
      </w:r>
      <w:r w:rsidR="00940EF1" w:rsidRPr="009A73A4">
        <w:t xml:space="preserve"> with only a slight increase of 0.1%</w:t>
      </w:r>
      <w:r w:rsidR="00E95F7B" w:rsidRPr="009A73A4">
        <w:t xml:space="preserve"> over the time period</w:t>
      </w:r>
      <w:r w:rsidR="00F25003" w:rsidRPr="009A73A4">
        <w:t>, whilst r</w:t>
      </w:r>
      <w:r w:rsidR="00940EF1" w:rsidRPr="009A73A4">
        <w:t>euse of WEEE/UEEE in the UK shows a slight decrease of 0.8%</w:t>
      </w:r>
      <w:r w:rsidR="00F25003" w:rsidRPr="009A73A4">
        <w:t xml:space="preserve">. </w:t>
      </w:r>
      <w:r w:rsidR="00E95F7B" w:rsidRPr="009A73A4">
        <w:t xml:space="preserve"> </w:t>
      </w:r>
      <w:r w:rsidR="00940EF1" w:rsidRPr="009A73A4">
        <w:t>Export and incineration were seen as negligible as they only made up approximately 1</w:t>
      </w:r>
      <w:r w:rsidR="00F25003" w:rsidRPr="009A73A4">
        <w:t>.0</w:t>
      </w:r>
      <w:r w:rsidR="00940EF1" w:rsidRPr="00097ABF">
        <w:t xml:space="preserve">% of the total WEEE/UEEE disposed of in the UK annually. </w:t>
      </w:r>
      <w:r w:rsidR="00E95F7B" w:rsidRPr="00097ABF">
        <w:t>Furthermore, b</w:t>
      </w:r>
      <w:r w:rsidR="00940EF1" w:rsidRPr="00097ABF">
        <w:t xml:space="preserve">oth </w:t>
      </w:r>
      <w:r w:rsidR="00E95F7B" w:rsidRPr="00097ABF">
        <w:t xml:space="preserve">of </w:t>
      </w:r>
      <w:r w:rsidR="00940EF1" w:rsidRPr="00097ABF">
        <w:t xml:space="preserve">these routes saw a reduction of </w:t>
      </w:r>
      <w:r w:rsidR="00DF6F1E" w:rsidRPr="00097ABF">
        <w:t>1.9% and 2.6%</w:t>
      </w:r>
      <w:r w:rsidR="00F72A94" w:rsidRPr="00097ABF">
        <w:t>,</w:t>
      </w:r>
      <w:r w:rsidR="00EB4BAB" w:rsidRPr="00097ABF">
        <w:t xml:space="preserve"> respectively.</w:t>
      </w:r>
    </w:p>
    <w:p w:rsidR="004644B0" w:rsidRPr="00F54FD3" w:rsidRDefault="00A178DC" w:rsidP="00F54FD3">
      <w:pPr>
        <w:pStyle w:val="Heading3"/>
      </w:pPr>
      <w:r w:rsidRPr="004B1B38">
        <w:t>3</w:t>
      </w:r>
      <w:r w:rsidR="004644B0" w:rsidRPr="00F54FD3">
        <w:t xml:space="preserve">.2 </w:t>
      </w:r>
      <w:r w:rsidR="00232872" w:rsidRPr="00F54FD3">
        <w:t>Recycling and collection rates in the UK</w:t>
      </w:r>
    </w:p>
    <w:p w:rsidR="00E24A0E" w:rsidRPr="00044F68" w:rsidRDefault="00232872" w:rsidP="00F54FD3">
      <w:pPr>
        <w:pStyle w:val="TEXT"/>
      </w:pPr>
      <w:r w:rsidRPr="002024C1">
        <w:t>Th</w:t>
      </w:r>
      <w:r w:rsidR="00F72A94" w:rsidRPr="002024C1">
        <w:t xml:space="preserve">e </w:t>
      </w:r>
      <w:r w:rsidR="005E4F68" w:rsidRPr="002024C1">
        <w:t xml:space="preserve">results </w:t>
      </w:r>
      <w:r w:rsidRPr="002024C1">
        <w:t>show</w:t>
      </w:r>
      <w:r w:rsidR="00F72A94" w:rsidRPr="002024C1">
        <w:t xml:space="preserve"> that</w:t>
      </w:r>
      <w:r w:rsidRPr="002024C1">
        <w:t xml:space="preserve"> the UK achieved a</w:t>
      </w:r>
      <w:r w:rsidR="00F271DA" w:rsidRPr="002024C1">
        <w:t xml:space="preserve"> WEEE</w:t>
      </w:r>
      <w:r w:rsidRPr="00F668D0">
        <w:t xml:space="preserve"> recycling rate of 50.2% (834,284 t) in 2013 and this </w:t>
      </w:r>
      <w:r w:rsidR="008F1DC7" w:rsidRPr="00F668D0">
        <w:t xml:space="preserve">was projected to remain </w:t>
      </w:r>
      <w:r w:rsidRPr="00F668D0">
        <w:t xml:space="preserve">relatively constant up to 2030 </w:t>
      </w:r>
      <w:r w:rsidR="008F1DC7" w:rsidRPr="00F668D0">
        <w:t>(</w:t>
      </w:r>
      <w:r w:rsidRPr="00F668D0">
        <w:t>rate of 51.5%</w:t>
      </w:r>
      <w:r w:rsidR="008F1DC7" w:rsidRPr="00F668D0">
        <w:t>)</w:t>
      </w:r>
      <w:r w:rsidRPr="00F668D0">
        <w:t>. However</w:t>
      </w:r>
      <w:r w:rsidR="00F72A94" w:rsidRPr="00F668D0">
        <w:t>,</w:t>
      </w:r>
      <w:r w:rsidRPr="00F668D0">
        <w:t xml:space="preserve"> </w:t>
      </w:r>
      <w:r w:rsidR="00EA3643" w:rsidRPr="00F668D0">
        <w:t>these</w:t>
      </w:r>
      <w:r w:rsidRPr="00F668D0">
        <w:t xml:space="preserve"> estimate</w:t>
      </w:r>
      <w:r w:rsidR="00F72A94" w:rsidRPr="00F668D0">
        <w:t>s</w:t>
      </w:r>
      <w:r w:rsidRPr="009E32AC">
        <w:t xml:space="preserve"> include the total WEEE from both formal and indirect collections. </w:t>
      </w:r>
      <w:r w:rsidR="00F72A94" w:rsidRPr="009E32AC">
        <w:t>W</w:t>
      </w:r>
      <w:r w:rsidRPr="00933970">
        <w:t xml:space="preserve">hen only the amount of WEEE that can be included in formal recycling rates was </w:t>
      </w:r>
      <w:r w:rsidR="008F1DC7" w:rsidRPr="00933970">
        <w:t>included</w:t>
      </w:r>
      <w:r w:rsidRPr="00933970">
        <w:t>, th</w:t>
      </w:r>
      <w:r w:rsidR="00F72A94" w:rsidRPr="00933970">
        <w:t>e</w:t>
      </w:r>
      <w:r w:rsidRPr="00933970">
        <w:t xml:space="preserve"> recycling rate </w:t>
      </w:r>
      <w:r w:rsidR="008F1DC7" w:rsidRPr="00933970">
        <w:t xml:space="preserve">decreased </w:t>
      </w:r>
      <w:r w:rsidRPr="00933970">
        <w:t xml:space="preserve">to 23.8% (395,498 t) for 2013. The collection rate in 2013 was approximately 33% and the collection rate for 2015 was estimated </w:t>
      </w:r>
      <w:r w:rsidR="00F72A94" w:rsidRPr="00933970">
        <w:t>as</w:t>
      </w:r>
      <w:r w:rsidRPr="00933970">
        <w:t xml:space="preserve"> 34.5%. The collection rate for 2020 </w:t>
      </w:r>
      <w:r w:rsidR="005E4F68" w:rsidRPr="00933970">
        <w:t xml:space="preserve">was predicated to be </w:t>
      </w:r>
      <w:r w:rsidRPr="00933970">
        <w:t>approximately 29.7% of the total WEEE disposed in 2020. The collection rate</w:t>
      </w:r>
      <w:r w:rsidR="00F72A94" w:rsidRPr="00933970">
        <w:t>s</w:t>
      </w:r>
      <w:r w:rsidRPr="00933970">
        <w:t xml:space="preserve"> </w:t>
      </w:r>
      <w:r w:rsidR="008F1DC7" w:rsidRPr="00933970">
        <w:t xml:space="preserve">were </w:t>
      </w:r>
      <w:r w:rsidR="00F72A94" w:rsidRPr="00933970">
        <w:t xml:space="preserve">estimated </w:t>
      </w:r>
      <w:r w:rsidRPr="00933970">
        <w:t>to increase to 71.9%</w:t>
      </w:r>
      <w:r w:rsidR="00F72A94" w:rsidRPr="00933970">
        <w:t xml:space="preserve"> and</w:t>
      </w:r>
      <w:r w:rsidRPr="00933970">
        <w:t xml:space="preserve"> 75.7% in 2013 and 2015</w:t>
      </w:r>
      <w:r w:rsidR="00F72A94" w:rsidRPr="00933970">
        <w:t>,</w:t>
      </w:r>
      <w:r w:rsidRPr="00933970">
        <w:t xml:space="preserve"> respectively</w:t>
      </w:r>
      <w:r w:rsidR="00F72A94" w:rsidRPr="00933970">
        <w:t>,</w:t>
      </w:r>
      <w:r w:rsidRPr="00933970">
        <w:t xml:space="preserve"> when WEEE indirectly collected </w:t>
      </w:r>
      <w:r w:rsidR="00F72A94" w:rsidRPr="00BD4C4C">
        <w:t>i</w:t>
      </w:r>
      <w:r w:rsidRPr="00BD4C4C">
        <w:t>s included.</w:t>
      </w:r>
    </w:p>
    <w:p w:rsidR="00E24A0E" w:rsidRPr="00F54FD3" w:rsidRDefault="00A178DC" w:rsidP="00F54FD3">
      <w:pPr>
        <w:pStyle w:val="Heading3"/>
      </w:pPr>
      <w:r w:rsidRPr="004B1B38">
        <w:t>3</w:t>
      </w:r>
      <w:r w:rsidR="00E24A0E" w:rsidRPr="00F54FD3">
        <w:t xml:space="preserve">.3 </w:t>
      </w:r>
      <w:r w:rsidR="00C329A9" w:rsidRPr="00F54FD3">
        <w:t>Future Scenarios</w:t>
      </w:r>
    </w:p>
    <w:p w:rsidR="00EE0EC8" w:rsidRPr="00F668D0" w:rsidRDefault="00F25003" w:rsidP="00F54FD3">
      <w:pPr>
        <w:pStyle w:val="TEXT"/>
        <w:rPr>
          <w:bCs/>
        </w:rPr>
      </w:pPr>
      <w:r w:rsidRPr="002024C1">
        <w:lastRenderedPageBreak/>
        <w:t>We also estimated the f</w:t>
      </w:r>
      <w:r w:rsidR="00EE0EC8" w:rsidRPr="002024C1">
        <w:t xml:space="preserve">lows of WEEE/UEEE </w:t>
      </w:r>
      <w:r w:rsidRPr="002024C1">
        <w:t>into, through and from the defined system until 2030</w:t>
      </w:r>
      <w:r w:rsidR="00EE0EC8" w:rsidRPr="002024C1">
        <w:t>. Three scenarios (high, medium and low) were created for the final destinations of WEEE/UEEE in the system</w:t>
      </w:r>
      <w:r w:rsidR="008F1DC7" w:rsidRPr="00F668D0">
        <w:t xml:space="preserve">, </w:t>
      </w:r>
      <w:r w:rsidR="00EE0EC8" w:rsidRPr="00F668D0">
        <w:t>represent</w:t>
      </w:r>
      <w:r w:rsidR="008F1DC7" w:rsidRPr="00F668D0">
        <w:t>ing</w:t>
      </w:r>
      <w:r w:rsidR="00EE0EC8" w:rsidRPr="00F668D0">
        <w:t xml:space="preserve"> predicted minimum</w:t>
      </w:r>
      <w:r w:rsidR="008F1DC7" w:rsidRPr="00F668D0">
        <w:t>, mean</w:t>
      </w:r>
      <w:r w:rsidR="00EE0EC8" w:rsidRPr="00F668D0">
        <w:t xml:space="preserve"> and maximum flows, </w:t>
      </w:r>
      <w:r w:rsidR="006930EA" w:rsidRPr="00F668D0">
        <w:t>respectively.</w:t>
      </w:r>
      <w:r w:rsidR="00EE0EC8" w:rsidRPr="00F668D0">
        <w:t xml:space="preserve"> These scenarios were then used to calculate the </w:t>
      </w:r>
      <w:r w:rsidR="008F1DC7" w:rsidRPr="00F668D0">
        <w:t xml:space="preserve">carbon footprint </w:t>
      </w:r>
      <w:r w:rsidR="00E04005" w:rsidRPr="00F668D0">
        <w:t xml:space="preserve">associated with the management of WEEE at each </w:t>
      </w:r>
      <w:r w:rsidR="00EE0EC8" w:rsidRPr="00F668D0">
        <w:t>final des</w:t>
      </w:r>
      <w:r w:rsidR="00E04005" w:rsidRPr="00F668D0">
        <w:t>tination</w:t>
      </w:r>
      <w:r w:rsidR="00EE0EC8" w:rsidRPr="00F668D0">
        <w:t>.</w:t>
      </w:r>
    </w:p>
    <w:p w:rsidR="00EE0EC8" w:rsidRPr="00BE24E1" w:rsidRDefault="00EE0EC8">
      <w:pPr>
        <w:pStyle w:val="TEXT"/>
      </w:pPr>
      <w:r w:rsidRPr="00F668D0">
        <w:t>WEEE dis</w:t>
      </w:r>
      <w:r w:rsidRPr="009E32AC">
        <w:t xml:space="preserve">posal into the residual waste stream </w:t>
      </w:r>
      <w:r w:rsidR="008F1DC7" w:rsidRPr="009E32AC">
        <w:t>was</w:t>
      </w:r>
      <w:r w:rsidR="008F1DC7" w:rsidRPr="00933970">
        <w:t xml:space="preserve"> </w:t>
      </w:r>
      <w:r w:rsidR="00232C7E" w:rsidRPr="00933970">
        <w:t>estimated</w:t>
      </w:r>
      <w:r w:rsidRPr="00933970">
        <w:t xml:space="preserve"> to be the </w:t>
      </w:r>
      <w:r w:rsidR="008F1DC7" w:rsidRPr="00933970">
        <w:t xml:space="preserve">dominant </w:t>
      </w:r>
      <w:r w:rsidRPr="00933970">
        <w:t>disposal route into the formal system</w:t>
      </w:r>
      <w:r w:rsidR="008F1DC7" w:rsidRPr="00933970">
        <w:t>,</w:t>
      </w:r>
      <w:r w:rsidRPr="00933970">
        <w:t xml:space="preserve"> with an overall increase of 3.8% over the time period. Disposal of WEEE through DCFs </w:t>
      </w:r>
      <w:r w:rsidR="008F1DC7" w:rsidRPr="00933970">
        <w:t xml:space="preserve">was </w:t>
      </w:r>
      <w:r w:rsidRPr="00933970">
        <w:t>the second largest formal route</w:t>
      </w:r>
      <w:r w:rsidR="008F1DC7" w:rsidRPr="00933970">
        <w:t>,</w:t>
      </w:r>
      <w:r w:rsidRPr="00933970">
        <w:t xml:space="preserve"> with an increase of 7.2%</w:t>
      </w:r>
      <w:r w:rsidR="008F1DC7" w:rsidRPr="00933970">
        <w:t>. However</w:t>
      </w:r>
      <w:r w:rsidRPr="00933970">
        <w:t xml:space="preserve"> the quantity of WEEE </w:t>
      </w:r>
      <w:r w:rsidR="008F1DC7" w:rsidRPr="00933970">
        <w:t xml:space="preserve">was </w:t>
      </w:r>
      <w:r w:rsidR="00232C7E" w:rsidRPr="00933970">
        <w:t>estimated</w:t>
      </w:r>
      <w:r w:rsidR="008F1DC7" w:rsidRPr="00933970">
        <w:t xml:space="preserve"> to </w:t>
      </w:r>
      <w:r w:rsidR="00232C7E" w:rsidRPr="00933970">
        <w:t xml:space="preserve">decline </w:t>
      </w:r>
      <w:r w:rsidRPr="00933970">
        <w:t xml:space="preserve">between 2015 and 2020 before increasing up to a maximum of approximately 401,000 t in 2030. Disposal through PCSs </w:t>
      </w:r>
      <w:r w:rsidR="008F1DC7" w:rsidRPr="00933970">
        <w:t>was found</w:t>
      </w:r>
      <w:r w:rsidR="00C13D46" w:rsidRPr="00933970">
        <w:t xml:space="preserve"> </w:t>
      </w:r>
      <w:r w:rsidRPr="00933970">
        <w:t>to rise by 11.1% between 2013 and 2030</w:t>
      </w:r>
      <w:r w:rsidR="008F1DC7" w:rsidRPr="00933970">
        <w:t>. H</w:t>
      </w:r>
      <w:r w:rsidRPr="00933970">
        <w:t>owever</w:t>
      </w:r>
      <w:r w:rsidR="0060572A" w:rsidRPr="00BD4C4C">
        <w:t>,</w:t>
      </w:r>
      <w:r w:rsidRPr="00BD4C4C">
        <w:t xml:space="preserve"> WEEE entering this route </w:t>
      </w:r>
      <w:r w:rsidR="008F1DC7" w:rsidRPr="00044F68">
        <w:t xml:space="preserve">was found to decrease </w:t>
      </w:r>
      <w:r w:rsidRPr="00044F68">
        <w:t xml:space="preserve">between 2013 and 2015 </w:t>
      </w:r>
      <w:r w:rsidR="008F1DC7" w:rsidRPr="00044F68">
        <w:t xml:space="preserve">before </w:t>
      </w:r>
      <w:r w:rsidRPr="00044F68">
        <w:t>stead</w:t>
      </w:r>
      <w:r w:rsidR="008F1DC7" w:rsidRPr="00044F68">
        <w:t xml:space="preserve">ily </w:t>
      </w:r>
      <w:r w:rsidRPr="00044F68">
        <w:t>ris</w:t>
      </w:r>
      <w:r w:rsidR="008F1DC7" w:rsidRPr="00044F68">
        <w:t>ing</w:t>
      </w:r>
      <w:r w:rsidRPr="00044F68">
        <w:t xml:space="preserve"> </w:t>
      </w:r>
      <w:r w:rsidR="008F1DC7" w:rsidRPr="00044F68">
        <w:t xml:space="preserve">through until </w:t>
      </w:r>
      <w:r w:rsidRPr="00044F68">
        <w:t xml:space="preserve">2030. Indirect collection of WEEE </w:t>
      </w:r>
      <w:r w:rsidR="008F1DC7" w:rsidRPr="00044F68">
        <w:t xml:space="preserve">was </w:t>
      </w:r>
      <w:r w:rsidRPr="00044F68">
        <w:t xml:space="preserve">the largest route overall and steadily </w:t>
      </w:r>
      <w:r w:rsidR="008F1DC7" w:rsidRPr="00044F68">
        <w:t xml:space="preserve">increased </w:t>
      </w:r>
      <w:r w:rsidRPr="00044F68">
        <w:t>over the time period, with an overall rise of 19.2%. Reuse/resale and asset management routes both increase</w:t>
      </w:r>
      <w:r w:rsidR="008F1DC7" w:rsidRPr="00044F68">
        <w:t>d</w:t>
      </w:r>
      <w:r w:rsidRPr="00C52A97">
        <w:t xml:space="preserve"> steadily over the time period, showing an overall rise </w:t>
      </w:r>
      <w:r w:rsidR="008F1DC7" w:rsidRPr="00C52A97">
        <w:t>of</w:t>
      </w:r>
      <w:r w:rsidR="008F1DC7" w:rsidRPr="00F72246">
        <w:t xml:space="preserve"> </w:t>
      </w:r>
      <w:r w:rsidRPr="00F72246">
        <w:t>17.2% and 29</w:t>
      </w:r>
      <w:r w:rsidR="00E649E9" w:rsidRPr="00F72246">
        <w:t>.0</w:t>
      </w:r>
      <w:r w:rsidRPr="00F72246">
        <w:t>%</w:t>
      </w:r>
      <w:r w:rsidR="0060572A" w:rsidRPr="00F72246">
        <w:t>,</w:t>
      </w:r>
      <w:r w:rsidRPr="00F72246">
        <w:t xml:space="preserve"> respectively. Permanent hoarding of WEEE/UEEE </w:t>
      </w:r>
      <w:r w:rsidR="008F1DC7" w:rsidRPr="00F72246">
        <w:t>were</w:t>
      </w:r>
      <w:r w:rsidR="008F1DC7" w:rsidRPr="00BE24E1">
        <w:t xml:space="preserve"> </w:t>
      </w:r>
      <w:r w:rsidRPr="00BE24E1">
        <w:t xml:space="preserve">predicted to decrease between 2013 and 2030 by 10.2%, </w:t>
      </w:r>
      <w:r w:rsidR="0060572A" w:rsidRPr="00BE24E1">
        <w:t>which</w:t>
      </w:r>
      <w:r w:rsidRPr="00BE24E1">
        <w:t xml:space="preserve"> follows the trend set by the current scenario.</w:t>
      </w:r>
    </w:p>
    <w:p w:rsidR="00EE0EC8" w:rsidRPr="009A73A4" w:rsidRDefault="00EE0EC8">
      <w:pPr>
        <w:pStyle w:val="TEXT"/>
      </w:pPr>
      <w:r w:rsidRPr="00BE24E1">
        <w:t xml:space="preserve">The majority of WEEE/UEEE </w:t>
      </w:r>
      <w:r w:rsidR="0060572A" w:rsidRPr="00BE24E1">
        <w:t>is anticipated to be</w:t>
      </w:r>
      <w:r w:rsidRPr="00BE24E1">
        <w:t xml:space="preserve"> processed via AATF/ATFs or </w:t>
      </w:r>
      <w:r w:rsidR="0060572A" w:rsidRPr="00BE24E1">
        <w:t xml:space="preserve">will </w:t>
      </w:r>
      <w:r w:rsidRPr="00BE24E1">
        <w:t xml:space="preserve">enter final disposal at landfills. The processing of WEEE at AATFs and ATFs </w:t>
      </w:r>
      <w:r w:rsidR="008F1DC7" w:rsidRPr="00BE24E1">
        <w:t xml:space="preserve">increased </w:t>
      </w:r>
      <w:r w:rsidRPr="00BE24E1">
        <w:t>by 6.4% and 19.7%</w:t>
      </w:r>
      <w:r w:rsidR="002A3213" w:rsidRPr="00BE24E1">
        <w:t>,</w:t>
      </w:r>
      <w:r w:rsidR="008F1DC7" w:rsidRPr="00BE24E1">
        <w:t xml:space="preserve"> </w:t>
      </w:r>
      <w:r w:rsidR="00D24738" w:rsidRPr="00BE24E1">
        <w:t>respectively</w:t>
      </w:r>
      <w:r w:rsidR="002A3213" w:rsidRPr="00BE24E1">
        <w:t>,</w:t>
      </w:r>
      <w:r w:rsidR="00D24738" w:rsidRPr="00BE24E1">
        <w:t xml:space="preserve"> </w:t>
      </w:r>
      <w:r w:rsidR="002A3213" w:rsidRPr="00BE24E1">
        <w:t>between</w:t>
      </w:r>
      <w:r w:rsidR="008F1DC7" w:rsidRPr="00BE24E1">
        <w:t xml:space="preserve"> 2010 </w:t>
      </w:r>
      <w:r w:rsidR="002A3213" w:rsidRPr="00BE24E1">
        <w:t xml:space="preserve">and </w:t>
      </w:r>
      <w:r w:rsidR="008F1DC7" w:rsidRPr="00BE24E1">
        <w:t>2030</w:t>
      </w:r>
      <w:r w:rsidRPr="00BE24E1">
        <w:t>. WEEE entering ATFs include</w:t>
      </w:r>
      <w:r w:rsidR="0060572A" w:rsidRPr="00BE24E1">
        <w:t>s</w:t>
      </w:r>
      <w:r w:rsidRPr="00BE24E1">
        <w:t xml:space="preserve"> that entering through the light iron stream. The landfilling of WEEE </w:t>
      </w:r>
      <w:r w:rsidR="008F1DC7" w:rsidRPr="008D5269">
        <w:t xml:space="preserve">was found to </w:t>
      </w:r>
      <w:r w:rsidRPr="008D5269">
        <w:t xml:space="preserve">increase </w:t>
      </w:r>
      <w:r w:rsidR="008F1DC7" w:rsidRPr="008D5269">
        <w:t xml:space="preserve">by </w:t>
      </w:r>
      <w:r w:rsidRPr="008D5269">
        <w:t>3.8%</w:t>
      </w:r>
      <w:r w:rsidR="008F1DC7" w:rsidRPr="008D5269">
        <w:t xml:space="preserve"> over the time period</w:t>
      </w:r>
      <w:r w:rsidRPr="008D5269">
        <w:t xml:space="preserve">, although the quantity entering landfills </w:t>
      </w:r>
      <w:r w:rsidR="008F1DC7" w:rsidRPr="008D5269">
        <w:t xml:space="preserve">was </w:t>
      </w:r>
      <w:r w:rsidR="0041092C" w:rsidRPr="008D5269">
        <w:t xml:space="preserve">found to </w:t>
      </w:r>
      <w:r w:rsidR="008F1DC7" w:rsidRPr="008D5269">
        <w:t xml:space="preserve">decline </w:t>
      </w:r>
      <w:r w:rsidRPr="008D5269">
        <w:t>until 2020</w:t>
      </w:r>
      <w:r w:rsidR="0041092C" w:rsidRPr="008D5269">
        <w:t xml:space="preserve"> before increasing again until </w:t>
      </w:r>
      <w:r w:rsidRPr="008D5269">
        <w:t>2030. Processing through MRF</w:t>
      </w:r>
      <w:r w:rsidR="00D24738" w:rsidRPr="008D5269">
        <w:t>s</w:t>
      </w:r>
      <w:r w:rsidRPr="00297E2E">
        <w:t xml:space="preserve"> and incinerato</w:t>
      </w:r>
      <w:r w:rsidRPr="009A73A4">
        <w:t xml:space="preserve">rs </w:t>
      </w:r>
      <w:r w:rsidR="0041092C" w:rsidRPr="009A73A4">
        <w:t xml:space="preserve">reduced </w:t>
      </w:r>
      <w:r w:rsidRPr="009A73A4">
        <w:t>until 2020</w:t>
      </w:r>
      <w:r w:rsidR="008E6307" w:rsidRPr="009A73A4">
        <w:t>,</w:t>
      </w:r>
      <w:r w:rsidRPr="009A73A4">
        <w:t xml:space="preserve"> </w:t>
      </w:r>
      <w:r w:rsidR="0041092C" w:rsidRPr="009A73A4">
        <w:t xml:space="preserve">before increasing to </w:t>
      </w:r>
      <w:r w:rsidRPr="009A73A4">
        <w:t xml:space="preserve">an overall </w:t>
      </w:r>
      <w:r w:rsidR="0041092C" w:rsidRPr="009A73A4">
        <w:t xml:space="preserve">rate </w:t>
      </w:r>
      <w:r w:rsidRPr="009A73A4">
        <w:t>of 3.8% for both routes.</w:t>
      </w:r>
    </w:p>
    <w:p w:rsidR="0060572A" w:rsidRPr="005839C7" w:rsidRDefault="00EE0EC8">
      <w:pPr>
        <w:pStyle w:val="TEXT"/>
      </w:pPr>
      <w:r w:rsidRPr="009A73A4">
        <w:lastRenderedPageBreak/>
        <w:t xml:space="preserve">Recycling of WEEE/UEEE </w:t>
      </w:r>
      <w:r w:rsidR="0041092C" w:rsidRPr="009A73A4">
        <w:t xml:space="preserve">was </w:t>
      </w:r>
      <w:r w:rsidRPr="009A73A4">
        <w:t xml:space="preserve">predicted to be the </w:t>
      </w:r>
      <w:r w:rsidR="00FD56C8" w:rsidRPr="00097ABF">
        <w:t>dominant</w:t>
      </w:r>
      <w:r w:rsidRPr="00097ABF">
        <w:t xml:space="preserve"> final destination in the UK </w:t>
      </w:r>
      <w:r w:rsidR="00FD56C8" w:rsidRPr="00097ABF">
        <w:t>in the future</w:t>
      </w:r>
      <w:r w:rsidR="0041092C" w:rsidRPr="00097ABF">
        <w:t>,</w:t>
      </w:r>
      <w:r w:rsidR="0075489F" w:rsidRPr="00097ABF">
        <w:t xml:space="preserve"> with </w:t>
      </w:r>
      <w:r w:rsidR="00FD56C8" w:rsidRPr="00097ABF">
        <w:t xml:space="preserve">the proportion of WEEE/UEEE sent for recycling estimated to </w:t>
      </w:r>
      <w:r w:rsidR="0075489F" w:rsidRPr="00097ABF">
        <w:t xml:space="preserve">increase </w:t>
      </w:r>
      <w:r w:rsidR="00FD56C8" w:rsidRPr="00097ABF">
        <w:t xml:space="preserve">by </w:t>
      </w:r>
      <w:r w:rsidR="0075489F" w:rsidRPr="00097ABF">
        <w:t>14</w:t>
      </w:r>
      <w:r w:rsidRPr="00097ABF">
        <w:t>% between 2015 and 2030 across all scenarios (</w:t>
      </w:r>
      <w:r w:rsidR="00EA3643" w:rsidRPr="00097ABF">
        <w:t>Figures</w:t>
      </w:r>
      <w:r w:rsidR="00DC61AD" w:rsidRPr="00097ABF">
        <w:t xml:space="preserve"> 5</w:t>
      </w:r>
      <w:r w:rsidRPr="00097ABF">
        <w:t xml:space="preserve">). The quantity of WEEE recycled in 2030 </w:t>
      </w:r>
      <w:r w:rsidR="0041092C" w:rsidRPr="00097ABF">
        <w:t xml:space="preserve">was </w:t>
      </w:r>
      <w:r w:rsidRPr="00097ABF">
        <w:t xml:space="preserve">predicted to be between approximately 881,069 t and 968,208 t. Landfill </w:t>
      </w:r>
      <w:r w:rsidR="0041092C" w:rsidRPr="00097ABF">
        <w:t xml:space="preserve">was </w:t>
      </w:r>
      <w:r w:rsidR="0060572A" w:rsidRPr="00097ABF">
        <w:t>anticipated as</w:t>
      </w:r>
      <w:r w:rsidRPr="00097ABF">
        <w:t xml:space="preserve"> the second largest route for WEEE in the UK</w:t>
      </w:r>
      <w:r w:rsidR="0041092C" w:rsidRPr="00097ABF">
        <w:t>,</w:t>
      </w:r>
      <w:r w:rsidRPr="00097ABF">
        <w:t xml:space="preserve"> where an overall increase of 10.7% </w:t>
      </w:r>
      <w:r w:rsidR="008E6307" w:rsidRPr="00097ABF">
        <w:t>is</w:t>
      </w:r>
      <w:r w:rsidR="0041092C" w:rsidRPr="00097ABF">
        <w:t xml:space="preserve"> observed </w:t>
      </w:r>
      <w:r w:rsidRPr="00097ABF">
        <w:t xml:space="preserve">across all scenarios over the time period. The amount of WEEE going to landfill </w:t>
      </w:r>
      <w:r w:rsidR="0041092C" w:rsidRPr="00097ABF">
        <w:t xml:space="preserve">was </w:t>
      </w:r>
      <w:r w:rsidRPr="00097ABF">
        <w:t>predicted to fall between 2015 and 2020, it then increases until 2030 whe</w:t>
      </w:r>
      <w:r w:rsidR="0060572A" w:rsidRPr="00097ABF">
        <w:t>n</w:t>
      </w:r>
      <w:r w:rsidRPr="00097ABF">
        <w:t xml:space="preserve"> it </w:t>
      </w:r>
      <w:r w:rsidR="0041092C" w:rsidRPr="00097ABF">
        <w:t xml:space="preserve">was </w:t>
      </w:r>
      <w:r w:rsidRPr="00097ABF">
        <w:t xml:space="preserve">predicted to be between 722,585 t and 794,844 </w:t>
      </w:r>
      <w:r w:rsidRPr="005839C7">
        <w:t xml:space="preserve">t. Reuse in the UK </w:t>
      </w:r>
      <w:r w:rsidR="0041092C" w:rsidRPr="005839C7">
        <w:t xml:space="preserve">was found to rise </w:t>
      </w:r>
      <w:r w:rsidRPr="005839C7">
        <w:t>steadily from 2015 to 2030</w:t>
      </w:r>
      <w:r w:rsidR="0041092C" w:rsidRPr="005839C7">
        <w:t>,</w:t>
      </w:r>
      <w:r w:rsidRPr="005839C7">
        <w:t xml:space="preserve"> with an overall increase of 10% across all scenarios. The quantity of WEEE/UEEE reused in the UK </w:t>
      </w:r>
      <w:r w:rsidR="0041092C" w:rsidRPr="005839C7">
        <w:t xml:space="preserve">was found to reach </w:t>
      </w:r>
      <w:r w:rsidRPr="005839C7">
        <w:t>a high in 2030 of between 144</w:t>
      </w:r>
      <w:r w:rsidR="0060572A" w:rsidRPr="005839C7">
        <w:t>,</w:t>
      </w:r>
      <w:r w:rsidRPr="005839C7">
        <w:t>707 t and 166</w:t>
      </w:r>
      <w:r w:rsidR="0060572A" w:rsidRPr="005839C7">
        <w:t>,</w:t>
      </w:r>
      <w:r w:rsidRPr="005839C7">
        <w:t xml:space="preserve">413 t. The routes of incineration and export </w:t>
      </w:r>
      <w:r w:rsidR="0041092C" w:rsidRPr="005839C7">
        <w:t xml:space="preserve">were </w:t>
      </w:r>
      <w:r w:rsidR="008E6307" w:rsidRPr="005839C7">
        <w:t xml:space="preserve">found </w:t>
      </w:r>
      <w:r w:rsidR="0060572A" w:rsidRPr="005839C7">
        <w:t xml:space="preserve">to be </w:t>
      </w:r>
      <w:r w:rsidRPr="005839C7">
        <w:t xml:space="preserve">minor compared to the </w:t>
      </w:r>
      <w:r w:rsidR="008E6307" w:rsidRPr="005839C7">
        <w:t xml:space="preserve">other </w:t>
      </w:r>
      <w:r w:rsidRPr="005839C7">
        <w:t>three</w:t>
      </w:r>
      <w:r w:rsidR="008E6307" w:rsidRPr="005839C7">
        <w:t xml:space="preserve"> destinations,</w:t>
      </w:r>
      <w:r w:rsidRPr="005839C7">
        <w:t xml:space="preserve"> with approximately 1% of total WEEE </w:t>
      </w:r>
      <w:r w:rsidR="008E6307" w:rsidRPr="005839C7">
        <w:t xml:space="preserve">predicted to be </w:t>
      </w:r>
      <w:r w:rsidRPr="005839C7">
        <w:t>disposed</w:t>
      </w:r>
      <w:r w:rsidR="008E6307" w:rsidRPr="005839C7">
        <w:t xml:space="preserve"> of</w:t>
      </w:r>
      <w:r w:rsidRPr="005839C7">
        <w:t xml:space="preserve"> </w:t>
      </w:r>
      <w:r w:rsidR="008E6307" w:rsidRPr="005839C7">
        <w:t xml:space="preserve">via </w:t>
      </w:r>
      <w:r w:rsidRPr="005839C7">
        <w:t>these destinations.</w:t>
      </w:r>
    </w:p>
    <w:p w:rsidR="00E24A0E" w:rsidRPr="00F54FD3" w:rsidRDefault="00A178DC" w:rsidP="00F54FD3">
      <w:pPr>
        <w:pStyle w:val="Heading3"/>
      </w:pPr>
      <w:r w:rsidRPr="004B1B38">
        <w:t>3</w:t>
      </w:r>
      <w:r w:rsidR="00735191" w:rsidRPr="00F54FD3">
        <w:t>.4</w:t>
      </w:r>
      <w:r w:rsidR="00E24A0E" w:rsidRPr="00F54FD3">
        <w:t xml:space="preserve"> </w:t>
      </w:r>
      <w:r w:rsidR="0013457C" w:rsidRPr="00F54FD3">
        <w:t>Carbon footprint of final disposal destinations</w:t>
      </w:r>
    </w:p>
    <w:p w:rsidR="0030231F" w:rsidRPr="00044F68" w:rsidRDefault="0013457C" w:rsidP="00F54FD3">
      <w:pPr>
        <w:pStyle w:val="TEXT"/>
      </w:pPr>
      <w:r w:rsidRPr="002024C1">
        <w:t xml:space="preserve">The carbon footprint methodology described </w:t>
      </w:r>
      <w:r w:rsidR="000C632C" w:rsidRPr="002024C1">
        <w:t xml:space="preserve">in </w:t>
      </w:r>
      <w:r w:rsidRPr="002024C1">
        <w:t xml:space="preserve">Section 2.8 was applied to the final disposal destination data (reuse, recycle and landfill) obtained by the MFA model (Table. 2). The carbon </w:t>
      </w:r>
      <w:r w:rsidR="008E6307" w:rsidRPr="002024C1">
        <w:t xml:space="preserve">footprint </w:t>
      </w:r>
      <w:r w:rsidR="008E6307" w:rsidRPr="00F668D0">
        <w:t xml:space="preserve">of WEEE disposed of in landfill was </w:t>
      </w:r>
      <w:r w:rsidR="000C632C" w:rsidRPr="00F668D0">
        <w:t>estimated as</w:t>
      </w:r>
      <w:r w:rsidRPr="00F668D0">
        <w:t xml:space="preserve"> 14,711 t CO</w:t>
      </w:r>
      <w:r w:rsidRPr="00F668D0">
        <w:rPr>
          <w:vertAlign w:val="subscript"/>
        </w:rPr>
        <w:t>2</w:t>
      </w:r>
      <w:r w:rsidRPr="00F668D0">
        <w:t>e in 2010 to 17,821 t CO</w:t>
      </w:r>
      <w:r w:rsidRPr="00F668D0">
        <w:rPr>
          <w:vertAlign w:val="subscript"/>
        </w:rPr>
        <w:t>2</w:t>
      </w:r>
      <w:r w:rsidRPr="00F668D0">
        <w:t>e in 2030 (</w:t>
      </w:r>
      <w:r w:rsidR="000C632C" w:rsidRPr="00F668D0">
        <w:t>h</w:t>
      </w:r>
      <w:r w:rsidRPr="00F668D0">
        <w:t>igh scenario). Over the time period</w:t>
      </w:r>
      <w:r w:rsidR="000C632C" w:rsidRPr="00F668D0">
        <w:t>,</w:t>
      </w:r>
      <w:r w:rsidRPr="00F668D0">
        <w:t xml:space="preserve"> an increasing trend in emissions from landfilled WEEE</w:t>
      </w:r>
      <w:r w:rsidR="008E6307" w:rsidRPr="00F668D0">
        <w:t xml:space="preserve"> is observed</w:t>
      </w:r>
      <w:r w:rsidRPr="00F668D0">
        <w:t xml:space="preserve">, with minor reductions between 2010-2011 and 2015-2020. The carbon </w:t>
      </w:r>
      <w:r w:rsidR="008E6307" w:rsidRPr="00F668D0">
        <w:t xml:space="preserve">footprint </w:t>
      </w:r>
      <w:r w:rsidRPr="00F668D0">
        <w:t>calculated for the recycling of WEEE show</w:t>
      </w:r>
      <w:r w:rsidR="008E6307" w:rsidRPr="00F668D0">
        <w:t>ed</w:t>
      </w:r>
      <w:r w:rsidRPr="009E32AC">
        <w:t xml:space="preserve"> a carbon saving of -682,582 t CO</w:t>
      </w:r>
      <w:r w:rsidRPr="009E32AC">
        <w:rPr>
          <w:vertAlign w:val="subscript"/>
        </w:rPr>
        <w:t>2</w:t>
      </w:r>
      <w:r w:rsidRPr="00933970">
        <w:t>e in 2010</w:t>
      </w:r>
      <w:r w:rsidR="008E6307" w:rsidRPr="00933970">
        <w:t>.</w:t>
      </w:r>
      <w:r w:rsidRPr="00933970">
        <w:t xml:space="preserve"> </w:t>
      </w:r>
      <w:r w:rsidR="008E6307" w:rsidRPr="00933970">
        <w:t xml:space="preserve">This rose </w:t>
      </w:r>
      <w:r w:rsidRPr="00933970">
        <w:t>steadily to a maximum of -818,925 t CO</w:t>
      </w:r>
      <w:r w:rsidRPr="00933970">
        <w:rPr>
          <w:vertAlign w:val="subscript"/>
        </w:rPr>
        <w:t>2</w:t>
      </w:r>
      <w:r w:rsidRPr="00933970">
        <w:t xml:space="preserve">e (high scenario) in 2030. </w:t>
      </w:r>
      <w:r w:rsidR="00CF0FE8" w:rsidRPr="00933970">
        <w:t>B</w:t>
      </w:r>
      <w:r w:rsidRPr="00933970">
        <w:t>etween 2013 and 2015 there is a reduction in the carbon saving</w:t>
      </w:r>
      <w:r w:rsidR="00CF0FE8" w:rsidRPr="00933970">
        <w:t>s</w:t>
      </w:r>
      <w:r w:rsidRPr="00933970">
        <w:t xml:space="preserve"> over all three scenarios. The reuse of WEEE/UEEE within the UK showed a carbon saving of between -149,533 t in 2010 and -191,150 t CO</w:t>
      </w:r>
      <w:r w:rsidRPr="00933970">
        <w:rPr>
          <w:vertAlign w:val="subscript"/>
        </w:rPr>
        <w:t>2</w:t>
      </w:r>
      <w:r w:rsidRPr="00933970">
        <w:t>e in 2030. The carbon emissions</w:t>
      </w:r>
      <w:r w:rsidR="008E6307" w:rsidRPr="00933970">
        <w:t xml:space="preserve"> and </w:t>
      </w:r>
      <w:r w:rsidRPr="00933970">
        <w:t>savings associated with the major final disposal destinations show the largest savings when WEEE is either reused or recycled</w:t>
      </w:r>
      <w:r w:rsidR="008E6307" w:rsidRPr="00933970">
        <w:t>,</w:t>
      </w:r>
      <w:r w:rsidRPr="00933970">
        <w:t xml:space="preserve"> with a saving of -1.14 t CO</w:t>
      </w:r>
      <w:r w:rsidRPr="00933970">
        <w:rPr>
          <w:vertAlign w:val="subscript"/>
        </w:rPr>
        <w:t>2</w:t>
      </w:r>
      <w:r w:rsidRPr="00933970">
        <w:t>e and -0.85 t CO</w:t>
      </w:r>
      <w:r w:rsidRPr="00933970">
        <w:rPr>
          <w:vertAlign w:val="subscript"/>
        </w:rPr>
        <w:t>2</w:t>
      </w:r>
      <w:r w:rsidRPr="00933970">
        <w:t xml:space="preserve">e </w:t>
      </w:r>
      <w:r w:rsidR="008E6307" w:rsidRPr="00933970">
        <w:t xml:space="preserve">found </w:t>
      </w:r>
      <w:r w:rsidRPr="00933970">
        <w:t>per tonne of WEE</w:t>
      </w:r>
      <w:r w:rsidRPr="00BD4C4C">
        <w:t>E/UEEE</w:t>
      </w:r>
      <w:r w:rsidR="008E6307" w:rsidRPr="00BD4C4C">
        <w:t>,</w:t>
      </w:r>
      <w:r w:rsidRPr="00044F68">
        <w:t xml:space="preserve"> res</w:t>
      </w:r>
      <w:r w:rsidR="00547BD1" w:rsidRPr="00044F68">
        <w:t xml:space="preserve">pectively. </w:t>
      </w:r>
      <w:r w:rsidR="00547BD1" w:rsidRPr="00044F68">
        <w:lastRenderedPageBreak/>
        <w:t>Landfilling of one</w:t>
      </w:r>
      <w:r w:rsidRPr="00044F68">
        <w:t xml:space="preserve"> t</w:t>
      </w:r>
      <w:r w:rsidR="00547BD1" w:rsidRPr="00044F68">
        <w:t>onne</w:t>
      </w:r>
      <w:r w:rsidRPr="00044F68">
        <w:t xml:space="preserve"> of WEEE had a </w:t>
      </w:r>
      <w:r w:rsidR="008E6307" w:rsidRPr="00044F68">
        <w:t xml:space="preserve">carbon footprint </w:t>
      </w:r>
      <w:r w:rsidRPr="00044F68">
        <w:t>of 0.02 t CO</w:t>
      </w:r>
      <w:r w:rsidRPr="00044F68">
        <w:rPr>
          <w:vertAlign w:val="subscript"/>
        </w:rPr>
        <w:t>2</w:t>
      </w:r>
      <w:r w:rsidRPr="00044F68">
        <w:t>e.</w:t>
      </w:r>
    </w:p>
    <w:p w:rsidR="0030231F" w:rsidRPr="00044F68" w:rsidRDefault="00927C44" w:rsidP="00F54FD3">
      <w:pPr>
        <w:pStyle w:val="Heading2"/>
      </w:pPr>
      <w:r w:rsidRPr="00044F68">
        <w:t>4</w:t>
      </w:r>
      <w:r w:rsidR="0030231F" w:rsidRPr="00044F68">
        <w:t>. DISCUSSION</w:t>
      </w:r>
    </w:p>
    <w:p w:rsidR="00D37B44" w:rsidRPr="002024C1" w:rsidRDefault="00927C44" w:rsidP="00F54FD3">
      <w:pPr>
        <w:pStyle w:val="Heading3"/>
      </w:pPr>
      <w:r w:rsidRPr="002024C1">
        <w:t>4</w:t>
      </w:r>
      <w:r w:rsidR="00D37B44" w:rsidRPr="002024C1">
        <w:t>.</w:t>
      </w:r>
      <w:r w:rsidR="007364B1" w:rsidRPr="002024C1">
        <w:t>1</w:t>
      </w:r>
      <w:r w:rsidR="00D37B44" w:rsidRPr="002024C1">
        <w:t xml:space="preserve"> </w:t>
      </w:r>
      <w:r w:rsidRPr="002024C1">
        <w:t>Recycling in the UK</w:t>
      </w:r>
    </w:p>
    <w:p w:rsidR="003964E9" w:rsidRPr="00933970" w:rsidRDefault="00FF653E" w:rsidP="00F54FD3">
      <w:pPr>
        <w:pStyle w:val="TEXT"/>
      </w:pPr>
      <w:r w:rsidRPr="002024C1">
        <w:t>The recycling rates f</w:t>
      </w:r>
      <w:r w:rsidR="00923EAB" w:rsidRPr="002024C1">
        <w:t>or</w:t>
      </w:r>
      <w:r w:rsidRPr="002024C1">
        <w:t xml:space="preserve"> WEEE were found to vary significantly depending on whether WEEE from the light iron waste stream </w:t>
      </w:r>
      <w:r w:rsidR="00923EAB" w:rsidRPr="002024C1">
        <w:t>is</w:t>
      </w:r>
      <w:r w:rsidRPr="002024C1">
        <w:t xml:space="preserve"> </w:t>
      </w:r>
      <w:r w:rsidRPr="00F668D0">
        <w:t xml:space="preserve">included in the calculations. </w:t>
      </w:r>
      <w:r w:rsidR="00923EAB" w:rsidRPr="00F668D0">
        <w:t xml:space="preserve">The light iron estimate presented in this study is within the range reported by a WRAP (2014) study that estimates that between 381,000 and 597,000 t (95% confidence level) of large domestic appliances could be present within the UK light iron stream. </w:t>
      </w:r>
      <w:r w:rsidRPr="00F668D0">
        <w:t>When WEEE from light iron were excluded, which is in line with the approach taken to calculate the official UK WEEE recycling rate, the recycling rate was found to be insufficient for the UK to reach its EU target for 2015. W</w:t>
      </w:r>
      <w:r w:rsidRPr="009E32AC">
        <w:t>he</w:t>
      </w:r>
      <w:r w:rsidR="00923EAB" w:rsidRPr="009E32AC">
        <w:t>n</w:t>
      </w:r>
      <w:r w:rsidRPr="00933970">
        <w:t xml:space="preserve"> WEEE from light iron were included, the recycling rate was found almost double and far-exceeded the requirements of the EU target Thus, the inclusion of WEEE present in the light iron stream [in the official calculations of recycling rate] could enable the UK to meet its recycling targets.</w:t>
      </w:r>
    </w:p>
    <w:p w:rsidR="00D37B44" w:rsidRPr="00F54FD3" w:rsidRDefault="00847E09" w:rsidP="00F54FD3">
      <w:pPr>
        <w:pStyle w:val="Heading2"/>
      </w:pPr>
      <w:r w:rsidRPr="004B1B38">
        <w:t>4</w:t>
      </w:r>
      <w:r w:rsidR="001C5A36" w:rsidRPr="00F54FD3">
        <w:t>.2</w:t>
      </w:r>
      <w:r w:rsidR="00D37B44" w:rsidRPr="00F54FD3">
        <w:t xml:space="preserve"> </w:t>
      </w:r>
      <w:r w:rsidRPr="00F54FD3">
        <w:t>Collection of WEEE in the UK</w:t>
      </w:r>
    </w:p>
    <w:p w:rsidR="00847E09" w:rsidRPr="004B1B38" w:rsidRDefault="00847E09" w:rsidP="00F54FD3">
      <w:pPr>
        <w:pStyle w:val="TEXT"/>
      </w:pPr>
      <w:r w:rsidRPr="002024C1">
        <w:t xml:space="preserve">The WEEE Directive 2012/19/EU has set legally binding targets for all EU </w:t>
      </w:r>
      <w:r w:rsidR="009659AB" w:rsidRPr="002024C1">
        <w:t>MS</w:t>
      </w:r>
      <w:r w:rsidRPr="002024C1">
        <w:t xml:space="preserve"> for the collection of WEEE. By 2016</w:t>
      </w:r>
      <w:r w:rsidR="007660B5" w:rsidRPr="002024C1">
        <w:t>,</w:t>
      </w:r>
      <w:r w:rsidRPr="002024C1">
        <w:t xml:space="preserve"> 45% of the average weight of EEE placed on the UK market in the three preced</w:t>
      </w:r>
      <w:r w:rsidRPr="00F668D0">
        <w:t>ing years must to be collected and by 2019 this rises to 65% or 85% of the total WEEE generated by each member state (EEA, 2013). This study presented a collection rate for 2013 of approximately 33%. The collection rate for 2015 is predicted to be 34.5%</w:t>
      </w:r>
      <w:r w:rsidR="009659AB" w:rsidRPr="00F668D0">
        <w:t>,</w:t>
      </w:r>
      <w:r w:rsidRPr="00F668D0">
        <w:t xml:space="preserve"> meaning an increase of over 10% is needed to reach the 2016 target of 45%. By 2020</w:t>
      </w:r>
      <w:r w:rsidR="009659AB" w:rsidRPr="00F668D0">
        <w:t>,</w:t>
      </w:r>
      <w:r w:rsidRPr="00F668D0">
        <w:t xml:space="preserve"> the collection rate </w:t>
      </w:r>
      <w:r w:rsidR="009659AB" w:rsidRPr="00F668D0">
        <w:t>i</w:t>
      </w:r>
      <w:r w:rsidRPr="00F668D0">
        <w:t>s predicted to reduce to 29.7% of the total WEEE generated in that year</w:t>
      </w:r>
      <w:r w:rsidR="009659AB" w:rsidRPr="00F668D0">
        <w:t>, f</w:t>
      </w:r>
      <w:r w:rsidRPr="00F668D0">
        <w:t xml:space="preserve">ar below the required rate of 85% of WEEE generated in 2019. WEEE collected indirectly within the UK </w:t>
      </w:r>
      <w:r w:rsidR="00503C2D" w:rsidRPr="00F668D0">
        <w:t xml:space="preserve">was </w:t>
      </w:r>
      <w:r w:rsidRPr="00F668D0">
        <w:t>assumed to be processed through ATFs. Thus</w:t>
      </w:r>
      <w:r w:rsidR="00503C2D" w:rsidRPr="00F668D0">
        <w:t>,</w:t>
      </w:r>
      <w:r w:rsidRPr="009E32AC">
        <w:t xml:space="preserve"> if this collection of WEEE can be formalised and quantified to </w:t>
      </w:r>
      <w:r w:rsidRPr="009E32AC">
        <w:lastRenderedPageBreak/>
        <w:t>meet EU collection criteria, it could be used as part of the official UK collection rate.  If this was utilised it could increase collection rates to 71.9% and 75.7% for 2013 and 2015</w:t>
      </w:r>
      <w:r w:rsidR="009659AB" w:rsidRPr="00933970">
        <w:t>,</w:t>
      </w:r>
      <w:r w:rsidRPr="00933970">
        <w:t xml:space="preserve"> respectively</w:t>
      </w:r>
      <w:r w:rsidR="009659AB" w:rsidRPr="00933970">
        <w:t>,</w:t>
      </w:r>
      <w:r w:rsidRPr="00933970">
        <w:t xml:space="preserve"> thus achieving the 2016 EU target. The 2019 target would not be achieved as 66.6% of the total WEEE/UEEE arising in 2020 </w:t>
      </w:r>
      <w:r w:rsidR="009659AB" w:rsidRPr="00933970">
        <w:t>i</w:t>
      </w:r>
      <w:r w:rsidRPr="00933970">
        <w:t>s predicted to be collected</w:t>
      </w:r>
      <w:r w:rsidR="009659AB" w:rsidRPr="00933970">
        <w:t>, a</w:t>
      </w:r>
      <w:r w:rsidRPr="00933970">
        <w:t>lthough this would see a large improvement on collection rates and may exceed the collection target if compared to the average weight of EEE placed on the market for the three preceding years.</w:t>
      </w:r>
    </w:p>
    <w:p w:rsidR="00D37B44" w:rsidRPr="00F54FD3" w:rsidRDefault="00847E09" w:rsidP="00F54FD3">
      <w:r w:rsidRPr="002024C1">
        <w:t>To achieve future targets</w:t>
      </w:r>
      <w:r w:rsidR="009659AB" w:rsidRPr="002024C1">
        <w:t>,</w:t>
      </w:r>
      <w:r w:rsidRPr="002024C1">
        <w:t xml:space="preserve"> significant changes to collection schemes are needed to make them more efficient and economically viable. Kerbside collections can be utilised to collect WEEE/UEEE from households</w:t>
      </w:r>
      <w:r w:rsidR="009659AB" w:rsidRPr="002024C1">
        <w:t>;</w:t>
      </w:r>
      <w:r w:rsidRPr="002024C1">
        <w:t xml:space="preserve"> these schemes have been trialled and implemented within several local authorities in the UK. Costs </w:t>
      </w:r>
      <w:r w:rsidR="009659AB" w:rsidRPr="00F668D0">
        <w:t>can</w:t>
      </w:r>
      <w:r w:rsidRPr="00F668D0">
        <w:t xml:space="preserve"> be kept acceptably low and are partially recovered </w:t>
      </w:r>
      <w:r w:rsidR="009659AB" w:rsidRPr="00F668D0">
        <w:t>via</w:t>
      </w:r>
      <w:r w:rsidRPr="00F668D0">
        <w:t xml:space="preserve"> selling WEEE to reprocessors and recycling evidence notes as part of the compliance schemes (Messenger, 2013). Finland has a WEEE drop</w:t>
      </w:r>
      <w:r w:rsidR="009659AB" w:rsidRPr="00F668D0">
        <w:t>-</w:t>
      </w:r>
      <w:r w:rsidRPr="00F668D0">
        <w:t>off centre network throughout the country. In rural locations these collections are mobile and collect typically once or twice a year. These permanent collection points are seen in many European countries</w:t>
      </w:r>
      <w:r w:rsidR="009659AB" w:rsidRPr="00F668D0">
        <w:t>, including</w:t>
      </w:r>
      <w:r w:rsidRPr="00F668D0">
        <w:t xml:space="preserve"> Italy, Denmark and Sweden. </w:t>
      </w:r>
      <w:r w:rsidR="009659AB" w:rsidRPr="00F668D0">
        <w:t xml:space="preserve">However, </w:t>
      </w:r>
      <w:r w:rsidRPr="00F668D0">
        <w:t xml:space="preserve">the efficiency of the collection point network can be compromised by long </w:t>
      </w:r>
      <w:r w:rsidRPr="004D6E5B">
        <w:t>transportation distances and low collection quantities from certain areas (Yla Mella, 2014). Take-back schemes for small</w:t>
      </w:r>
      <w:r w:rsidRPr="00F668D0">
        <w:t xml:space="preserve"> WEEE such as mobile phones should look to place collection points near high traffic areas (libraries, shopping centres) and manufacturers should consider being more visibly involved in take-back schemes (Ongondo &amp; Williams, 2011). In order to maximise collection efficiency</w:t>
      </w:r>
      <w:r w:rsidR="009659AB" w:rsidRPr="009E32AC">
        <w:t>,</w:t>
      </w:r>
      <w:r w:rsidRPr="009E32AC">
        <w:t xml:space="preserve"> a collection rate of 3-6 months from households would be needed in the UK to maximise collections and user awareness of such schemes is essential (WRAP, 2009). Collection schemes should be carefully planned prior to commencement as collection and transportation costs are major factors in determining the success of any scheme. The number and placement of collection centres is key to their design (Gome</w:t>
      </w:r>
      <w:r w:rsidRPr="00933970">
        <w:t xml:space="preserve">s </w:t>
      </w:r>
      <w:r w:rsidR="00A219A9" w:rsidRPr="00933970">
        <w:t>et al.</w:t>
      </w:r>
      <w:r w:rsidRPr="00933970">
        <w:t>, 2011).</w:t>
      </w:r>
    </w:p>
    <w:p w:rsidR="00D37B44" w:rsidRPr="00F54FD3" w:rsidRDefault="007F459D" w:rsidP="00F54FD3">
      <w:pPr>
        <w:pStyle w:val="Heading3"/>
      </w:pPr>
      <w:r w:rsidRPr="004B1B38">
        <w:lastRenderedPageBreak/>
        <w:t>4</w:t>
      </w:r>
      <w:r w:rsidR="00D37B44" w:rsidRPr="00F54FD3">
        <w:t xml:space="preserve">.3 </w:t>
      </w:r>
      <w:r w:rsidR="008E513B" w:rsidRPr="00F54FD3">
        <w:t>Reuse of WEEE in the UK</w:t>
      </w:r>
    </w:p>
    <w:p w:rsidR="008E513B" w:rsidRPr="004B1B38" w:rsidRDefault="008E513B" w:rsidP="00F54FD3">
      <w:pPr>
        <w:pStyle w:val="TEXT"/>
      </w:pPr>
      <w:r w:rsidRPr="002024C1">
        <w:t xml:space="preserve">The amount of WEEE/UEEE reused in the UK </w:t>
      </w:r>
      <w:r w:rsidR="00503C2D" w:rsidRPr="002024C1">
        <w:t xml:space="preserve">was </w:t>
      </w:r>
      <w:r w:rsidRPr="002024C1">
        <w:t xml:space="preserve">estimated </w:t>
      </w:r>
      <w:r w:rsidR="00503C2D" w:rsidRPr="002024C1">
        <w:t xml:space="preserve">here </w:t>
      </w:r>
      <w:r w:rsidRPr="002024C1">
        <w:t>to be between 7-8% of the total WEEE generated annually. Reuse of WEEE/UEEE includes that reused formally from processing facilities and that informally reused through routes such as car boot sales and internet sales. Reuse is the preferred final destination set out by the waste hierarchy and is placed above to recycling (EEA, 2013). This figure is significantly lower than both recycling and landfilling,</w:t>
      </w:r>
      <w:r w:rsidRPr="00F668D0">
        <w:t xml:space="preserve"> thus would need improving to achieve EU future targets for reuse and recycling (EEA, 2013).</w:t>
      </w:r>
    </w:p>
    <w:p w:rsidR="00A178DC" w:rsidRPr="00F54FD3" w:rsidRDefault="008E513B">
      <w:pPr>
        <w:pStyle w:val="TEXT"/>
      </w:pPr>
      <w:r w:rsidRPr="002024C1">
        <w:t>Maximising reuse of WEEE/UEEE in the UK should be seen as a priority for future management practices as it is seen as the best option in both the WEEE directive 2012/19/EU and the waste hierarchy. Reuse allows the extension of usable product lifespans which results in the prevention of WEEE and the subsequent treatment and disposal (Cui &amp; Roven, 2011). The Reuse of WEEE allows the potential to displace new products and virgin materials from the market</w:t>
      </w:r>
      <w:r w:rsidR="00D15520" w:rsidRPr="002024C1">
        <w:t>;</w:t>
      </w:r>
      <w:r w:rsidRPr="00F668D0">
        <w:t xml:space="preserve"> this is seen as one of the largest environment</w:t>
      </w:r>
      <w:r w:rsidR="00D24738" w:rsidRPr="00F668D0">
        <w:t>al</w:t>
      </w:r>
      <w:r w:rsidR="004D2194" w:rsidRPr="00F668D0">
        <w:t xml:space="preserve"> </w:t>
      </w:r>
      <w:r w:rsidRPr="00F668D0">
        <w:t>benefits. Profitability of reuse schemes is seen as a primary driver for the collection of small WEEE</w:t>
      </w:r>
      <w:r w:rsidR="004A01E1">
        <w:t>,</w:t>
      </w:r>
      <w:r w:rsidRPr="00F668D0">
        <w:t xml:space="preserve"> such as mobile phones (Geyer &amp; Blass, 2010). Collection schemes should aim to promote the reuse of WEEE/UEEE. Collection and storage logisti</w:t>
      </w:r>
      <w:r w:rsidR="00D15520" w:rsidRPr="00F668D0">
        <w:t>cs can a</w:t>
      </w:r>
      <w:r w:rsidRPr="00F668D0">
        <w:t xml:space="preserve">ffect the reusability of items, for example WEEE/UEEE should be stored in dry areas in adequate containers and handled with care to reduce potential damage (Gamberini </w:t>
      </w:r>
      <w:r w:rsidR="00A219A9" w:rsidRPr="00F668D0">
        <w:t>et al.</w:t>
      </w:r>
      <w:r w:rsidRPr="00F668D0">
        <w:t>, 2009). This is particularly relevant at HWRC sites, bulky waste and kerbside collections. Collection from inside homes should be implemented where possible to increase reuse potential of items and HWRC operatives should actively segregate WEEE/UEEE for reuse (WRAP, 2010).</w:t>
      </w:r>
    </w:p>
    <w:p w:rsidR="00A178DC" w:rsidRPr="00F54FD3" w:rsidRDefault="009E09C9" w:rsidP="00F54FD3">
      <w:pPr>
        <w:pStyle w:val="Heading3"/>
      </w:pPr>
      <w:r w:rsidRPr="004B1B38">
        <w:t>4</w:t>
      </w:r>
      <w:r w:rsidR="00A178DC" w:rsidRPr="00F54FD3">
        <w:t>.</w:t>
      </w:r>
      <w:r w:rsidRPr="00F54FD3">
        <w:t>4</w:t>
      </w:r>
      <w:r w:rsidR="00A178DC" w:rsidRPr="00F54FD3">
        <w:t xml:space="preserve"> </w:t>
      </w:r>
      <w:r w:rsidR="00822531" w:rsidRPr="00F54FD3">
        <w:t>WEEE in the residual waste stream</w:t>
      </w:r>
    </w:p>
    <w:p w:rsidR="00822531" w:rsidRPr="004B1B38" w:rsidRDefault="00822531" w:rsidP="00F54FD3">
      <w:pPr>
        <w:pStyle w:val="TEXT"/>
      </w:pPr>
      <w:r w:rsidRPr="002024C1">
        <w:t xml:space="preserve">The flows of WEEE into the UK residual waste stream ranged between 25 and 29% of the total WEEE disposed of annually. These figures compare </w:t>
      </w:r>
      <w:r w:rsidR="00D15520" w:rsidRPr="002024C1">
        <w:t>well with</w:t>
      </w:r>
      <w:r w:rsidRPr="002024C1">
        <w:t xml:space="preserve"> studies by DEFRA (2013) and </w:t>
      </w:r>
      <w:r w:rsidRPr="002024C1">
        <w:lastRenderedPageBreak/>
        <w:t>estimates for WEEE in m</w:t>
      </w:r>
      <w:r w:rsidRPr="00F668D0">
        <w:t>unicipal solid waste (MSW) by Parfitt and Bridgewater (20</w:t>
      </w:r>
      <w:r w:rsidR="00F25003" w:rsidRPr="00F668D0">
        <w:t>11</w:t>
      </w:r>
      <w:r w:rsidRPr="00F668D0">
        <w:t xml:space="preserve">). The flow of WEEE into this waste stream represents a significant loss of resources that could otherwise be recovered (Gregson </w:t>
      </w:r>
      <w:r w:rsidR="00A219A9" w:rsidRPr="00F668D0">
        <w:t>et al.</w:t>
      </w:r>
      <w:r w:rsidRPr="00F668D0">
        <w:t>, 2013).</w:t>
      </w:r>
    </w:p>
    <w:p w:rsidR="00A178DC" w:rsidRPr="00F54FD3" w:rsidRDefault="00822531">
      <w:pPr>
        <w:pStyle w:val="TEXT"/>
      </w:pPr>
      <w:r w:rsidRPr="002024C1">
        <w:t>The majority of WEEE found in residual waste is small</w:t>
      </w:r>
      <w:r w:rsidR="004D6E5B">
        <w:t xml:space="preserve"> household</w:t>
      </w:r>
      <w:r w:rsidRPr="002024C1">
        <w:t xml:space="preserve"> WEEE</w:t>
      </w:r>
      <w:r w:rsidR="000C619C" w:rsidRPr="002024C1">
        <w:t>. L</w:t>
      </w:r>
      <w:r w:rsidRPr="002024C1">
        <w:t>arger items are generally not placed in residual waste</w:t>
      </w:r>
      <w:r w:rsidR="000C619C" w:rsidRPr="00F668D0">
        <w:t xml:space="preserve"> due to the limited size of </w:t>
      </w:r>
      <w:r w:rsidRPr="00F668D0">
        <w:t xml:space="preserve">household waste containers (Bigum </w:t>
      </w:r>
      <w:r w:rsidR="00A219A9" w:rsidRPr="00F668D0">
        <w:t>et al.</w:t>
      </w:r>
      <w:r w:rsidRPr="00F668D0">
        <w:t xml:space="preserve">, 2013). Kerbside collections can effectively divert </w:t>
      </w:r>
      <w:r w:rsidR="004D6E5B">
        <w:t>small household WEEE</w:t>
      </w:r>
      <w:r w:rsidR="004D6E5B" w:rsidRPr="00F668D0">
        <w:t xml:space="preserve"> </w:t>
      </w:r>
      <w:r w:rsidRPr="00F668D0">
        <w:t>from residual waste</w:t>
      </w:r>
      <w:r w:rsidR="00D15520" w:rsidRPr="00F668D0">
        <w:t>;</w:t>
      </w:r>
      <w:r w:rsidRPr="00F668D0">
        <w:t xml:space="preserve"> however</w:t>
      </w:r>
      <w:r w:rsidR="00D15520" w:rsidRPr="00F668D0">
        <w:t>,</w:t>
      </w:r>
      <w:r w:rsidRPr="00F668D0">
        <w:t xml:space="preserve"> reuse of items </w:t>
      </w:r>
      <w:r w:rsidR="000C619C" w:rsidRPr="00F668D0">
        <w:t xml:space="preserve">can be </w:t>
      </w:r>
      <w:r w:rsidR="00D15520" w:rsidRPr="00F668D0">
        <w:t>a</w:t>
      </w:r>
      <w:r w:rsidRPr="00F668D0">
        <w:t xml:space="preserve">ffected by collection means due to contamination and damage in transport (WRAP, 2009). Raising the awareness of collection schemes and the environmental implications of disposal into residual waste to consumers is key when looking to improve the recovery rates of WEEE (Yla-Mella </w:t>
      </w:r>
      <w:r w:rsidR="00A219A9" w:rsidRPr="00F668D0">
        <w:t>et al.</w:t>
      </w:r>
      <w:r w:rsidRPr="009E32AC">
        <w:t xml:space="preserve">, 2014). It should be noted </w:t>
      </w:r>
      <w:r w:rsidR="000C619C" w:rsidRPr="009E32AC">
        <w:t xml:space="preserve">that </w:t>
      </w:r>
      <w:r w:rsidRPr="009E32AC">
        <w:t>by improving collection, recycling and reuse rates of WEEE the amount entering the residual waste stream and landfill can be reduced</w:t>
      </w:r>
      <w:r w:rsidR="004D7B59" w:rsidRPr="00933970">
        <w:t xml:space="preserve"> and hence so could associated carbon emissions</w:t>
      </w:r>
      <w:r w:rsidRPr="00933970">
        <w:t>.</w:t>
      </w:r>
    </w:p>
    <w:p w:rsidR="00A178DC" w:rsidRPr="00F54FD3" w:rsidRDefault="00627C8A" w:rsidP="00F54FD3">
      <w:pPr>
        <w:pStyle w:val="Heading3"/>
      </w:pPr>
      <w:r w:rsidRPr="004B1B38">
        <w:t>4</w:t>
      </w:r>
      <w:r w:rsidR="00A178DC" w:rsidRPr="00F54FD3">
        <w:t>.</w:t>
      </w:r>
      <w:r w:rsidRPr="00F54FD3">
        <w:t>5</w:t>
      </w:r>
      <w:r w:rsidR="00A178DC" w:rsidRPr="00F54FD3">
        <w:t xml:space="preserve"> </w:t>
      </w:r>
      <w:r w:rsidRPr="00F54FD3">
        <w:t>WEEE entering landfill</w:t>
      </w:r>
    </w:p>
    <w:p w:rsidR="00A178DC" w:rsidRPr="004B1B38" w:rsidRDefault="00627C8A" w:rsidP="00F54FD3">
      <w:pPr>
        <w:pStyle w:val="TEXT"/>
      </w:pPr>
      <w:r w:rsidRPr="002024C1">
        <w:t xml:space="preserve">A primary aim of European waste policy is to reduce the amount of waste entering landfills throughout Europe (EEA, 2013). WEEE disposal into landfill is a major flow within the UK that needs to be reduced in the future as the generation of WEEE increases. It also represents the priority action of the waste hierarchy where landfilling should be seen as the least favourable disposal method (Gregson </w:t>
      </w:r>
      <w:r w:rsidR="00A219A9" w:rsidRPr="00F668D0">
        <w:t>et al.</w:t>
      </w:r>
      <w:r w:rsidRPr="00F668D0">
        <w:t>, 2013). Currently in the UK</w:t>
      </w:r>
      <w:r w:rsidR="00D15520" w:rsidRPr="00F668D0">
        <w:t>,</w:t>
      </w:r>
      <w:r w:rsidRPr="00F668D0">
        <w:t xml:space="preserve"> landfill tax is used as an economic instrument to reduce the amount of waste placed in landfill</w:t>
      </w:r>
      <w:r w:rsidR="00D15520" w:rsidRPr="00F668D0">
        <w:t>;</w:t>
      </w:r>
      <w:r w:rsidRPr="00F668D0">
        <w:t xml:space="preserve"> these taxes </w:t>
      </w:r>
      <w:r w:rsidR="00D15520" w:rsidRPr="00F668D0">
        <w:t>c</w:t>
      </w:r>
      <w:r w:rsidRPr="00F668D0">
        <w:t xml:space="preserve">ould be revised according to social costs and </w:t>
      </w:r>
      <w:r w:rsidR="00D15520" w:rsidRPr="00F668D0">
        <w:t>c</w:t>
      </w:r>
      <w:r w:rsidRPr="00F668D0">
        <w:t xml:space="preserve">ould be coupled with stricter waste management strategies and waste prevention mechanisms (Mazzanti </w:t>
      </w:r>
      <w:r w:rsidR="00A219A9" w:rsidRPr="00F668D0">
        <w:t>et al.</w:t>
      </w:r>
      <w:r w:rsidRPr="00F668D0">
        <w:t xml:space="preserve">, 2013).WEEE is generally composed of non-biodegradable material, thus the associated </w:t>
      </w:r>
      <w:r w:rsidR="000C619C" w:rsidRPr="009E32AC">
        <w:t xml:space="preserve">GHG </w:t>
      </w:r>
      <w:r w:rsidRPr="009E32AC">
        <w:t xml:space="preserve">emissions from landfill are from the loss of potential resources for reuse and recycling, resulting in the need to </w:t>
      </w:r>
      <w:r w:rsidR="000C619C" w:rsidRPr="00933970">
        <w:t xml:space="preserve">extract and process additional </w:t>
      </w:r>
      <w:r w:rsidRPr="00933970">
        <w:lastRenderedPageBreak/>
        <w:t>virgin materials (W</w:t>
      </w:r>
      <w:r w:rsidR="00D15520" w:rsidRPr="00933970">
        <w:t>RAP</w:t>
      </w:r>
      <w:r w:rsidRPr="00933970">
        <w:t>, 2012b). W</w:t>
      </w:r>
      <w:r w:rsidR="00D15520" w:rsidRPr="00933970">
        <w:t>RAP</w:t>
      </w:r>
      <w:r w:rsidRPr="00933970">
        <w:t xml:space="preserve"> (2012b) found </w:t>
      </w:r>
      <w:r w:rsidR="000C619C" w:rsidRPr="00933970">
        <w:t xml:space="preserve">that </w:t>
      </w:r>
      <w:r w:rsidRPr="00933970">
        <w:t xml:space="preserve">a landfill ban on WEEE would not be cost effective in the UK due to current high collection/treatment costs, and state that this cost would have to fall by nearly 25% for the ban to be </w:t>
      </w:r>
      <w:r w:rsidR="000C619C" w:rsidRPr="00933970">
        <w:t xml:space="preserve">economically </w:t>
      </w:r>
      <w:r w:rsidRPr="00933970">
        <w:t xml:space="preserve">beneficial. An issue that has arisen from implementing landfill tax and bans is transboundary shipment of waste to countries where disposal is less costly, if these policy instruments are utilised effectively there would need to be tighter controls on waste shipments (Scharff </w:t>
      </w:r>
      <w:r w:rsidR="00A219A9" w:rsidRPr="00933970">
        <w:t>et al.</w:t>
      </w:r>
      <w:r w:rsidRPr="00933970">
        <w:t>, 2014).</w:t>
      </w:r>
    </w:p>
    <w:p w:rsidR="00A178DC" w:rsidRPr="00F54FD3" w:rsidRDefault="001A171F" w:rsidP="00F54FD3">
      <w:pPr>
        <w:pStyle w:val="Heading3"/>
      </w:pPr>
      <w:r w:rsidRPr="00F54FD3">
        <w:t>4</w:t>
      </w:r>
      <w:r w:rsidR="00A178DC" w:rsidRPr="00F54FD3">
        <w:t>.</w:t>
      </w:r>
      <w:r w:rsidRPr="00F54FD3">
        <w:t>6</w:t>
      </w:r>
      <w:r w:rsidR="00A178DC" w:rsidRPr="00F54FD3">
        <w:t xml:space="preserve"> </w:t>
      </w:r>
      <w:r w:rsidR="000C619C" w:rsidRPr="00F54FD3">
        <w:t xml:space="preserve">Carbon footprint </w:t>
      </w:r>
      <w:r w:rsidRPr="00F54FD3">
        <w:t>of the final disposal destinations</w:t>
      </w:r>
    </w:p>
    <w:p w:rsidR="00575D00" w:rsidRPr="00F54FD3" w:rsidRDefault="00014CC8">
      <w:pPr>
        <w:pStyle w:val="TEXT"/>
      </w:pPr>
      <w:r w:rsidRPr="002024C1">
        <w:t xml:space="preserve">The carbon footprint results for reuse, recycling and landfilling of WEEE/UEEE in the UK network show an overall carbon saving. However this saving reduces if the quantity of WEEE recycled as part of the light iron stream is not included. Reuse is the favoured disposal destination in terms of reducing the GWP, this correlates well with the waste hierarchy. The carbon saving from the reuse of WEEE/UEEE is from the avoided virgin production of materials for new products. Landfilling is the worst contributor to carbon emissions and is the least favoured option within the waste hierarchy (Gregson </w:t>
      </w:r>
      <w:r w:rsidR="00A219A9" w:rsidRPr="00F668D0">
        <w:t>et al.</w:t>
      </w:r>
      <w:r w:rsidRPr="00F668D0">
        <w:t>, 2013). This correlates with</w:t>
      </w:r>
      <w:r w:rsidR="00791CFC" w:rsidRPr="00F668D0">
        <w:t xml:space="preserve"> Wä</w:t>
      </w:r>
      <w:r w:rsidRPr="00F668D0">
        <w:t xml:space="preserve">ger </w:t>
      </w:r>
      <w:r w:rsidR="00A219A9" w:rsidRPr="00F668D0">
        <w:t>et al.</w:t>
      </w:r>
      <w:r w:rsidRPr="00F668D0">
        <w:t xml:space="preserve"> (2011) </w:t>
      </w:r>
      <w:r w:rsidR="008E0E9A" w:rsidRPr="00F668D0">
        <w:t>who</w:t>
      </w:r>
      <w:r w:rsidRPr="00F668D0">
        <w:t xml:space="preserve"> show</w:t>
      </w:r>
      <w:r w:rsidR="008E0E9A" w:rsidRPr="00F668D0">
        <w:t>ed</w:t>
      </w:r>
      <w:r w:rsidRPr="00F668D0">
        <w:t xml:space="preserve"> landfilling is the worst case scenario within WEEE management.</w:t>
      </w:r>
    </w:p>
    <w:p w:rsidR="00A178DC" w:rsidRPr="00F54FD3" w:rsidRDefault="00575D00">
      <w:pPr>
        <w:pStyle w:val="TEXT"/>
      </w:pPr>
      <w:r>
        <w:t>T</w:t>
      </w:r>
      <w:r w:rsidR="00014CC8" w:rsidRPr="002024C1">
        <w:t xml:space="preserve">he </w:t>
      </w:r>
      <w:r w:rsidR="008E0E9A" w:rsidRPr="002024C1">
        <w:t xml:space="preserve">UK </w:t>
      </w:r>
      <w:r w:rsidR="00014CC8" w:rsidRPr="002024C1">
        <w:t xml:space="preserve">Climate Change Act </w:t>
      </w:r>
      <w:r w:rsidR="004A01E1">
        <w:t xml:space="preserve">2008 </w:t>
      </w:r>
      <w:r w:rsidR="00014CC8" w:rsidRPr="002024C1">
        <w:t>establishe</w:t>
      </w:r>
      <w:r w:rsidR="004A01E1">
        <w:t>s</w:t>
      </w:r>
      <w:r w:rsidR="00014CC8" w:rsidRPr="002024C1">
        <w:t xml:space="preserve"> a target carbon emission reduction of at least 80 % of 1990 levels by 2050. To achieve this</w:t>
      </w:r>
      <w:r w:rsidR="008E0E9A" w:rsidRPr="002024C1">
        <w:t>,</w:t>
      </w:r>
      <w:r w:rsidR="00014CC8" w:rsidRPr="002024C1">
        <w:t xml:space="preserve"> four carbon budgets are set in law for each four year period </w:t>
      </w:r>
      <w:r w:rsidR="008E0E9A" w:rsidRPr="00F668D0">
        <w:t>from</w:t>
      </w:r>
      <w:r w:rsidR="00014CC8" w:rsidRPr="00F668D0">
        <w:t xml:space="preserve"> 2008</w:t>
      </w:r>
      <w:r w:rsidR="008E0E9A" w:rsidRPr="00F668D0">
        <w:t>-</w:t>
      </w:r>
      <w:r w:rsidR="00014CC8" w:rsidRPr="00F668D0">
        <w:t>2027. By reducing the quantity of WEEE entering UK landfills annually</w:t>
      </w:r>
      <w:r w:rsidR="008E0E9A" w:rsidRPr="00F668D0">
        <w:t>,</w:t>
      </w:r>
      <w:r w:rsidR="00014CC8" w:rsidRPr="00F668D0">
        <w:t xml:space="preserve"> it could allow annual emission reductions of between 16,208 and 17,821 t CO</w:t>
      </w:r>
      <w:r w:rsidR="00014CC8" w:rsidRPr="00F668D0">
        <w:rPr>
          <w:vertAlign w:val="subscript"/>
        </w:rPr>
        <w:t>2</w:t>
      </w:r>
      <w:r w:rsidR="00014CC8" w:rsidRPr="00F668D0">
        <w:t>e by 2030.</w:t>
      </w:r>
    </w:p>
    <w:p w:rsidR="00CB6FA4" w:rsidRPr="002024C1" w:rsidRDefault="0003232B" w:rsidP="00F54FD3">
      <w:pPr>
        <w:pStyle w:val="Heading2"/>
      </w:pPr>
      <w:r w:rsidRPr="002024C1">
        <w:t>5</w:t>
      </w:r>
      <w:r w:rsidR="00CB6FA4" w:rsidRPr="002024C1">
        <w:t>. CONCLUSIONS</w:t>
      </w:r>
    </w:p>
    <w:p w:rsidR="00297E2E" w:rsidRDefault="00073F20" w:rsidP="00F54FD3">
      <w:pPr>
        <w:pStyle w:val="TEXT"/>
      </w:pPr>
      <w:r>
        <w:t>Here, a</w:t>
      </w:r>
      <w:r w:rsidR="00297E2E">
        <w:t xml:space="preserve"> combined </w:t>
      </w:r>
      <w:r w:rsidR="0003232B" w:rsidRPr="002024C1">
        <w:t>MFA</w:t>
      </w:r>
      <w:r w:rsidR="00297E2E">
        <w:t xml:space="preserve"> and carbon</w:t>
      </w:r>
      <w:r w:rsidR="0003232B" w:rsidRPr="002024C1">
        <w:t xml:space="preserve"> </w:t>
      </w:r>
      <w:r w:rsidR="00297E2E">
        <w:t xml:space="preserve">footprint approach </w:t>
      </w:r>
      <w:r>
        <w:t xml:space="preserve">was developed and applied </w:t>
      </w:r>
      <w:r w:rsidR="00297E2E">
        <w:t xml:space="preserve">to quantify the flows of WEEE/UEEE </w:t>
      </w:r>
      <w:r w:rsidR="0003232B" w:rsidRPr="002024C1">
        <w:t xml:space="preserve">throughout the UK </w:t>
      </w:r>
      <w:r w:rsidR="00226B81" w:rsidRPr="002024C1">
        <w:t xml:space="preserve">waste management </w:t>
      </w:r>
      <w:r w:rsidR="0003232B" w:rsidRPr="002024C1">
        <w:t>system</w:t>
      </w:r>
      <w:r w:rsidR="00297E2E">
        <w:t xml:space="preserve"> and </w:t>
      </w:r>
      <w:r>
        <w:t xml:space="preserve">to </w:t>
      </w:r>
      <w:r w:rsidR="00297E2E">
        <w:t>evaluate its potential climate impacts</w:t>
      </w:r>
      <w:r w:rsidR="0003232B" w:rsidRPr="002024C1">
        <w:t xml:space="preserve">. </w:t>
      </w:r>
      <w:r>
        <w:t xml:space="preserve">This represents the first attempt to estimate the carbon footprint of </w:t>
      </w:r>
      <w:r>
        <w:lastRenderedPageBreak/>
        <w:t>WEEE management in the UK.</w:t>
      </w:r>
      <w:r w:rsidRPr="00F668D0">
        <w:t xml:space="preserve"> </w:t>
      </w:r>
      <w:r w:rsidR="0003232B" w:rsidRPr="00F668D0">
        <w:t xml:space="preserve">We identified three major final </w:t>
      </w:r>
      <w:r w:rsidR="00297E2E">
        <w:t xml:space="preserve">treatment/disposal </w:t>
      </w:r>
      <w:r w:rsidR="0003232B" w:rsidRPr="00F668D0">
        <w:t xml:space="preserve">destinations </w:t>
      </w:r>
      <w:r w:rsidR="00226B81" w:rsidRPr="00F668D0">
        <w:t xml:space="preserve">for WEEE/UEEE: </w:t>
      </w:r>
      <w:r w:rsidR="0003232B" w:rsidRPr="00F668D0">
        <w:t>reuse, recycl</w:t>
      </w:r>
      <w:r w:rsidR="00226B81" w:rsidRPr="00F668D0">
        <w:t>ing</w:t>
      </w:r>
      <w:r w:rsidR="0003232B" w:rsidRPr="00F668D0">
        <w:t xml:space="preserve"> and landfill</w:t>
      </w:r>
      <w:r w:rsidR="00297E2E">
        <w:t xml:space="preserve">. Based on our analysis, we predict that the UK will not meet its </w:t>
      </w:r>
      <w:r w:rsidR="00297E2E" w:rsidRPr="00933970">
        <w:t>collection or reuse and recycling targets for 2019</w:t>
      </w:r>
      <w:r w:rsidR="00297E2E">
        <w:t xml:space="preserve"> as established </w:t>
      </w:r>
      <w:r w:rsidR="0003232B" w:rsidRPr="009E32AC">
        <w:t>by the WEEE directive 2012/19/EU</w:t>
      </w:r>
      <w:r w:rsidR="0003232B" w:rsidRPr="00933970">
        <w:t xml:space="preserve">. </w:t>
      </w:r>
      <w:r w:rsidR="00297E2E">
        <w:t>However, t</w:t>
      </w:r>
      <w:r w:rsidR="0003232B" w:rsidRPr="00933970">
        <w:t xml:space="preserve">he MFA demonstrated that a significant amount of WEEE is collected indirectly and </w:t>
      </w:r>
      <w:r w:rsidR="00226B81" w:rsidRPr="00933970">
        <w:t xml:space="preserve">that </w:t>
      </w:r>
      <w:r w:rsidR="0003232B" w:rsidRPr="00933970">
        <w:t xml:space="preserve">the majority of this may enter formal treatment facilities as non-obligated WEEE </w:t>
      </w:r>
      <w:r w:rsidR="00226B81" w:rsidRPr="00BD4C4C">
        <w:t xml:space="preserve">or </w:t>
      </w:r>
      <w:r w:rsidR="0003232B" w:rsidRPr="00BD4C4C">
        <w:t>as part of the light iron stream.</w:t>
      </w:r>
      <w:r w:rsidR="000C619C" w:rsidRPr="00044F68">
        <w:t xml:space="preserve"> </w:t>
      </w:r>
      <w:r w:rsidR="00226B81" w:rsidRPr="00044F68">
        <w:t>Our findings suggest that b</w:t>
      </w:r>
      <w:r w:rsidR="0003232B" w:rsidRPr="00044F68">
        <w:t>y formalising these indirect collection</w:t>
      </w:r>
      <w:r w:rsidR="00226B81" w:rsidRPr="00044F68">
        <w:t xml:space="preserve"> pathways</w:t>
      </w:r>
      <w:r w:rsidR="006E763D" w:rsidRPr="00044F68">
        <w:t>,</w:t>
      </w:r>
      <w:r w:rsidR="0003232B" w:rsidRPr="00044F68">
        <w:t xml:space="preserve"> collections rates </w:t>
      </w:r>
      <w:r w:rsidR="006E763D" w:rsidRPr="00044F68">
        <w:t xml:space="preserve">could be increased </w:t>
      </w:r>
      <w:r w:rsidR="0003232B" w:rsidRPr="00044F68">
        <w:t>substantially</w:t>
      </w:r>
      <w:r w:rsidR="006E763D" w:rsidRPr="00044F68">
        <w:t>,</w:t>
      </w:r>
      <w:r w:rsidR="0003232B" w:rsidRPr="00044F68">
        <w:t xml:space="preserve"> helping the UK meet future targets. Non-obligated WEEE included in the light iron stream could </w:t>
      </w:r>
      <w:r w:rsidR="006E763D" w:rsidRPr="00044F68">
        <w:t xml:space="preserve">also </w:t>
      </w:r>
      <w:r w:rsidR="0003232B" w:rsidRPr="00044F68">
        <w:t>be counted towards recycling targets.</w:t>
      </w:r>
      <w:r w:rsidR="00297E2E">
        <w:t xml:space="preserve"> R</w:t>
      </w:r>
      <w:r w:rsidR="0003232B" w:rsidRPr="00C52A97">
        <w:t xml:space="preserve">educing </w:t>
      </w:r>
      <w:r w:rsidR="00226B81" w:rsidRPr="00C52A97">
        <w:t xml:space="preserve">the quantity of </w:t>
      </w:r>
      <w:r w:rsidR="0003232B" w:rsidRPr="00C52A97">
        <w:t xml:space="preserve">WEEE </w:t>
      </w:r>
      <w:r w:rsidR="00226B81" w:rsidRPr="00F72246">
        <w:t xml:space="preserve">that enters </w:t>
      </w:r>
      <w:r w:rsidR="0003232B" w:rsidRPr="00F72246">
        <w:t xml:space="preserve">the residual waste stream should be a priority action for policy makers as this represents the disposal route for approximately </w:t>
      </w:r>
      <w:r w:rsidR="00226B81" w:rsidRPr="00F72246">
        <w:t>one</w:t>
      </w:r>
      <w:r w:rsidR="0003232B" w:rsidRPr="00F72246">
        <w:t xml:space="preserve"> third of </w:t>
      </w:r>
      <w:r w:rsidR="0003232B" w:rsidRPr="00BE24E1">
        <w:t>total annual WEEE arising in the UK.</w:t>
      </w:r>
      <w:r w:rsidR="00226B81" w:rsidRPr="00BE24E1">
        <w:t xml:space="preserve"> </w:t>
      </w:r>
      <w:r w:rsidR="00297E2E">
        <w:t>This represents a significant area for potential future improvement in the WEEE management system for the UK</w:t>
      </w:r>
    </w:p>
    <w:p w:rsidR="00D25141" w:rsidRPr="002024C1" w:rsidRDefault="00297E2E">
      <w:pPr>
        <w:pStyle w:val="TEXT"/>
        <w:rPr>
          <w:b/>
          <w:color w:val="000000"/>
        </w:rPr>
      </w:pPr>
      <w:r>
        <w:t xml:space="preserve">Of the three </w:t>
      </w:r>
      <w:r w:rsidRPr="00BE24E1">
        <w:t xml:space="preserve">WEEE/UEEE </w:t>
      </w:r>
      <w:r>
        <w:t xml:space="preserve">management options considered, we found that </w:t>
      </w:r>
      <w:r w:rsidRPr="00BE24E1">
        <w:t xml:space="preserve">the best </w:t>
      </w:r>
      <w:r>
        <w:t xml:space="preserve">option in terms of potential climate impact is </w:t>
      </w:r>
      <w:r w:rsidRPr="00BE24E1">
        <w:t xml:space="preserve">reuse, followed by recycling, </w:t>
      </w:r>
      <w:r>
        <w:t xml:space="preserve">while </w:t>
      </w:r>
      <w:r w:rsidRPr="00BE24E1">
        <w:t xml:space="preserve">landfilling </w:t>
      </w:r>
      <w:r>
        <w:t xml:space="preserve">was found to be </w:t>
      </w:r>
      <w:r w:rsidRPr="00BE24E1">
        <w:t xml:space="preserve">the least favourable option. </w:t>
      </w:r>
      <w:r>
        <w:t>Whilst</w:t>
      </w:r>
      <w:r w:rsidRPr="008D5269">
        <w:t xml:space="preserve"> waste prevention and minimisation should be the main aim of all WEEE management policies as this would reduce the overall burden </w:t>
      </w:r>
      <w:r>
        <w:t>on waste managers, our findings show that f</w:t>
      </w:r>
      <w:r w:rsidRPr="00BE24E1">
        <w:t xml:space="preserve">uture policies in this area should </w:t>
      </w:r>
      <w:r>
        <w:t xml:space="preserve">focus </w:t>
      </w:r>
      <w:r w:rsidRPr="00BE24E1">
        <w:t>on improving</w:t>
      </w:r>
      <w:r w:rsidRPr="008D5269">
        <w:t xml:space="preserve"> collection and recovery rates of WEEE and promoting reuse within the UK (or, if not, export abroad). </w:t>
      </w:r>
      <w:r>
        <w:t xml:space="preserve">Future </w:t>
      </w:r>
      <w:r w:rsidR="009A73A4">
        <w:t>work</w:t>
      </w:r>
      <w:r>
        <w:t xml:space="preserve"> should focus on better quantifying flows of WEEE throug</w:t>
      </w:r>
      <w:r w:rsidR="009A73A4">
        <w:t xml:space="preserve">h informal routes in the UK, as well as on tracking the flows of WEEE that are exported for treatment abroad. Such research will help give policy and decisions makers in the UK a better understanding of the major WEEE flows through their system such that they can develop more effective policies and approaches for minimising the climatic impacts of WEEE treatment. </w:t>
      </w:r>
    </w:p>
    <w:p w:rsidR="00CB6FA4" w:rsidRDefault="00CB6FA4" w:rsidP="00F54FD3">
      <w:pPr>
        <w:pStyle w:val="Heading2"/>
      </w:pPr>
      <w:r w:rsidRPr="00F54FD3">
        <w:t>REFERENCES</w:t>
      </w:r>
    </w:p>
    <w:p w:rsidR="004D6E5B" w:rsidRPr="004D6E5B" w:rsidRDefault="004D6E5B" w:rsidP="00F54FD3">
      <w:r w:rsidRPr="00F54FD3">
        <w:lastRenderedPageBreak/>
        <w:t xml:space="preserve">Baldé, C.P., Forti V., Gray, V., Kuehr, R., Stegmann,P. (2017). </w:t>
      </w:r>
      <w:r w:rsidRPr="004D6E5B">
        <w:t>The Global E-waste Monitor – 2017, United Nations University (UNU), International Telecommunication Union (ITU) &amp; International Solid Waste Association (ISWA): Bonn/Geneva/Vienna.</w:t>
      </w:r>
    </w:p>
    <w:p w:rsidR="004D6E5B" w:rsidRPr="004D6E5B" w:rsidRDefault="004D6E5B">
      <w:r w:rsidRPr="004D6E5B">
        <w:t>Baxter, J., Lyng, K.-A., Askham, C. &amp; Hanssen, O. J. (2016). High-quality collection and disposal of WEEE: Environmental impacts and resultant issues. Waste Management, 57, 17-26.</w:t>
      </w:r>
    </w:p>
    <w:p w:rsidR="004D6E5B" w:rsidRPr="004D6E5B" w:rsidRDefault="004D6E5B">
      <w:r w:rsidRPr="004D6E5B">
        <w:t>Biganzoli, L., Falbo, A., Forte, F., Grosso, M. &amp; Rigamonti, L. (2015). Mass balance and life cycle assessment of the waste electrical and electronic equipment management system implemented in Lombardia Region (Italy). Science of The Total Environment, 524-525: 361-375.</w:t>
      </w:r>
    </w:p>
    <w:p w:rsidR="004D6E5B" w:rsidRPr="004D6E5B" w:rsidRDefault="004D6E5B">
      <w:r w:rsidRPr="004D6E5B">
        <w:t>Bigum, M., Petersen, C., Christensen, T. H. &amp; Scheutz, C. (2013). WEEE and portable batteries in residual household waste: quantification and characterisation of misplaced waste. Waste Management, 33: 2372-2380.</w:t>
      </w:r>
    </w:p>
    <w:p w:rsidR="004D6E5B" w:rsidRPr="004D6E5B" w:rsidRDefault="004D6E5B">
      <w:r w:rsidRPr="004D6E5B">
        <w:t>BIS (2014). Collection of waste electrical and electronic equipment from designated collection facilities. Department for Business, Innovation &amp; Skills (BIS): London, UK.</w:t>
      </w:r>
    </w:p>
    <w:p w:rsidR="004D6E5B" w:rsidRPr="00F54FD3" w:rsidRDefault="004D6E5B">
      <w:pPr>
        <w:rPr>
          <w:lang w:val="de-CH"/>
        </w:rPr>
      </w:pPr>
      <w:r w:rsidRPr="004D6E5B">
        <w:t xml:space="preserve">Brunner, P. H. &amp; Rechberger, H. (2004). Practical Handbook of Material Flow Analysis. </w:t>
      </w:r>
      <w:r w:rsidRPr="00F54FD3">
        <w:rPr>
          <w:lang w:val="de-CH"/>
        </w:rPr>
        <w:t>Lewis Publishers: Boca Raton, FL, USA.</w:t>
      </w:r>
    </w:p>
    <w:p w:rsidR="004D6E5B" w:rsidRPr="004D6E5B" w:rsidRDefault="004D6E5B">
      <w:r w:rsidRPr="00F54FD3">
        <w:rPr>
          <w:lang w:val="de-CH"/>
        </w:rPr>
        <w:t xml:space="preserve">Buchert, M., Manhart, A., Bleher, D. &amp; Pingel, D. (2012). </w:t>
      </w:r>
      <w:r w:rsidRPr="004D6E5B">
        <w:t>Recycling critical raw materials from waste electronic equipment. Oeko-Institut e.V.: Freiburg, Germany.</w:t>
      </w:r>
    </w:p>
    <w:p w:rsidR="004D6E5B" w:rsidRPr="004D6E5B" w:rsidRDefault="004D6E5B">
      <w:r w:rsidRPr="004D6E5B">
        <w:t>Climate Change Act 2008, Chapter 27. HMSO: London, UK.</w:t>
      </w:r>
    </w:p>
    <w:p w:rsidR="004D6E5B" w:rsidRPr="004D6E5B" w:rsidRDefault="004D6E5B">
      <w:r w:rsidRPr="004D6E5B">
        <w:t>Cucchiella, F., D'Adamo, I., Lenny Koh, S.C. &amp; Rosa, P. (2015). Recycling of WEEEs: an economic assessment of present and future e-waste streams. Renewable &amp; Sustainable Energy Reviews, 51: 263-272.</w:t>
      </w:r>
    </w:p>
    <w:p w:rsidR="004D6E5B" w:rsidRPr="004D6E5B" w:rsidRDefault="004D6E5B">
      <w:r w:rsidRPr="004D6E5B">
        <w:lastRenderedPageBreak/>
        <w:t>Cui, J. &amp; Roven, H. J. (2011). Electronic Waste IN: Letcher, T. M., Vallero, D. A. (eds). Waste: A handbook for Management. Elsevier: New York, NY. USA.</w:t>
      </w:r>
    </w:p>
    <w:p w:rsidR="004D6E5B" w:rsidRPr="004D6E5B" w:rsidRDefault="004D6E5B">
      <w:r w:rsidRPr="004D6E5B">
        <w:t xml:space="preserve">Defra (2007). Trial to establish waste electrical and electronic equipment (WEEE) protocols. Department for Environment Food &amp; Rural Affairs: London, UK. </w:t>
      </w:r>
    </w:p>
    <w:p w:rsidR="004D6E5B" w:rsidRPr="004D6E5B" w:rsidRDefault="004D6E5B">
      <w:r w:rsidRPr="004D6E5B">
        <w:t>Defra (2013). National compositional estimates for local authority collected waste and recycling in England, 2010/2011. Department for Environment Food &amp; Rural Affairs: London, UK.</w:t>
      </w:r>
    </w:p>
    <w:p w:rsidR="004D6E5B" w:rsidRPr="004D6E5B" w:rsidRDefault="004D6E5B">
      <w:r w:rsidRPr="004D6E5B">
        <w:t>EA (2010). Waste and Resources Assessment Tool for the Environment (WRATE) LCA model. Environment Agency: Rotherham, UK.</w:t>
      </w:r>
    </w:p>
    <w:p w:rsidR="004D6E5B" w:rsidRPr="004D6E5B" w:rsidRDefault="004D6E5B">
      <w:r w:rsidRPr="004D6E5B">
        <w:t>EA (2014). Waste electrical and electronic equipment in the UK (online). Environment Agency. Available from: https://www.gov.uk/government/statistics/waste-electrical-and-electronic-equipment-in-the-uk-2013 (Accessed 24.07.18).</w:t>
      </w:r>
    </w:p>
    <w:p w:rsidR="004D6E5B" w:rsidRPr="004D6E5B" w:rsidRDefault="004D6E5B">
      <w:r w:rsidRPr="004D6E5B">
        <w:t xml:space="preserve">EEA (2013). Towards a green economy in Europe. EEA Report, No 8. European Environment Agency: Copenhagen, Denmark. </w:t>
      </w:r>
    </w:p>
    <w:p w:rsidR="004D6E5B" w:rsidRPr="004D6E5B" w:rsidRDefault="004D6E5B">
      <w:r w:rsidRPr="004D6E5B">
        <w:t>European Commission (2012). Directive 2011/65/EU of the European Parliament and of the Council of 8 June 2011 on the restriction of the use of certain hazardous substances in electrical and electronic equipment. Official Journal of the European Communities, L 174: 88-110.</w:t>
      </w:r>
    </w:p>
    <w:p w:rsidR="004D6E5B" w:rsidRPr="004D6E5B" w:rsidRDefault="004D6E5B">
      <w:r w:rsidRPr="004D6E5B">
        <w:t xml:space="preserve">European Commission (2012). Directive 2012/19/EU of the European Parliament and of the Council of 4 July 2012 on waste electrical and electronic equipment (WEEE). Official Journal of the European Communities, L 197: 38-71. </w:t>
      </w:r>
    </w:p>
    <w:p w:rsidR="004D6E5B" w:rsidRPr="004D6E5B" w:rsidRDefault="004D6E5B">
      <w:r w:rsidRPr="004D6E5B">
        <w:t>Foelster A.-S., Andrew, S., Kroeger, L., Bohr, P., Dettmer, T., Boehme, S. &amp;Herrmann, C. (2016). Electronics recycling as an energy efficiency measure – a Life Cycle Assessment (LCA) study on refrigerator recycling in Brazil.Journal of Cleaner Production, 129: 30-42,</w:t>
      </w:r>
    </w:p>
    <w:p w:rsidR="004D6E5B" w:rsidRPr="004D6E5B" w:rsidRDefault="004D6E5B">
      <w:r w:rsidRPr="00F54FD3">
        <w:rPr>
          <w:lang w:val="de-CH"/>
        </w:rPr>
        <w:lastRenderedPageBreak/>
        <w:t xml:space="preserve">Gamberini, R., Gebennini, E. &amp; Rimini, B. (2009). </w:t>
      </w:r>
      <w:r w:rsidRPr="004D6E5B">
        <w:t>An innovative container for WEEE collection and transport: Details and effects following the adoption. Waste Management, 29: 2846-2858.</w:t>
      </w:r>
    </w:p>
    <w:p w:rsidR="004D6E5B" w:rsidRPr="004D6E5B" w:rsidRDefault="004D6E5B">
      <w:r w:rsidRPr="004D6E5B">
        <w:t>Geyer, R. &amp; Blass, V. D. (2010). The economics of cell phone reuse and recycling. International Journal Advanced Manufacturing Technology, 47: 515-525.</w:t>
      </w:r>
    </w:p>
    <w:p w:rsidR="004D6E5B" w:rsidRPr="004D6E5B" w:rsidRDefault="004D6E5B">
      <w:r w:rsidRPr="004D6E5B">
        <w:t>Gomes, M. I., Barbosa-Povoa, A. P. &amp; Novais, A. Q. (2011). Modelling a recovery network for WEEE: A case study in Portugal. Waste Management, 31: 1645-1660.</w:t>
      </w:r>
    </w:p>
    <w:p w:rsidR="004D6E5B" w:rsidRPr="004D6E5B" w:rsidRDefault="004D6E5B">
      <w:r w:rsidRPr="004D6E5B">
        <w:t>Gregson, N., Crang, M., Laws, J., Fleetwood, T. &amp; Holmes, H. (2013). Moving up the waste hierarchy: Car boot sales, reuse exchange and the challenges of consumer culture to waste prevention. Resources, Conservation and Recycling, 77: 97-107.</w:t>
      </w:r>
    </w:p>
    <w:p w:rsidR="004D6E5B" w:rsidRPr="004D6E5B" w:rsidRDefault="004D6E5B">
      <w:r w:rsidRPr="004D6E5B">
        <w:t>Health and Safety Executive (HSE) (2018). Waste Electrical and Electronic Equipment recycling (WEEE) (online). Available from: http://www.hse.gov.uk/waste/waste-electrical.htm (accessed 01/08/2018).</w:t>
      </w:r>
    </w:p>
    <w:p w:rsidR="004D6E5B" w:rsidRPr="004D6E5B" w:rsidRDefault="004D6E5B">
      <w:r w:rsidRPr="004D6E5B">
        <w:t>Ibanescu, D., Cailean, D., Teodosiu, C. &amp; Fiore, S. (2018). Assessment of the waste electrical and electronic equipment management systems profile and sustainability in developed and developing European Union countries. Waste Management, 73, 39-53.</w:t>
      </w:r>
    </w:p>
    <w:p w:rsidR="004D6E5B" w:rsidRPr="004D6E5B" w:rsidRDefault="004D6E5B">
      <w:r w:rsidRPr="004D6E5B">
        <w:t>Ikhlayel, M. (2017). Environmental impacts and benefits of state-of-the-art technologies for E-waste management. Waste Management, 68, 458-474.</w:t>
      </w:r>
    </w:p>
    <w:p w:rsidR="004D6E5B" w:rsidRPr="004D6E5B" w:rsidRDefault="004D6E5B">
      <w:r w:rsidRPr="004D6E5B">
        <w:t>Ikhlayel, M. (2018). An integrated approach to establish e-waste management systems for developing countries. Journal of Cleaner Production, 170: 119-130.</w:t>
      </w:r>
    </w:p>
    <w:p w:rsidR="004D6E5B" w:rsidRPr="004D6E5B" w:rsidRDefault="004D6E5B">
      <w:r w:rsidRPr="004D6E5B">
        <w:t>Kumar, A., Holuszko, M. &amp; Espinosa D.C.R. (2017). E-waste: an overview on generation, collection, legislation and recycling practices. Resources, Conservation &amp; Recycling, 122: 32-42.</w:t>
      </w:r>
    </w:p>
    <w:p w:rsidR="004D6E5B" w:rsidRPr="004D6E5B" w:rsidRDefault="004D6E5B">
      <w:r w:rsidRPr="004D6E5B">
        <w:lastRenderedPageBreak/>
        <w:t>Lau, W. K., Chung, S. &amp; Zhang,C. (2013). A material flow analysis on current electrical and electronic waste disposal from Hong Kong households. Waste Management, 33: 714-721.</w:t>
      </w:r>
    </w:p>
    <w:p w:rsidR="004D6E5B" w:rsidRPr="004D6E5B" w:rsidRDefault="004D6E5B">
      <w:r w:rsidRPr="004D6E5B">
        <w:t>Menikpura, S. N. M., Santo, A. &amp; Hotta, Y. (2014). Assessing the climate co-benefits from Waste Electrical and Electronic Equipment (WEEE) recycling in Japan. Journal of Cleaner Production, 74: 183-190.</w:t>
      </w:r>
    </w:p>
    <w:p w:rsidR="004D6E5B" w:rsidRPr="004D6E5B" w:rsidRDefault="004D6E5B">
      <w:r w:rsidRPr="004D6E5B">
        <w:t>Messenger, B. (2013). WEEE collection &amp; recycling success for BIFFA kerbside schemes. Waste Management World. Available from: http://www.waste-management-world.com/articles/2013/11/weee-collection-recycling-success-for-biffa-kerbside-scheme.html (Accessed 24.10.17).</w:t>
      </w:r>
    </w:p>
    <w:p w:rsidR="004D6E5B" w:rsidRPr="004D6E5B" w:rsidRDefault="004D6E5B">
      <w:r w:rsidRPr="004D6E5B">
        <w:t>Ongondo, F. O. &amp; Williams, I. D. (2011). Mobile phone collection, reuse and recycling in the UK. Waste Management, 31: 1307-1315.</w:t>
      </w:r>
    </w:p>
    <w:p w:rsidR="004D6E5B" w:rsidRPr="004D6E5B" w:rsidRDefault="004D6E5B">
      <w:r w:rsidRPr="004D6E5B">
        <w:t>Ongondo, F. O. &amp; Williams, I. D. (2012). A critical review of the UK household WEEE collection network. Waste and Resource Management, 165: 13-23.</w:t>
      </w:r>
    </w:p>
    <w:p w:rsidR="004D6E5B" w:rsidRPr="004D6E5B" w:rsidRDefault="004D6E5B">
      <w:r w:rsidRPr="004D6E5B">
        <w:t>Ongondo, F. O., Williams, I. D. &amp; Cherrett, T. J. (2011). How are WEEE doing? A global review of the management of electrical and electronic wastes. Waste Management, 31: 714-730.</w:t>
      </w:r>
    </w:p>
    <w:p w:rsidR="004D6E5B" w:rsidRPr="004D6E5B" w:rsidRDefault="004D6E5B">
      <w:r w:rsidRPr="004D6E5B">
        <w:t>Parajuly, K., Habib, K. &amp; Liu, G. (2017). Waste electrical and electronic equipment (WEEE) in Denmark: Flows, quantities and management. Resources, Conservation and Recycling, 123: 85-92.</w:t>
      </w:r>
    </w:p>
    <w:p w:rsidR="004D6E5B" w:rsidRPr="004D6E5B" w:rsidRDefault="004D6E5B">
      <w:r w:rsidRPr="004D6E5B">
        <w:t>Parfitt, J. P. &amp; Bridgewater, E. (2011). Final Report to Defra: WR1002 Detailed compositional assessment for municipal residual waste and recycling streams in England. Bristol. UK: Resource Futures.</w:t>
      </w:r>
    </w:p>
    <w:p w:rsidR="004D6E5B" w:rsidRPr="004D6E5B" w:rsidRDefault="004D6E5B">
      <w:r w:rsidRPr="004D6E5B">
        <w:t xml:space="preserve">Scharff, H. (2014). Landfill reduction experience in The Netherlands. Waste Management, </w:t>
      </w:r>
      <w:r w:rsidRPr="004D6E5B">
        <w:lastRenderedPageBreak/>
        <w:t>34(11): 2218-2224.</w:t>
      </w:r>
    </w:p>
    <w:p w:rsidR="004D6E5B" w:rsidRPr="004D6E5B" w:rsidRDefault="004D6E5B">
      <w:r w:rsidRPr="004D6E5B">
        <w:t>Tanskanen, P. (2013). Management and recycling of electronic waste. Acta Materialia, 61: 1001-1011.</w:t>
      </w:r>
    </w:p>
    <w:p w:rsidR="004D6E5B" w:rsidRPr="004D6E5B" w:rsidRDefault="004D6E5B">
      <w:r w:rsidRPr="004D6E5B">
        <w:t>The Restriction of the Use of Certain Hazardous Substances in Electrical and Electronic Regulations 2012 (as amended), SI 2012 No. 3032. HMSO: London, UK.</w:t>
      </w:r>
    </w:p>
    <w:p w:rsidR="004D6E5B" w:rsidRPr="004D6E5B" w:rsidRDefault="004D6E5B">
      <w:r w:rsidRPr="004D6E5B">
        <w:t>The Waste Electrical and Electronic Equipment Regulations 2013, SI  2013 No. 3113. HMSO: London, UK.</w:t>
      </w:r>
    </w:p>
    <w:p w:rsidR="004D6E5B" w:rsidRPr="004D6E5B" w:rsidRDefault="004D6E5B">
      <w:r w:rsidRPr="004D6E5B">
        <w:t>Thiébaud (-Müller), E., Hilty, L. M., Schluep, M., Widmer, R. &amp; Faulstich, M. (2017). Service Lifetime, Storage Time, and Disposal Pathways of Electronic Equipment: A Swiss Case Study. Journal of Industrial Ecology, 22 (1): 196-208.</w:t>
      </w:r>
    </w:p>
    <w:p w:rsidR="004D6E5B" w:rsidRPr="004D6E5B" w:rsidRDefault="004D6E5B">
      <w:r w:rsidRPr="004D6E5B">
        <w:t>Turner, D. A., Williams, I. &amp; Kemp, S. (2015). Greenhouse gas emission factors for source-segregated materials recycling. Resources, Conservation &amp; Recycling, 105: 186-197.</w:t>
      </w:r>
    </w:p>
    <w:p w:rsidR="004D6E5B" w:rsidRPr="004D6E5B" w:rsidRDefault="004D6E5B">
      <w:r w:rsidRPr="004D6E5B">
        <w:t>Turner, D. A., Williams, I. &amp; Kemp, S. (2016). Combined material flow analysis and life cycle assessment as a support tool for solid waste management decision-making. Journal of Cleaner Production, 129: 234-248.</w:t>
      </w:r>
    </w:p>
    <w:p w:rsidR="004D6E5B" w:rsidRPr="004D6E5B" w:rsidRDefault="004D6E5B">
      <w:r w:rsidRPr="004D6E5B">
        <w:t>Wäger, P. A., Hishier, R. &amp; Eugster, M. (2011). Environment impacts of the Swiss collection and recovery systems from Waste Electrical and Electronic Equipment (WEEE): A follow-up. Science of the Total Environment, 409: 1746-1756.</w:t>
      </w:r>
    </w:p>
    <w:p w:rsidR="004D6E5B" w:rsidRPr="004D6E5B" w:rsidRDefault="004D6E5B">
      <w:r w:rsidRPr="004D6E5B">
        <w:t>Widmer, R., Oswald-Krapf, H., Sinha-Khetriwal, D., Schnellmann, M. &amp; Boni, H. (2005). Global perspectives on e-waste. Environmental Impact Assessment Review, 25: 436-458.</w:t>
      </w:r>
    </w:p>
    <w:p w:rsidR="004D6E5B" w:rsidRPr="004D6E5B" w:rsidRDefault="004D6E5B">
      <w:r w:rsidRPr="004D6E5B">
        <w:t xml:space="preserve">WRAP (2009). Compositional Analysis of Kerbside Collected Small WEEE. Final Technical </w:t>
      </w:r>
      <w:r w:rsidRPr="004D6E5B">
        <w:lastRenderedPageBreak/>
        <w:t>Report, MDD009. Waste and Resources Action Programme: Banbury, UK.</w:t>
      </w:r>
    </w:p>
    <w:p w:rsidR="004D6E5B" w:rsidRPr="004D6E5B" w:rsidRDefault="004D6E5B">
      <w:r w:rsidRPr="004D6E5B">
        <w:t>WRAP (2010). WEEE good practice – Reuse and collection systems. Waste and Resources Action Programme: Banbury, UK.</w:t>
      </w:r>
    </w:p>
    <w:p w:rsidR="004D6E5B" w:rsidRPr="004D6E5B" w:rsidRDefault="004D6E5B">
      <w:r w:rsidRPr="004D6E5B">
        <w:t>WRAP (2011). Market flows of the WEEE material, Final Technical Report, MDD036. Waste and Resources Action Programme: Banbury, UK.</w:t>
      </w:r>
    </w:p>
    <w:p w:rsidR="004D6E5B" w:rsidRPr="004D6E5B" w:rsidRDefault="004D6E5B">
      <w:r w:rsidRPr="004D6E5B">
        <w:t>WRAP (2012a). Electrical product material composition. Final Report, IMT002. Waste and Resources Action Programme: Banbury, UK.</w:t>
      </w:r>
    </w:p>
    <w:p w:rsidR="004D6E5B" w:rsidRPr="004D6E5B" w:rsidRDefault="004D6E5B">
      <w:r w:rsidRPr="004D6E5B">
        <w:t>WRAP (2012b). Landfill Bans: Feasibility Research, Final Technical Report, EVA130. Waste and Resources Action Programme: Banbury, UK.</w:t>
      </w:r>
    </w:p>
    <w:p w:rsidR="004D6E5B" w:rsidRPr="004D6E5B" w:rsidRDefault="004D6E5B">
      <w:r w:rsidRPr="004D6E5B">
        <w:t>WRAP (2014). Evidence of large domestic appliances recovered in the UK light iron stream. Final Technical report, IMT002-020. Waste and Resources Action Programme: Banbury, UK.</w:t>
      </w:r>
    </w:p>
    <w:p w:rsidR="004D6E5B" w:rsidRPr="004D6E5B" w:rsidRDefault="004D6E5B">
      <w:r w:rsidRPr="004D6E5B">
        <w:t>Wright, L. A., Kemp, S. &amp; Williams, I. (2011). ‘Carbon footprinting’: Towards a universally accepted definition. Carbon Management 2(1): 61–72.</w:t>
      </w:r>
    </w:p>
    <w:p w:rsidR="004D6E5B" w:rsidRPr="004D6E5B" w:rsidRDefault="004D6E5B">
      <w:r w:rsidRPr="004D6E5B">
        <w:t>Yla-Mella, J., Poikela, K., Lehtinen, U., Leiski, R. &amp; Pongracz, E. (2014). Implementation of the Waste Electrical and Electronic Equipment Directive in Finland: Evaluation of the collection network and challenges of the effective WEEE management. Resources, Conservation and Recycling, 86: 38-46.</w:t>
      </w:r>
    </w:p>
    <w:p w:rsidR="004D6E5B" w:rsidRPr="00F54FD3" w:rsidRDefault="004D6E5B">
      <w:r w:rsidRPr="004D6E5B">
        <w:t>Zhang, L. &amp; Xu, Z. (2016). A review of current progress of recycling technologies for metals from waste electrical and electronic equipment. Journal of Cleaner Production, 127: 19-36,</w:t>
      </w:r>
    </w:p>
    <w:p w:rsidR="00D25141" w:rsidRPr="002024C1" w:rsidRDefault="00D25141">
      <w:pPr>
        <w:pStyle w:val="TEXT"/>
      </w:pPr>
      <w:r w:rsidRPr="002024C1">
        <w:br w:type="page"/>
      </w:r>
    </w:p>
    <w:p w:rsidR="00D25141" w:rsidRPr="002024C1" w:rsidRDefault="00D25141" w:rsidP="00F54FD3">
      <w:pPr>
        <w:pStyle w:val="Heading2"/>
      </w:pPr>
      <w:r w:rsidRPr="002024C1">
        <w:lastRenderedPageBreak/>
        <w:t>TABLES</w:t>
      </w:r>
    </w:p>
    <w:p w:rsidR="00D25141" w:rsidRPr="00F668D0" w:rsidRDefault="00D25141" w:rsidP="00F54FD3">
      <w:pPr>
        <w:pStyle w:val="TEXT"/>
      </w:pPr>
      <w:r w:rsidRPr="002024C1">
        <w:rPr>
          <w:b/>
        </w:rPr>
        <w:t>Table 1</w:t>
      </w:r>
      <w:r w:rsidRPr="002024C1">
        <w:t>. Differences between the WRAP (2011) model and th</w:t>
      </w:r>
      <w:r w:rsidRPr="00F668D0">
        <w:t>is study’s research model.</w:t>
      </w:r>
    </w:p>
    <w:p w:rsidR="00D25141" w:rsidRPr="00F668D0" w:rsidRDefault="00D25141">
      <w:pPr>
        <w:pStyle w:val="TEXT"/>
      </w:pPr>
    </w:p>
    <w:tbl>
      <w:tblPr>
        <w:tblW w:w="0" w:type="auto"/>
        <w:tblLook w:val="04A0" w:firstRow="1" w:lastRow="0" w:firstColumn="1" w:lastColumn="0" w:noHBand="0" w:noVBand="1"/>
      </w:tblPr>
      <w:tblGrid>
        <w:gridCol w:w="2254"/>
        <w:gridCol w:w="2254"/>
        <w:gridCol w:w="2254"/>
        <w:gridCol w:w="2254"/>
      </w:tblGrid>
      <w:tr w:rsidR="00D25141" w:rsidRPr="002024C1" w:rsidTr="00D75E08">
        <w:tc>
          <w:tcPr>
            <w:tcW w:w="2254" w:type="dxa"/>
            <w:tcBorders>
              <w:top w:val="single" w:sz="4" w:space="0" w:color="auto"/>
              <w:bottom w:val="single" w:sz="4" w:space="0" w:color="auto"/>
            </w:tcBorders>
            <w:shd w:val="clear" w:color="auto" w:fill="auto"/>
          </w:tcPr>
          <w:p w:rsidR="00D25141" w:rsidRPr="00F54FD3" w:rsidRDefault="00D25141">
            <w:pPr>
              <w:pStyle w:val="TEXT"/>
            </w:pPr>
            <w:r w:rsidRPr="00F54FD3">
              <w:t>Year</w:t>
            </w:r>
          </w:p>
        </w:tc>
        <w:tc>
          <w:tcPr>
            <w:tcW w:w="2254" w:type="dxa"/>
            <w:tcBorders>
              <w:top w:val="single" w:sz="4" w:space="0" w:color="auto"/>
              <w:bottom w:val="single" w:sz="4" w:space="0" w:color="auto"/>
            </w:tcBorders>
            <w:shd w:val="clear" w:color="auto" w:fill="auto"/>
          </w:tcPr>
          <w:p w:rsidR="00D25141" w:rsidRPr="00F54FD3" w:rsidRDefault="00D25141">
            <w:pPr>
              <w:pStyle w:val="TEXT"/>
            </w:pPr>
            <w:r w:rsidRPr="00F54FD3">
              <w:t>Recycling quantity WRAP (2011) (t)</w:t>
            </w:r>
          </w:p>
        </w:tc>
        <w:tc>
          <w:tcPr>
            <w:tcW w:w="2254" w:type="dxa"/>
            <w:tcBorders>
              <w:top w:val="single" w:sz="4" w:space="0" w:color="auto"/>
              <w:bottom w:val="single" w:sz="4" w:space="0" w:color="auto"/>
            </w:tcBorders>
            <w:shd w:val="clear" w:color="auto" w:fill="auto"/>
          </w:tcPr>
          <w:p w:rsidR="00D25141" w:rsidRPr="00F54FD3" w:rsidRDefault="00D25141">
            <w:pPr>
              <w:pStyle w:val="TEXT"/>
            </w:pPr>
            <w:r w:rsidRPr="00F54FD3">
              <w:t>Recycling Quantity Research Model (t)</w:t>
            </w:r>
          </w:p>
        </w:tc>
        <w:tc>
          <w:tcPr>
            <w:tcW w:w="2254" w:type="dxa"/>
            <w:tcBorders>
              <w:top w:val="single" w:sz="4" w:space="0" w:color="auto"/>
              <w:bottom w:val="single" w:sz="4" w:space="0" w:color="auto"/>
            </w:tcBorders>
            <w:shd w:val="clear" w:color="auto" w:fill="auto"/>
          </w:tcPr>
          <w:p w:rsidR="00D25141" w:rsidRPr="00F54FD3" w:rsidRDefault="00F25003">
            <w:pPr>
              <w:pStyle w:val="TEXT"/>
            </w:pPr>
            <w:r w:rsidRPr="00F54FD3">
              <w:t>V</w:t>
            </w:r>
            <w:r w:rsidR="00D25141" w:rsidRPr="00F54FD3">
              <w:t>ariation</w:t>
            </w:r>
          </w:p>
        </w:tc>
      </w:tr>
      <w:tr w:rsidR="00D25141" w:rsidRPr="002024C1" w:rsidTr="00D75E08">
        <w:tc>
          <w:tcPr>
            <w:tcW w:w="2254" w:type="dxa"/>
            <w:tcBorders>
              <w:top w:val="single" w:sz="4" w:space="0" w:color="auto"/>
            </w:tcBorders>
            <w:shd w:val="clear" w:color="auto" w:fill="auto"/>
          </w:tcPr>
          <w:p w:rsidR="00D25141" w:rsidRPr="00F54FD3" w:rsidRDefault="00D25141" w:rsidP="00F54FD3">
            <w:pPr>
              <w:pStyle w:val="TEXT"/>
            </w:pPr>
            <w:r w:rsidRPr="00F54FD3">
              <w:t>2011</w:t>
            </w:r>
          </w:p>
        </w:tc>
        <w:tc>
          <w:tcPr>
            <w:tcW w:w="2254" w:type="dxa"/>
            <w:tcBorders>
              <w:top w:val="single" w:sz="4" w:space="0" w:color="auto"/>
            </w:tcBorders>
            <w:shd w:val="clear" w:color="auto" w:fill="auto"/>
          </w:tcPr>
          <w:p w:rsidR="00D25141" w:rsidRPr="00F54FD3" w:rsidRDefault="00D25141">
            <w:pPr>
              <w:pStyle w:val="TEXT"/>
            </w:pPr>
            <w:r w:rsidRPr="00F54FD3">
              <w:t>884,483</w:t>
            </w:r>
          </w:p>
        </w:tc>
        <w:tc>
          <w:tcPr>
            <w:tcW w:w="2254" w:type="dxa"/>
            <w:tcBorders>
              <w:top w:val="single" w:sz="4" w:space="0" w:color="auto"/>
            </w:tcBorders>
            <w:shd w:val="clear" w:color="auto" w:fill="auto"/>
          </w:tcPr>
          <w:p w:rsidR="00D25141" w:rsidRPr="00F54FD3" w:rsidRDefault="00D25141">
            <w:pPr>
              <w:pStyle w:val="TEXT"/>
            </w:pPr>
            <w:r w:rsidRPr="00F54FD3">
              <w:t>809,967</w:t>
            </w:r>
          </w:p>
        </w:tc>
        <w:tc>
          <w:tcPr>
            <w:tcW w:w="2254" w:type="dxa"/>
            <w:tcBorders>
              <w:top w:val="single" w:sz="4" w:space="0" w:color="auto"/>
            </w:tcBorders>
            <w:shd w:val="clear" w:color="auto" w:fill="auto"/>
          </w:tcPr>
          <w:p w:rsidR="00D25141" w:rsidRPr="00F54FD3" w:rsidRDefault="00D25141">
            <w:pPr>
              <w:pStyle w:val="TEXT"/>
            </w:pPr>
            <w:r w:rsidRPr="00F54FD3">
              <w:t>-9</w:t>
            </w:r>
            <w:r w:rsidR="00F25003" w:rsidRPr="00F54FD3">
              <w:t>%</w:t>
            </w:r>
          </w:p>
        </w:tc>
      </w:tr>
      <w:tr w:rsidR="00D25141" w:rsidRPr="002024C1" w:rsidTr="00D75E08">
        <w:tc>
          <w:tcPr>
            <w:tcW w:w="2254" w:type="dxa"/>
            <w:shd w:val="clear" w:color="auto" w:fill="auto"/>
          </w:tcPr>
          <w:p w:rsidR="00D25141" w:rsidRPr="00F54FD3" w:rsidRDefault="00D25141" w:rsidP="00F54FD3">
            <w:pPr>
              <w:pStyle w:val="TEXT"/>
            </w:pPr>
            <w:r w:rsidRPr="00F54FD3">
              <w:t>2012</w:t>
            </w:r>
          </w:p>
        </w:tc>
        <w:tc>
          <w:tcPr>
            <w:tcW w:w="2254" w:type="dxa"/>
            <w:shd w:val="clear" w:color="auto" w:fill="auto"/>
          </w:tcPr>
          <w:p w:rsidR="00D25141" w:rsidRPr="00F54FD3" w:rsidRDefault="00D25141">
            <w:pPr>
              <w:pStyle w:val="TEXT"/>
            </w:pPr>
            <w:r w:rsidRPr="00F54FD3">
              <w:t>894,493</w:t>
            </w:r>
          </w:p>
        </w:tc>
        <w:tc>
          <w:tcPr>
            <w:tcW w:w="2254" w:type="dxa"/>
            <w:shd w:val="clear" w:color="auto" w:fill="auto"/>
          </w:tcPr>
          <w:p w:rsidR="00D25141" w:rsidRPr="00F54FD3" w:rsidRDefault="00D25141">
            <w:pPr>
              <w:pStyle w:val="TEXT"/>
            </w:pPr>
            <w:r w:rsidRPr="00F54FD3">
              <w:t>824,006</w:t>
            </w:r>
          </w:p>
        </w:tc>
        <w:tc>
          <w:tcPr>
            <w:tcW w:w="2254" w:type="dxa"/>
            <w:shd w:val="clear" w:color="auto" w:fill="auto"/>
          </w:tcPr>
          <w:p w:rsidR="00D25141" w:rsidRPr="00F54FD3" w:rsidRDefault="00D25141">
            <w:pPr>
              <w:pStyle w:val="TEXT"/>
            </w:pPr>
            <w:r w:rsidRPr="00F54FD3">
              <w:t>-9</w:t>
            </w:r>
            <w:r w:rsidR="00F25003" w:rsidRPr="00F54FD3">
              <w:t>%</w:t>
            </w:r>
          </w:p>
        </w:tc>
      </w:tr>
      <w:tr w:rsidR="00D25141" w:rsidRPr="002024C1" w:rsidTr="00D75E08">
        <w:tc>
          <w:tcPr>
            <w:tcW w:w="2254" w:type="dxa"/>
            <w:tcBorders>
              <w:bottom w:val="single" w:sz="4" w:space="0" w:color="auto"/>
            </w:tcBorders>
            <w:shd w:val="clear" w:color="auto" w:fill="auto"/>
          </w:tcPr>
          <w:p w:rsidR="00D25141" w:rsidRPr="00F54FD3" w:rsidRDefault="00D25141" w:rsidP="00F54FD3">
            <w:pPr>
              <w:pStyle w:val="TEXT"/>
            </w:pPr>
            <w:r w:rsidRPr="00F54FD3">
              <w:t>2013</w:t>
            </w:r>
          </w:p>
        </w:tc>
        <w:tc>
          <w:tcPr>
            <w:tcW w:w="2254" w:type="dxa"/>
            <w:tcBorders>
              <w:bottom w:val="single" w:sz="4" w:space="0" w:color="auto"/>
            </w:tcBorders>
            <w:shd w:val="clear" w:color="auto" w:fill="auto"/>
          </w:tcPr>
          <w:p w:rsidR="00D25141" w:rsidRPr="00F54FD3" w:rsidRDefault="00D25141">
            <w:pPr>
              <w:pStyle w:val="TEXT"/>
            </w:pPr>
            <w:r w:rsidRPr="00F54FD3">
              <w:t>902,170</w:t>
            </w:r>
          </w:p>
        </w:tc>
        <w:tc>
          <w:tcPr>
            <w:tcW w:w="2254" w:type="dxa"/>
            <w:tcBorders>
              <w:bottom w:val="single" w:sz="4" w:space="0" w:color="auto"/>
            </w:tcBorders>
            <w:shd w:val="clear" w:color="auto" w:fill="auto"/>
          </w:tcPr>
          <w:p w:rsidR="00D25141" w:rsidRPr="00F54FD3" w:rsidRDefault="00D25141">
            <w:pPr>
              <w:pStyle w:val="TEXT"/>
            </w:pPr>
            <w:r w:rsidRPr="00F54FD3">
              <w:t>834,284</w:t>
            </w:r>
          </w:p>
        </w:tc>
        <w:tc>
          <w:tcPr>
            <w:tcW w:w="2254" w:type="dxa"/>
            <w:tcBorders>
              <w:bottom w:val="single" w:sz="4" w:space="0" w:color="auto"/>
            </w:tcBorders>
            <w:shd w:val="clear" w:color="auto" w:fill="auto"/>
          </w:tcPr>
          <w:p w:rsidR="00D25141" w:rsidRPr="00F54FD3" w:rsidRDefault="00D25141">
            <w:pPr>
              <w:pStyle w:val="TEXT"/>
            </w:pPr>
            <w:r w:rsidRPr="00F54FD3">
              <w:t>-8</w:t>
            </w:r>
            <w:r w:rsidR="00F25003" w:rsidRPr="00F54FD3">
              <w:t>%</w:t>
            </w:r>
          </w:p>
        </w:tc>
      </w:tr>
    </w:tbl>
    <w:p w:rsidR="00D25141" w:rsidRPr="00F54FD3" w:rsidRDefault="00D25141" w:rsidP="00F54FD3">
      <w:r w:rsidRPr="00F54FD3">
        <w:br w:type="page"/>
      </w:r>
    </w:p>
    <w:p w:rsidR="00D25141" w:rsidRPr="002024C1" w:rsidRDefault="00D25141" w:rsidP="00F54FD3">
      <w:pPr>
        <w:pStyle w:val="TEXT"/>
      </w:pPr>
      <w:r w:rsidRPr="002024C1">
        <w:rPr>
          <w:b/>
        </w:rPr>
        <w:lastRenderedPageBreak/>
        <w:t>Table 2</w:t>
      </w:r>
      <w:r w:rsidRPr="002024C1">
        <w:t>. Carbon footprint associated with the final destination routes for WEEE/UEEE in the UK (t/CO</w:t>
      </w:r>
      <w:r w:rsidRPr="002024C1">
        <w:rPr>
          <w:vertAlign w:val="subscript"/>
        </w:rPr>
        <w:t>2</w:t>
      </w:r>
      <w:r w:rsidRPr="002024C1">
        <w:t>e).</w:t>
      </w:r>
    </w:p>
    <w:p w:rsidR="00D25141" w:rsidRPr="00F668D0" w:rsidRDefault="00D25141">
      <w:pPr>
        <w:pStyle w:val="TEXT"/>
      </w:pPr>
    </w:p>
    <w:tbl>
      <w:tblPr>
        <w:tblW w:w="4646" w:type="pct"/>
        <w:jc w:val="center"/>
        <w:tblLook w:val="04A0" w:firstRow="1" w:lastRow="0" w:firstColumn="1" w:lastColumn="0" w:noHBand="0" w:noVBand="1"/>
      </w:tblPr>
      <w:tblGrid>
        <w:gridCol w:w="1029"/>
        <w:gridCol w:w="1321"/>
        <w:gridCol w:w="1573"/>
        <w:gridCol w:w="1733"/>
        <w:gridCol w:w="1733"/>
        <w:gridCol w:w="1499"/>
      </w:tblGrid>
      <w:tr w:rsidR="00D25141" w:rsidRPr="002024C1" w:rsidTr="00D75E08">
        <w:trPr>
          <w:trHeight w:val="315"/>
          <w:jc w:val="center"/>
        </w:trPr>
        <w:tc>
          <w:tcPr>
            <w:tcW w:w="579" w:type="pct"/>
            <w:tcBorders>
              <w:top w:val="single" w:sz="4" w:space="0" w:color="auto"/>
              <w:left w:val="nil"/>
              <w:bottom w:val="single" w:sz="4" w:space="0" w:color="auto"/>
              <w:right w:val="nil"/>
            </w:tcBorders>
            <w:shd w:val="clear" w:color="auto" w:fill="auto"/>
            <w:noWrap/>
            <w:vAlign w:val="bottom"/>
            <w:hideMark/>
          </w:tcPr>
          <w:p w:rsidR="00D25141" w:rsidRPr="00F668D0" w:rsidRDefault="00D25141">
            <w:pPr>
              <w:pStyle w:val="TEXT"/>
            </w:pPr>
            <w:r w:rsidRPr="00F668D0">
              <w:t>Year</w:t>
            </w:r>
          </w:p>
        </w:tc>
        <w:tc>
          <w:tcPr>
            <w:tcW w:w="743" w:type="pct"/>
            <w:tcBorders>
              <w:top w:val="single" w:sz="4" w:space="0" w:color="auto"/>
              <w:left w:val="nil"/>
              <w:bottom w:val="single" w:sz="4" w:space="0" w:color="auto"/>
              <w:right w:val="nil"/>
            </w:tcBorders>
            <w:shd w:val="clear" w:color="auto" w:fill="auto"/>
            <w:noWrap/>
            <w:vAlign w:val="bottom"/>
            <w:hideMark/>
          </w:tcPr>
          <w:p w:rsidR="00D25141" w:rsidRPr="00F668D0" w:rsidRDefault="00D25141">
            <w:pPr>
              <w:pStyle w:val="TEXT"/>
            </w:pPr>
            <w:r w:rsidRPr="00F668D0">
              <w:t>Scenario</w:t>
            </w:r>
          </w:p>
        </w:tc>
        <w:tc>
          <w:tcPr>
            <w:tcW w:w="885" w:type="pct"/>
            <w:tcBorders>
              <w:top w:val="single" w:sz="4" w:space="0" w:color="auto"/>
              <w:left w:val="nil"/>
              <w:bottom w:val="single" w:sz="4" w:space="0" w:color="auto"/>
              <w:right w:val="nil"/>
            </w:tcBorders>
            <w:shd w:val="clear" w:color="auto" w:fill="auto"/>
            <w:noWrap/>
            <w:vAlign w:val="bottom"/>
            <w:hideMark/>
          </w:tcPr>
          <w:p w:rsidR="00D25141" w:rsidRPr="00F668D0" w:rsidRDefault="00D25141">
            <w:pPr>
              <w:pStyle w:val="TEXT"/>
            </w:pPr>
            <w:r w:rsidRPr="00F668D0">
              <w:t xml:space="preserve">Reuse </w:t>
            </w:r>
          </w:p>
          <w:p w:rsidR="00D25141" w:rsidRPr="00F668D0" w:rsidRDefault="00D25141">
            <w:pPr>
              <w:pStyle w:val="TEXT"/>
            </w:pPr>
            <w:r w:rsidRPr="00F668D0">
              <w:t>(t CO</w:t>
            </w:r>
            <w:r w:rsidRPr="00F668D0">
              <w:rPr>
                <w:vertAlign w:val="subscript"/>
              </w:rPr>
              <w:t>2</w:t>
            </w:r>
            <w:r w:rsidRPr="00F668D0">
              <w:t>e)</w:t>
            </w:r>
          </w:p>
        </w:tc>
        <w:tc>
          <w:tcPr>
            <w:tcW w:w="975" w:type="pct"/>
            <w:tcBorders>
              <w:top w:val="single" w:sz="4" w:space="0" w:color="auto"/>
              <w:left w:val="nil"/>
              <w:bottom w:val="single" w:sz="4" w:space="0" w:color="auto"/>
              <w:right w:val="nil"/>
            </w:tcBorders>
            <w:shd w:val="clear" w:color="auto" w:fill="auto"/>
            <w:noWrap/>
            <w:vAlign w:val="bottom"/>
            <w:hideMark/>
          </w:tcPr>
          <w:p w:rsidR="00D25141" w:rsidRPr="00F668D0" w:rsidRDefault="00D25141">
            <w:pPr>
              <w:pStyle w:val="TEXT"/>
            </w:pPr>
            <w:r w:rsidRPr="00F668D0">
              <w:t xml:space="preserve">Recycle </w:t>
            </w:r>
          </w:p>
          <w:p w:rsidR="00D25141" w:rsidRPr="009E32AC" w:rsidRDefault="00D25141">
            <w:pPr>
              <w:pStyle w:val="TEXT"/>
            </w:pPr>
            <w:r w:rsidRPr="009E32AC">
              <w:t>(t CO</w:t>
            </w:r>
            <w:r w:rsidRPr="009E32AC">
              <w:rPr>
                <w:vertAlign w:val="subscript"/>
              </w:rPr>
              <w:t>2</w:t>
            </w:r>
            <w:r w:rsidRPr="009E32AC">
              <w:t>e)</w:t>
            </w:r>
          </w:p>
        </w:tc>
        <w:tc>
          <w:tcPr>
            <w:tcW w:w="975" w:type="pct"/>
            <w:tcBorders>
              <w:top w:val="single" w:sz="4" w:space="0" w:color="auto"/>
              <w:left w:val="nil"/>
              <w:bottom w:val="single" w:sz="4" w:space="0" w:color="auto"/>
              <w:right w:val="nil"/>
            </w:tcBorders>
            <w:shd w:val="clear" w:color="auto" w:fill="auto"/>
            <w:noWrap/>
            <w:vAlign w:val="bottom"/>
            <w:hideMark/>
          </w:tcPr>
          <w:p w:rsidR="00D25141" w:rsidRPr="00933970" w:rsidRDefault="00D25141">
            <w:pPr>
              <w:pStyle w:val="TEXT"/>
            </w:pPr>
            <w:r w:rsidRPr="00933970">
              <w:t xml:space="preserve">Landfill </w:t>
            </w:r>
          </w:p>
          <w:p w:rsidR="00D25141" w:rsidRPr="00933970" w:rsidRDefault="00D25141">
            <w:pPr>
              <w:pStyle w:val="TEXT"/>
            </w:pPr>
            <w:r w:rsidRPr="00933970">
              <w:t>(t CO</w:t>
            </w:r>
            <w:r w:rsidRPr="00933970">
              <w:rPr>
                <w:vertAlign w:val="subscript"/>
              </w:rPr>
              <w:t>2</w:t>
            </w:r>
            <w:r w:rsidRPr="00933970">
              <w:t>e)</w:t>
            </w:r>
          </w:p>
        </w:tc>
        <w:tc>
          <w:tcPr>
            <w:tcW w:w="844" w:type="pct"/>
            <w:tcBorders>
              <w:top w:val="single" w:sz="4" w:space="0" w:color="auto"/>
              <w:left w:val="nil"/>
              <w:bottom w:val="single" w:sz="4" w:space="0" w:color="auto"/>
              <w:right w:val="nil"/>
            </w:tcBorders>
            <w:shd w:val="clear" w:color="auto" w:fill="auto"/>
            <w:noWrap/>
            <w:vAlign w:val="bottom"/>
            <w:hideMark/>
          </w:tcPr>
          <w:p w:rsidR="00D25141" w:rsidRPr="00933970" w:rsidRDefault="00D25141">
            <w:pPr>
              <w:pStyle w:val="TEXT"/>
            </w:pPr>
            <w:r w:rsidRPr="00933970">
              <w:t xml:space="preserve">Net total </w:t>
            </w:r>
          </w:p>
          <w:p w:rsidR="00D25141" w:rsidRPr="00933970" w:rsidRDefault="00D25141">
            <w:pPr>
              <w:pStyle w:val="TEXT"/>
            </w:pPr>
            <w:r w:rsidRPr="00933970">
              <w:t>(t CO</w:t>
            </w:r>
            <w:r w:rsidRPr="00933970">
              <w:rPr>
                <w:vertAlign w:val="subscript"/>
              </w:rPr>
              <w:t>2</w:t>
            </w:r>
            <w:r w:rsidRPr="00933970">
              <w:t>e)</w:t>
            </w:r>
          </w:p>
        </w:tc>
      </w:tr>
      <w:tr w:rsidR="00D25141" w:rsidRPr="002024C1" w:rsidTr="00D75E08">
        <w:trPr>
          <w:trHeight w:val="315"/>
          <w:jc w:val="center"/>
        </w:trPr>
        <w:tc>
          <w:tcPr>
            <w:tcW w:w="579" w:type="pct"/>
            <w:tcBorders>
              <w:top w:val="single" w:sz="4" w:space="0" w:color="auto"/>
              <w:left w:val="nil"/>
              <w:bottom w:val="nil"/>
              <w:right w:val="nil"/>
            </w:tcBorders>
            <w:shd w:val="clear" w:color="auto" w:fill="auto"/>
            <w:noWrap/>
            <w:vAlign w:val="bottom"/>
            <w:hideMark/>
          </w:tcPr>
          <w:p w:rsidR="00D25141" w:rsidRPr="002024C1" w:rsidRDefault="00D25141" w:rsidP="00F54FD3">
            <w:pPr>
              <w:pStyle w:val="TEXT"/>
            </w:pPr>
            <w:r w:rsidRPr="002024C1">
              <w:t>2010</w:t>
            </w:r>
          </w:p>
        </w:tc>
        <w:tc>
          <w:tcPr>
            <w:tcW w:w="743" w:type="pct"/>
            <w:tcBorders>
              <w:top w:val="single" w:sz="4" w:space="0" w:color="auto"/>
              <w:left w:val="nil"/>
              <w:bottom w:val="nil"/>
              <w:right w:val="nil"/>
            </w:tcBorders>
            <w:shd w:val="clear" w:color="auto" w:fill="auto"/>
            <w:noWrap/>
            <w:vAlign w:val="bottom"/>
            <w:hideMark/>
          </w:tcPr>
          <w:p w:rsidR="00D25141" w:rsidRPr="002024C1" w:rsidRDefault="00D25141">
            <w:pPr>
              <w:pStyle w:val="TEXT"/>
            </w:pPr>
            <w:r w:rsidRPr="002024C1">
              <w:t>-</w:t>
            </w:r>
          </w:p>
        </w:tc>
        <w:tc>
          <w:tcPr>
            <w:tcW w:w="885" w:type="pct"/>
            <w:tcBorders>
              <w:top w:val="single" w:sz="4" w:space="0" w:color="auto"/>
              <w:left w:val="nil"/>
              <w:bottom w:val="nil"/>
              <w:right w:val="nil"/>
            </w:tcBorders>
            <w:shd w:val="clear" w:color="auto" w:fill="auto"/>
            <w:noWrap/>
            <w:vAlign w:val="bottom"/>
            <w:hideMark/>
          </w:tcPr>
          <w:p w:rsidR="00D25141" w:rsidRPr="00F668D0" w:rsidRDefault="00D25141">
            <w:pPr>
              <w:pStyle w:val="TEXT"/>
            </w:pPr>
            <w:r w:rsidRPr="00F668D0">
              <w:t>-149,533</w:t>
            </w:r>
          </w:p>
        </w:tc>
        <w:tc>
          <w:tcPr>
            <w:tcW w:w="975" w:type="pct"/>
            <w:tcBorders>
              <w:top w:val="single" w:sz="4" w:space="0" w:color="auto"/>
              <w:left w:val="nil"/>
              <w:bottom w:val="nil"/>
              <w:right w:val="nil"/>
            </w:tcBorders>
            <w:shd w:val="clear" w:color="auto" w:fill="auto"/>
            <w:noWrap/>
            <w:vAlign w:val="bottom"/>
            <w:hideMark/>
          </w:tcPr>
          <w:p w:rsidR="00D25141" w:rsidRPr="00F668D0" w:rsidRDefault="00D25141">
            <w:pPr>
              <w:pStyle w:val="TEXT"/>
            </w:pPr>
            <w:r w:rsidRPr="00F668D0">
              <w:t>-682,582</w:t>
            </w:r>
          </w:p>
        </w:tc>
        <w:tc>
          <w:tcPr>
            <w:tcW w:w="975" w:type="pct"/>
            <w:tcBorders>
              <w:top w:val="single" w:sz="4" w:space="0" w:color="auto"/>
              <w:left w:val="nil"/>
              <w:bottom w:val="nil"/>
              <w:right w:val="nil"/>
            </w:tcBorders>
            <w:shd w:val="clear" w:color="auto" w:fill="auto"/>
            <w:noWrap/>
            <w:vAlign w:val="bottom"/>
            <w:hideMark/>
          </w:tcPr>
          <w:p w:rsidR="00D25141" w:rsidRPr="00F668D0" w:rsidRDefault="00D25141">
            <w:pPr>
              <w:pStyle w:val="TEXT"/>
            </w:pPr>
            <w:r w:rsidRPr="00F668D0">
              <w:t>14,711</w:t>
            </w:r>
          </w:p>
        </w:tc>
        <w:tc>
          <w:tcPr>
            <w:tcW w:w="844" w:type="pct"/>
            <w:tcBorders>
              <w:top w:val="single" w:sz="4" w:space="0" w:color="auto"/>
              <w:left w:val="nil"/>
              <w:bottom w:val="nil"/>
              <w:right w:val="nil"/>
            </w:tcBorders>
            <w:shd w:val="clear" w:color="auto" w:fill="auto"/>
            <w:noWrap/>
            <w:vAlign w:val="bottom"/>
            <w:hideMark/>
          </w:tcPr>
          <w:p w:rsidR="00D25141" w:rsidRPr="00F668D0" w:rsidRDefault="00D25141">
            <w:pPr>
              <w:pStyle w:val="TEXT"/>
            </w:pPr>
            <w:r w:rsidRPr="00F668D0">
              <w:t>-667,871</w:t>
            </w:r>
          </w:p>
        </w:tc>
      </w:tr>
      <w:tr w:rsidR="00D25141" w:rsidRPr="002024C1" w:rsidTr="00D75E08">
        <w:trPr>
          <w:trHeight w:val="315"/>
          <w:jc w:val="center"/>
        </w:trPr>
        <w:tc>
          <w:tcPr>
            <w:tcW w:w="579" w:type="pct"/>
            <w:tcBorders>
              <w:top w:val="nil"/>
              <w:left w:val="nil"/>
              <w:bottom w:val="nil"/>
              <w:right w:val="nil"/>
            </w:tcBorders>
            <w:shd w:val="clear" w:color="auto" w:fill="auto"/>
            <w:noWrap/>
            <w:vAlign w:val="bottom"/>
            <w:hideMark/>
          </w:tcPr>
          <w:p w:rsidR="00D25141" w:rsidRPr="002024C1" w:rsidRDefault="00D25141" w:rsidP="00F54FD3">
            <w:pPr>
              <w:pStyle w:val="TEXT"/>
            </w:pPr>
            <w:r w:rsidRPr="002024C1">
              <w:t>2011</w:t>
            </w:r>
          </w:p>
        </w:tc>
        <w:tc>
          <w:tcPr>
            <w:tcW w:w="743" w:type="pct"/>
            <w:tcBorders>
              <w:top w:val="nil"/>
              <w:left w:val="nil"/>
              <w:bottom w:val="nil"/>
              <w:right w:val="nil"/>
            </w:tcBorders>
            <w:shd w:val="clear" w:color="auto" w:fill="auto"/>
            <w:noWrap/>
            <w:vAlign w:val="bottom"/>
            <w:hideMark/>
          </w:tcPr>
          <w:p w:rsidR="00D25141" w:rsidRPr="002024C1" w:rsidRDefault="00D25141">
            <w:pPr>
              <w:pStyle w:val="TEXT"/>
            </w:pPr>
            <w:r w:rsidRPr="002024C1">
              <w:t>-</w:t>
            </w:r>
          </w:p>
        </w:tc>
        <w:tc>
          <w:tcPr>
            <w:tcW w:w="885" w:type="pct"/>
            <w:tcBorders>
              <w:top w:val="nil"/>
              <w:left w:val="nil"/>
              <w:bottom w:val="nil"/>
              <w:right w:val="nil"/>
            </w:tcBorders>
            <w:shd w:val="clear" w:color="auto" w:fill="auto"/>
            <w:noWrap/>
            <w:vAlign w:val="bottom"/>
            <w:hideMark/>
          </w:tcPr>
          <w:p w:rsidR="00D25141" w:rsidRPr="00F668D0" w:rsidRDefault="00D25141">
            <w:pPr>
              <w:pStyle w:val="TEXT"/>
            </w:pPr>
            <w:r w:rsidRPr="00F668D0">
              <w:t>-153,713</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-684,550</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14,680</w:t>
            </w:r>
          </w:p>
        </w:tc>
        <w:tc>
          <w:tcPr>
            <w:tcW w:w="844" w:type="pct"/>
            <w:tcBorders>
              <w:top w:val="nil"/>
              <w:left w:val="nil"/>
              <w:bottom w:val="nil"/>
              <w:right w:val="nil"/>
            </w:tcBorders>
            <w:shd w:val="clear" w:color="auto" w:fill="auto"/>
            <w:noWrap/>
            <w:vAlign w:val="bottom"/>
            <w:hideMark/>
          </w:tcPr>
          <w:p w:rsidR="00D25141" w:rsidRPr="00F668D0" w:rsidRDefault="00D25141">
            <w:pPr>
              <w:pStyle w:val="TEXT"/>
            </w:pPr>
            <w:r w:rsidRPr="00F668D0">
              <w:t>-669,870</w:t>
            </w:r>
          </w:p>
        </w:tc>
      </w:tr>
      <w:tr w:rsidR="00D25141" w:rsidRPr="002024C1" w:rsidTr="00D75E08">
        <w:trPr>
          <w:trHeight w:val="315"/>
          <w:jc w:val="center"/>
        </w:trPr>
        <w:tc>
          <w:tcPr>
            <w:tcW w:w="579" w:type="pct"/>
            <w:tcBorders>
              <w:top w:val="nil"/>
              <w:left w:val="nil"/>
              <w:bottom w:val="nil"/>
              <w:right w:val="nil"/>
            </w:tcBorders>
            <w:shd w:val="clear" w:color="auto" w:fill="auto"/>
            <w:noWrap/>
            <w:vAlign w:val="bottom"/>
            <w:hideMark/>
          </w:tcPr>
          <w:p w:rsidR="00D25141" w:rsidRPr="002024C1" w:rsidRDefault="00D25141" w:rsidP="00F54FD3">
            <w:pPr>
              <w:pStyle w:val="TEXT"/>
            </w:pPr>
            <w:r w:rsidRPr="002024C1">
              <w:t>2012</w:t>
            </w:r>
          </w:p>
        </w:tc>
        <w:tc>
          <w:tcPr>
            <w:tcW w:w="743" w:type="pct"/>
            <w:tcBorders>
              <w:top w:val="nil"/>
              <w:left w:val="nil"/>
              <w:bottom w:val="nil"/>
              <w:right w:val="nil"/>
            </w:tcBorders>
            <w:shd w:val="clear" w:color="auto" w:fill="auto"/>
            <w:noWrap/>
            <w:vAlign w:val="bottom"/>
            <w:hideMark/>
          </w:tcPr>
          <w:p w:rsidR="00D25141" w:rsidRPr="002024C1" w:rsidRDefault="00D25141">
            <w:pPr>
              <w:pStyle w:val="TEXT"/>
            </w:pPr>
            <w:r w:rsidRPr="002024C1">
              <w:t>-</w:t>
            </w:r>
          </w:p>
        </w:tc>
        <w:tc>
          <w:tcPr>
            <w:tcW w:w="885" w:type="pct"/>
            <w:tcBorders>
              <w:top w:val="nil"/>
              <w:left w:val="nil"/>
              <w:bottom w:val="nil"/>
              <w:right w:val="nil"/>
            </w:tcBorders>
            <w:shd w:val="clear" w:color="auto" w:fill="auto"/>
            <w:noWrap/>
            <w:vAlign w:val="bottom"/>
            <w:hideMark/>
          </w:tcPr>
          <w:p w:rsidR="00D25141" w:rsidRPr="00F668D0" w:rsidRDefault="00D25141">
            <w:pPr>
              <w:pStyle w:val="TEXT"/>
            </w:pPr>
            <w:r w:rsidRPr="00F668D0">
              <w:t>-153,220</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-696,372</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14,739</w:t>
            </w:r>
          </w:p>
        </w:tc>
        <w:tc>
          <w:tcPr>
            <w:tcW w:w="844" w:type="pct"/>
            <w:tcBorders>
              <w:top w:val="nil"/>
              <w:left w:val="nil"/>
              <w:bottom w:val="nil"/>
              <w:right w:val="nil"/>
            </w:tcBorders>
            <w:shd w:val="clear" w:color="auto" w:fill="auto"/>
            <w:noWrap/>
            <w:vAlign w:val="bottom"/>
            <w:hideMark/>
          </w:tcPr>
          <w:p w:rsidR="00D25141" w:rsidRPr="00F668D0" w:rsidRDefault="00D25141">
            <w:pPr>
              <w:pStyle w:val="TEXT"/>
            </w:pPr>
            <w:r w:rsidRPr="00F668D0">
              <w:t>-681,632</w:t>
            </w:r>
          </w:p>
        </w:tc>
      </w:tr>
      <w:tr w:rsidR="00D25141" w:rsidRPr="002024C1" w:rsidTr="00D75E08">
        <w:trPr>
          <w:trHeight w:val="315"/>
          <w:jc w:val="center"/>
        </w:trPr>
        <w:tc>
          <w:tcPr>
            <w:tcW w:w="579" w:type="pct"/>
            <w:tcBorders>
              <w:top w:val="nil"/>
              <w:left w:val="nil"/>
              <w:bottom w:val="nil"/>
              <w:right w:val="nil"/>
            </w:tcBorders>
            <w:shd w:val="clear" w:color="auto" w:fill="auto"/>
            <w:noWrap/>
            <w:vAlign w:val="bottom"/>
            <w:hideMark/>
          </w:tcPr>
          <w:p w:rsidR="00D25141" w:rsidRPr="002024C1" w:rsidRDefault="00D25141" w:rsidP="00F54FD3">
            <w:pPr>
              <w:pStyle w:val="TEXT"/>
            </w:pPr>
            <w:r w:rsidRPr="002024C1">
              <w:t>2013</w:t>
            </w:r>
          </w:p>
        </w:tc>
        <w:tc>
          <w:tcPr>
            <w:tcW w:w="743" w:type="pct"/>
            <w:tcBorders>
              <w:top w:val="nil"/>
              <w:left w:val="nil"/>
              <w:bottom w:val="nil"/>
              <w:right w:val="nil"/>
            </w:tcBorders>
            <w:shd w:val="clear" w:color="auto" w:fill="auto"/>
            <w:noWrap/>
            <w:vAlign w:val="bottom"/>
            <w:hideMark/>
          </w:tcPr>
          <w:p w:rsidR="00D25141" w:rsidRPr="002024C1" w:rsidRDefault="00D25141">
            <w:pPr>
              <w:pStyle w:val="TEXT"/>
            </w:pPr>
            <w:r w:rsidRPr="002024C1">
              <w:t>-</w:t>
            </w:r>
          </w:p>
        </w:tc>
        <w:tc>
          <w:tcPr>
            <w:tcW w:w="885" w:type="pct"/>
            <w:tcBorders>
              <w:top w:val="nil"/>
              <w:left w:val="nil"/>
              <w:bottom w:val="nil"/>
              <w:right w:val="nil"/>
            </w:tcBorders>
            <w:shd w:val="clear" w:color="auto" w:fill="auto"/>
            <w:noWrap/>
            <w:vAlign w:val="bottom"/>
            <w:hideMark/>
          </w:tcPr>
          <w:p w:rsidR="00D25141" w:rsidRPr="00F668D0" w:rsidRDefault="00D25141">
            <w:pPr>
              <w:pStyle w:val="TEXT"/>
            </w:pPr>
            <w:r w:rsidRPr="00F668D0">
              <w:t>-148,069</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-704,455</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14,754</w:t>
            </w:r>
          </w:p>
        </w:tc>
        <w:tc>
          <w:tcPr>
            <w:tcW w:w="844" w:type="pct"/>
            <w:tcBorders>
              <w:top w:val="nil"/>
              <w:left w:val="nil"/>
              <w:bottom w:val="nil"/>
              <w:right w:val="nil"/>
            </w:tcBorders>
            <w:shd w:val="clear" w:color="auto" w:fill="auto"/>
            <w:noWrap/>
            <w:vAlign w:val="bottom"/>
            <w:hideMark/>
          </w:tcPr>
          <w:p w:rsidR="00D25141" w:rsidRPr="00F668D0" w:rsidRDefault="00D25141">
            <w:pPr>
              <w:pStyle w:val="TEXT"/>
            </w:pPr>
            <w:r w:rsidRPr="00F668D0">
              <w:t>-689,701</w:t>
            </w:r>
          </w:p>
        </w:tc>
      </w:tr>
      <w:tr w:rsidR="00D25141" w:rsidRPr="002024C1" w:rsidTr="00D75E08">
        <w:trPr>
          <w:trHeight w:val="315"/>
          <w:jc w:val="center"/>
        </w:trPr>
        <w:tc>
          <w:tcPr>
            <w:tcW w:w="579" w:type="pct"/>
            <w:vMerge w:val="restart"/>
            <w:tcBorders>
              <w:top w:val="nil"/>
              <w:left w:val="nil"/>
              <w:bottom w:val="nil"/>
              <w:right w:val="nil"/>
            </w:tcBorders>
            <w:shd w:val="clear" w:color="auto" w:fill="auto"/>
            <w:noWrap/>
            <w:vAlign w:val="center"/>
            <w:hideMark/>
          </w:tcPr>
          <w:p w:rsidR="00D25141" w:rsidRPr="002024C1" w:rsidRDefault="00D25141" w:rsidP="00F54FD3">
            <w:pPr>
              <w:pStyle w:val="TEXT"/>
            </w:pPr>
            <w:r w:rsidRPr="002024C1">
              <w:t>2015</w:t>
            </w:r>
          </w:p>
        </w:tc>
        <w:tc>
          <w:tcPr>
            <w:tcW w:w="743" w:type="pct"/>
            <w:tcBorders>
              <w:top w:val="nil"/>
              <w:left w:val="nil"/>
              <w:bottom w:val="nil"/>
              <w:right w:val="nil"/>
            </w:tcBorders>
            <w:shd w:val="clear" w:color="auto" w:fill="auto"/>
            <w:noWrap/>
            <w:vAlign w:val="bottom"/>
            <w:hideMark/>
          </w:tcPr>
          <w:p w:rsidR="00D25141" w:rsidRPr="002024C1" w:rsidRDefault="00D25141">
            <w:pPr>
              <w:pStyle w:val="TEXT"/>
            </w:pPr>
            <w:r w:rsidRPr="002024C1">
              <w:t>Low</w:t>
            </w:r>
          </w:p>
        </w:tc>
        <w:tc>
          <w:tcPr>
            <w:tcW w:w="885" w:type="pct"/>
            <w:tcBorders>
              <w:top w:val="nil"/>
              <w:left w:val="nil"/>
              <w:bottom w:val="nil"/>
              <w:right w:val="nil"/>
            </w:tcBorders>
            <w:shd w:val="clear" w:color="auto" w:fill="auto"/>
            <w:noWrap/>
            <w:vAlign w:val="bottom"/>
            <w:hideMark/>
          </w:tcPr>
          <w:p w:rsidR="00D25141" w:rsidRPr="00F668D0" w:rsidRDefault="00D25141">
            <w:pPr>
              <w:pStyle w:val="TEXT"/>
            </w:pPr>
            <w:r w:rsidRPr="00F668D0">
              <w:t>-148,527</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-639,321</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14,465</w:t>
            </w:r>
          </w:p>
        </w:tc>
        <w:tc>
          <w:tcPr>
            <w:tcW w:w="844" w:type="pct"/>
            <w:tcBorders>
              <w:top w:val="nil"/>
              <w:left w:val="nil"/>
              <w:bottom w:val="nil"/>
              <w:right w:val="nil"/>
            </w:tcBorders>
            <w:shd w:val="clear" w:color="auto" w:fill="auto"/>
            <w:noWrap/>
            <w:vAlign w:val="bottom"/>
            <w:hideMark/>
          </w:tcPr>
          <w:p w:rsidR="00D25141" w:rsidRPr="00F668D0" w:rsidRDefault="00D25141">
            <w:pPr>
              <w:pStyle w:val="TEXT"/>
            </w:pPr>
            <w:r w:rsidRPr="00F668D0">
              <w:t>-624,856</w:t>
            </w:r>
          </w:p>
        </w:tc>
      </w:tr>
      <w:tr w:rsidR="00D25141" w:rsidRPr="002024C1" w:rsidTr="00D75E08">
        <w:trPr>
          <w:trHeight w:val="315"/>
          <w:jc w:val="center"/>
        </w:trPr>
        <w:tc>
          <w:tcPr>
            <w:tcW w:w="579" w:type="pct"/>
            <w:vMerge/>
            <w:tcBorders>
              <w:top w:val="nil"/>
              <w:left w:val="nil"/>
              <w:bottom w:val="nil"/>
              <w:right w:val="nil"/>
            </w:tcBorders>
            <w:vAlign w:val="center"/>
            <w:hideMark/>
          </w:tcPr>
          <w:p w:rsidR="00D25141" w:rsidRPr="00F54FD3" w:rsidRDefault="00D25141" w:rsidP="00F54FD3">
            <w:pPr>
              <w:pStyle w:val="TEXT"/>
            </w:pPr>
          </w:p>
        </w:tc>
        <w:tc>
          <w:tcPr>
            <w:tcW w:w="743" w:type="pct"/>
            <w:tcBorders>
              <w:top w:val="nil"/>
              <w:left w:val="nil"/>
              <w:bottom w:val="nil"/>
              <w:right w:val="nil"/>
            </w:tcBorders>
            <w:shd w:val="clear" w:color="auto" w:fill="auto"/>
            <w:noWrap/>
            <w:vAlign w:val="bottom"/>
            <w:hideMark/>
          </w:tcPr>
          <w:p w:rsidR="00D25141" w:rsidRPr="00F54FD3" w:rsidRDefault="00D25141">
            <w:pPr>
              <w:pStyle w:val="TEXT"/>
            </w:pPr>
            <w:r w:rsidRPr="00F54FD3">
              <w:t>Medium</w:t>
            </w:r>
          </w:p>
        </w:tc>
        <w:tc>
          <w:tcPr>
            <w:tcW w:w="885" w:type="pct"/>
            <w:tcBorders>
              <w:top w:val="nil"/>
              <w:left w:val="nil"/>
              <w:bottom w:val="nil"/>
              <w:right w:val="nil"/>
            </w:tcBorders>
            <w:shd w:val="clear" w:color="auto" w:fill="auto"/>
            <w:noWrap/>
            <w:vAlign w:val="bottom"/>
            <w:hideMark/>
          </w:tcPr>
          <w:p w:rsidR="00D25141" w:rsidRPr="00F54FD3" w:rsidRDefault="00D25141">
            <w:pPr>
              <w:pStyle w:val="TEXT"/>
            </w:pPr>
            <w:r w:rsidRPr="00F54FD3">
              <w:t>-160,607</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-670,453</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15,205</w:t>
            </w:r>
          </w:p>
        </w:tc>
        <w:tc>
          <w:tcPr>
            <w:tcW w:w="844" w:type="pct"/>
            <w:tcBorders>
              <w:top w:val="nil"/>
              <w:left w:val="nil"/>
              <w:bottom w:val="nil"/>
              <w:right w:val="nil"/>
            </w:tcBorders>
            <w:shd w:val="clear" w:color="auto" w:fill="auto"/>
            <w:noWrap/>
            <w:vAlign w:val="bottom"/>
            <w:hideMark/>
          </w:tcPr>
          <w:p w:rsidR="00D25141" w:rsidRPr="00F54FD3" w:rsidRDefault="00D25141">
            <w:pPr>
              <w:pStyle w:val="TEXT"/>
            </w:pPr>
            <w:r w:rsidRPr="00F54FD3">
              <w:t>-655,248</w:t>
            </w:r>
          </w:p>
        </w:tc>
      </w:tr>
      <w:tr w:rsidR="00D25141" w:rsidRPr="002024C1" w:rsidTr="00D75E08">
        <w:trPr>
          <w:trHeight w:val="315"/>
          <w:jc w:val="center"/>
        </w:trPr>
        <w:tc>
          <w:tcPr>
            <w:tcW w:w="579" w:type="pct"/>
            <w:vMerge/>
            <w:tcBorders>
              <w:top w:val="nil"/>
              <w:left w:val="nil"/>
              <w:bottom w:val="nil"/>
              <w:right w:val="nil"/>
            </w:tcBorders>
            <w:vAlign w:val="center"/>
            <w:hideMark/>
          </w:tcPr>
          <w:p w:rsidR="00D25141" w:rsidRPr="00F54FD3" w:rsidRDefault="00D25141" w:rsidP="00F54FD3">
            <w:pPr>
              <w:pStyle w:val="TEXT"/>
            </w:pPr>
          </w:p>
        </w:tc>
        <w:tc>
          <w:tcPr>
            <w:tcW w:w="743" w:type="pct"/>
            <w:tcBorders>
              <w:top w:val="nil"/>
              <w:left w:val="nil"/>
              <w:bottom w:val="nil"/>
              <w:right w:val="nil"/>
            </w:tcBorders>
            <w:shd w:val="clear" w:color="auto" w:fill="auto"/>
            <w:noWrap/>
            <w:vAlign w:val="bottom"/>
            <w:hideMark/>
          </w:tcPr>
          <w:p w:rsidR="00D25141" w:rsidRPr="00F54FD3" w:rsidRDefault="00D25141">
            <w:pPr>
              <w:pStyle w:val="TEXT"/>
            </w:pPr>
            <w:r w:rsidRPr="00F54FD3">
              <w:t>High</w:t>
            </w:r>
          </w:p>
        </w:tc>
        <w:tc>
          <w:tcPr>
            <w:tcW w:w="885" w:type="pct"/>
            <w:tcBorders>
              <w:top w:val="nil"/>
              <w:left w:val="nil"/>
              <w:bottom w:val="nil"/>
              <w:right w:val="nil"/>
            </w:tcBorders>
            <w:shd w:val="clear" w:color="auto" w:fill="auto"/>
            <w:noWrap/>
            <w:vAlign w:val="bottom"/>
            <w:hideMark/>
          </w:tcPr>
          <w:p w:rsidR="00D25141" w:rsidRPr="00073F20" w:rsidRDefault="00D25141">
            <w:pPr>
              <w:pStyle w:val="TEXT"/>
            </w:pPr>
            <w:r w:rsidRPr="00073F20">
              <w:t>-170,901</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-701,863</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15,914</w:t>
            </w:r>
          </w:p>
        </w:tc>
        <w:tc>
          <w:tcPr>
            <w:tcW w:w="844" w:type="pct"/>
            <w:tcBorders>
              <w:top w:val="nil"/>
              <w:left w:val="nil"/>
              <w:bottom w:val="nil"/>
              <w:right w:val="nil"/>
            </w:tcBorders>
            <w:shd w:val="clear" w:color="auto" w:fill="auto"/>
            <w:noWrap/>
            <w:vAlign w:val="bottom"/>
            <w:hideMark/>
          </w:tcPr>
          <w:p w:rsidR="00D25141" w:rsidRPr="00F54FD3" w:rsidRDefault="00D25141">
            <w:pPr>
              <w:pStyle w:val="TEXT"/>
            </w:pPr>
            <w:r w:rsidRPr="00F54FD3">
              <w:t>-685,949</w:t>
            </w:r>
          </w:p>
        </w:tc>
      </w:tr>
      <w:tr w:rsidR="00D25141" w:rsidRPr="002024C1" w:rsidTr="00D75E08">
        <w:trPr>
          <w:trHeight w:val="315"/>
          <w:jc w:val="center"/>
        </w:trPr>
        <w:tc>
          <w:tcPr>
            <w:tcW w:w="579" w:type="pct"/>
            <w:vMerge w:val="restart"/>
            <w:tcBorders>
              <w:top w:val="nil"/>
              <w:left w:val="nil"/>
              <w:bottom w:val="nil"/>
              <w:right w:val="nil"/>
            </w:tcBorders>
            <w:shd w:val="clear" w:color="auto" w:fill="auto"/>
            <w:noWrap/>
            <w:vAlign w:val="center"/>
            <w:hideMark/>
          </w:tcPr>
          <w:p w:rsidR="00D25141" w:rsidRPr="002024C1" w:rsidRDefault="00D25141" w:rsidP="00F54FD3">
            <w:pPr>
              <w:pStyle w:val="TEXT"/>
            </w:pPr>
            <w:r w:rsidRPr="002024C1">
              <w:t>2020</w:t>
            </w:r>
          </w:p>
        </w:tc>
        <w:tc>
          <w:tcPr>
            <w:tcW w:w="743" w:type="pct"/>
            <w:tcBorders>
              <w:top w:val="nil"/>
              <w:left w:val="nil"/>
              <w:bottom w:val="nil"/>
              <w:right w:val="nil"/>
            </w:tcBorders>
            <w:shd w:val="clear" w:color="auto" w:fill="auto"/>
            <w:noWrap/>
            <w:vAlign w:val="bottom"/>
            <w:hideMark/>
          </w:tcPr>
          <w:p w:rsidR="00D25141" w:rsidRPr="002024C1" w:rsidRDefault="00D25141">
            <w:pPr>
              <w:pStyle w:val="TEXT"/>
            </w:pPr>
            <w:r w:rsidRPr="002024C1">
              <w:t>Low</w:t>
            </w:r>
          </w:p>
        </w:tc>
        <w:tc>
          <w:tcPr>
            <w:tcW w:w="885" w:type="pct"/>
            <w:tcBorders>
              <w:top w:val="nil"/>
              <w:left w:val="nil"/>
              <w:bottom w:val="nil"/>
              <w:right w:val="nil"/>
            </w:tcBorders>
            <w:shd w:val="clear" w:color="auto" w:fill="auto"/>
            <w:noWrap/>
            <w:vAlign w:val="bottom"/>
            <w:hideMark/>
          </w:tcPr>
          <w:p w:rsidR="00D25141" w:rsidRPr="00F668D0" w:rsidRDefault="00D25141">
            <w:pPr>
              <w:pStyle w:val="TEXT"/>
            </w:pPr>
            <w:r w:rsidRPr="00F668D0">
              <w:t>-150,434</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-654,566</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14,464</w:t>
            </w:r>
          </w:p>
        </w:tc>
        <w:tc>
          <w:tcPr>
            <w:tcW w:w="844" w:type="pct"/>
            <w:tcBorders>
              <w:top w:val="nil"/>
              <w:left w:val="nil"/>
              <w:bottom w:val="nil"/>
              <w:right w:val="nil"/>
            </w:tcBorders>
            <w:shd w:val="clear" w:color="auto" w:fill="auto"/>
            <w:noWrap/>
            <w:vAlign w:val="bottom"/>
            <w:hideMark/>
          </w:tcPr>
          <w:p w:rsidR="00D25141" w:rsidRPr="00F668D0" w:rsidRDefault="00D25141">
            <w:pPr>
              <w:pStyle w:val="TEXT"/>
            </w:pPr>
            <w:r w:rsidRPr="00F668D0">
              <w:t>-640,102</w:t>
            </w:r>
          </w:p>
        </w:tc>
      </w:tr>
      <w:tr w:rsidR="00D25141" w:rsidRPr="002024C1" w:rsidTr="00D75E08">
        <w:trPr>
          <w:trHeight w:val="315"/>
          <w:jc w:val="center"/>
        </w:trPr>
        <w:tc>
          <w:tcPr>
            <w:tcW w:w="579" w:type="pct"/>
            <w:vMerge/>
            <w:tcBorders>
              <w:top w:val="nil"/>
              <w:left w:val="nil"/>
              <w:bottom w:val="nil"/>
              <w:right w:val="nil"/>
            </w:tcBorders>
            <w:vAlign w:val="center"/>
            <w:hideMark/>
          </w:tcPr>
          <w:p w:rsidR="00D25141" w:rsidRPr="00F54FD3" w:rsidRDefault="00D25141" w:rsidP="00F54FD3">
            <w:pPr>
              <w:pStyle w:val="TEXT"/>
            </w:pPr>
          </w:p>
        </w:tc>
        <w:tc>
          <w:tcPr>
            <w:tcW w:w="743" w:type="pct"/>
            <w:tcBorders>
              <w:top w:val="nil"/>
              <w:left w:val="nil"/>
              <w:bottom w:val="nil"/>
              <w:right w:val="nil"/>
            </w:tcBorders>
            <w:shd w:val="clear" w:color="auto" w:fill="auto"/>
            <w:noWrap/>
            <w:vAlign w:val="bottom"/>
            <w:hideMark/>
          </w:tcPr>
          <w:p w:rsidR="00D25141" w:rsidRPr="00F54FD3" w:rsidRDefault="00D25141">
            <w:pPr>
              <w:pStyle w:val="TEXT"/>
            </w:pPr>
            <w:r w:rsidRPr="00F54FD3">
              <w:t>Medium</w:t>
            </w:r>
          </w:p>
        </w:tc>
        <w:tc>
          <w:tcPr>
            <w:tcW w:w="885" w:type="pct"/>
            <w:tcBorders>
              <w:top w:val="nil"/>
              <w:left w:val="nil"/>
              <w:bottom w:val="nil"/>
              <w:right w:val="nil"/>
            </w:tcBorders>
            <w:shd w:val="clear" w:color="auto" w:fill="auto"/>
            <w:noWrap/>
            <w:vAlign w:val="bottom"/>
            <w:hideMark/>
          </w:tcPr>
          <w:p w:rsidR="00D25141" w:rsidRPr="00F54FD3" w:rsidRDefault="00D25141">
            <w:pPr>
              <w:pStyle w:val="TEXT"/>
            </w:pPr>
            <w:r w:rsidRPr="00F54FD3">
              <w:t>-160,755</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-686,133</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15,175</w:t>
            </w:r>
          </w:p>
        </w:tc>
        <w:tc>
          <w:tcPr>
            <w:tcW w:w="844" w:type="pct"/>
            <w:tcBorders>
              <w:top w:val="nil"/>
              <w:left w:val="nil"/>
              <w:bottom w:val="nil"/>
              <w:right w:val="nil"/>
            </w:tcBorders>
            <w:shd w:val="clear" w:color="auto" w:fill="auto"/>
            <w:noWrap/>
            <w:vAlign w:val="bottom"/>
            <w:hideMark/>
          </w:tcPr>
          <w:p w:rsidR="00D25141" w:rsidRPr="00F54FD3" w:rsidRDefault="00D25141">
            <w:pPr>
              <w:pStyle w:val="TEXT"/>
            </w:pPr>
            <w:r w:rsidRPr="00F54FD3">
              <w:t>-670,959</w:t>
            </w:r>
          </w:p>
        </w:tc>
      </w:tr>
      <w:tr w:rsidR="00D25141" w:rsidRPr="002024C1" w:rsidTr="00D75E08">
        <w:trPr>
          <w:trHeight w:val="315"/>
          <w:jc w:val="center"/>
        </w:trPr>
        <w:tc>
          <w:tcPr>
            <w:tcW w:w="579" w:type="pct"/>
            <w:vMerge/>
            <w:tcBorders>
              <w:top w:val="nil"/>
              <w:left w:val="nil"/>
              <w:bottom w:val="nil"/>
              <w:right w:val="nil"/>
            </w:tcBorders>
            <w:vAlign w:val="center"/>
            <w:hideMark/>
          </w:tcPr>
          <w:p w:rsidR="00D25141" w:rsidRPr="00F54FD3" w:rsidRDefault="00D25141" w:rsidP="00F54FD3">
            <w:pPr>
              <w:pStyle w:val="TEXT"/>
            </w:pPr>
          </w:p>
        </w:tc>
        <w:tc>
          <w:tcPr>
            <w:tcW w:w="743" w:type="pct"/>
            <w:tcBorders>
              <w:top w:val="nil"/>
              <w:left w:val="nil"/>
              <w:bottom w:val="nil"/>
              <w:right w:val="nil"/>
            </w:tcBorders>
            <w:shd w:val="clear" w:color="auto" w:fill="auto"/>
            <w:noWrap/>
            <w:vAlign w:val="bottom"/>
            <w:hideMark/>
          </w:tcPr>
          <w:p w:rsidR="00D25141" w:rsidRPr="00F54FD3" w:rsidRDefault="00D25141">
            <w:pPr>
              <w:pStyle w:val="TEXT"/>
            </w:pPr>
            <w:r w:rsidRPr="00F54FD3">
              <w:t>High</w:t>
            </w:r>
          </w:p>
        </w:tc>
        <w:tc>
          <w:tcPr>
            <w:tcW w:w="885" w:type="pct"/>
            <w:tcBorders>
              <w:top w:val="nil"/>
              <w:left w:val="nil"/>
              <w:bottom w:val="nil"/>
              <w:right w:val="nil"/>
            </w:tcBorders>
            <w:shd w:val="clear" w:color="auto" w:fill="auto"/>
            <w:noWrap/>
            <w:vAlign w:val="bottom"/>
            <w:hideMark/>
          </w:tcPr>
          <w:p w:rsidR="00D25141" w:rsidRPr="00F54FD3" w:rsidRDefault="00D25141">
            <w:pPr>
              <w:pStyle w:val="TEXT"/>
            </w:pPr>
            <w:r w:rsidRPr="00F54FD3">
              <w:t>-173,094</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-719,403</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15,893</w:t>
            </w:r>
          </w:p>
        </w:tc>
        <w:tc>
          <w:tcPr>
            <w:tcW w:w="844" w:type="pct"/>
            <w:tcBorders>
              <w:top w:val="nil"/>
              <w:left w:val="nil"/>
              <w:bottom w:val="nil"/>
              <w:right w:val="nil"/>
            </w:tcBorders>
            <w:shd w:val="clear" w:color="auto" w:fill="auto"/>
            <w:noWrap/>
            <w:vAlign w:val="bottom"/>
            <w:hideMark/>
          </w:tcPr>
          <w:p w:rsidR="00D25141" w:rsidRPr="00F54FD3" w:rsidRDefault="00D25141">
            <w:pPr>
              <w:pStyle w:val="TEXT"/>
            </w:pPr>
            <w:r w:rsidRPr="00F54FD3">
              <w:t>-703,512</w:t>
            </w:r>
          </w:p>
        </w:tc>
      </w:tr>
      <w:tr w:rsidR="00D25141" w:rsidRPr="002024C1" w:rsidTr="00D75E08">
        <w:trPr>
          <w:trHeight w:val="315"/>
          <w:jc w:val="center"/>
        </w:trPr>
        <w:tc>
          <w:tcPr>
            <w:tcW w:w="579" w:type="pct"/>
            <w:vMerge w:val="restart"/>
            <w:tcBorders>
              <w:top w:val="nil"/>
              <w:left w:val="nil"/>
              <w:bottom w:val="nil"/>
              <w:right w:val="nil"/>
            </w:tcBorders>
            <w:shd w:val="clear" w:color="auto" w:fill="auto"/>
            <w:noWrap/>
            <w:vAlign w:val="center"/>
            <w:hideMark/>
          </w:tcPr>
          <w:p w:rsidR="00D25141" w:rsidRPr="002024C1" w:rsidRDefault="00D25141" w:rsidP="00F54FD3">
            <w:pPr>
              <w:pStyle w:val="TEXT"/>
            </w:pPr>
            <w:r w:rsidRPr="002024C1">
              <w:t>2025</w:t>
            </w:r>
          </w:p>
        </w:tc>
        <w:tc>
          <w:tcPr>
            <w:tcW w:w="743" w:type="pct"/>
            <w:tcBorders>
              <w:top w:val="nil"/>
              <w:left w:val="nil"/>
              <w:bottom w:val="nil"/>
              <w:right w:val="nil"/>
            </w:tcBorders>
            <w:shd w:val="clear" w:color="auto" w:fill="auto"/>
            <w:noWrap/>
            <w:vAlign w:val="bottom"/>
            <w:hideMark/>
          </w:tcPr>
          <w:p w:rsidR="00D25141" w:rsidRPr="002024C1" w:rsidRDefault="00D25141">
            <w:pPr>
              <w:pStyle w:val="TEXT"/>
            </w:pPr>
            <w:r w:rsidRPr="002024C1">
              <w:t>Low</w:t>
            </w:r>
          </w:p>
        </w:tc>
        <w:tc>
          <w:tcPr>
            <w:tcW w:w="885" w:type="pct"/>
            <w:tcBorders>
              <w:top w:val="nil"/>
              <w:left w:val="nil"/>
              <w:bottom w:val="nil"/>
              <w:right w:val="nil"/>
            </w:tcBorders>
            <w:shd w:val="clear" w:color="auto" w:fill="auto"/>
            <w:noWrap/>
            <w:vAlign w:val="bottom"/>
            <w:hideMark/>
          </w:tcPr>
          <w:p w:rsidR="00D25141" w:rsidRPr="00F668D0" w:rsidRDefault="00D25141">
            <w:pPr>
              <w:pStyle w:val="TEXT"/>
            </w:pPr>
            <w:r w:rsidRPr="00F668D0">
              <w:t>-155,860</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-688,348</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15,138</w:t>
            </w:r>
          </w:p>
        </w:tc>
        <w:tc>
          <w:tcPr>
            <w:tcW w:w="844" w:type="pct"/>
            <w:tcBorders>
              <w:top w:val="nil"/>
              <w:left w:val="nil"/>
              <w:bottom w:val="nil"/>
              <w:right w:val="nil"/>
            </w:tcBorders>
            <w:shd w:val="clear" w:color="auto" w:fill="auto"/>
            <w:noWrap/>
            <w:vAlign w:val="bottom"/>
            <w:hideMark/>
          </w:tcPr>
          <w:p w:rsidR="00D25141" w:rsidRPr="00F668D0" w:rsidRDefault="00D25141">
            <w:pPr>
              <w:pStyle w:val="TEXT"/>
            </w:pPr>
            <w:r w:rsidRPr="00F668D0">
              <w:t>-673,210</w:t>
            </w:r>
          </w:p>
        </w:tc>
      </w:tr>
      <w:tr w:rsidR="00D25141" w:rsidRPr="002024C1" w:rsidTr="00D75E08">
        <w:trPr>
          <w:trHeight w:val="315"/>
          <w:jc w:val="center"/>
        </w:trPr>
        <w:tc>
          <w:tcPr>
            <w:tcW w:w="579" w:type="pct"/>
            <w:vMerge/>
            <w:tcBorders>
              <w:top w:val="nil"/>
              <w:left w:val="nil"/>
              <w:bottom w:val="nil"/>
              <w:right w:val="nil"/>
            </w:tcBorders>
            <w:vAlign w:val="center"/>
            <w:hideMark/>
          </w:tcPr>
          <w:p w:rsidR="00D25141" w:rsidRPr="00F54FD3" w:rsidRDefault="00D25141" w:rsidP="00F54FD3">
            <w:pPr>
              <w:pStyle w:val="TEXT"/>
            </w:pPr>
          </w:p>
        </w:tc>
        <w:tc>
          <w:tcPr>
            <w:tcW w:w="743" w:type="pct"/>
            <w:tcBorders>
              <w:top w:val="nil"/>
              <w:left w:val="nil"/>
              <w:bottom w:val="nil"/>
              <w:right w:val="nil"/>
            </w:tcBorders>
            <w:shd w:val="clear" w:color="auto" w:fill="auto"/>
            <w:noWrap/>
            <w:vAlign w:val="bottom"/>
            <w:hideMark/>
          </w:tcPr>
          <w:p w:rsidR="00D25141" w:rsidRPr="00F54FD3" w:rsidRDefault="00D25141">
            <w:pPr>
              <w:pStyle w:val="TEXT"/>
            </w:pPr>
            <w:r w:rsidRPr="00F54FD3">
              <w:t>Medium</w:t>
            </w:r>
          </w:p>
        </w:tc>
        <w:tc>
          <w:tcPr>
            <w:tcW w:w="885" w:type="pct"/>
            <w:tcBorders>
              <w:top w:val="nil"/>
              <w:left w:val="nil"/>
              <w:bottom w:val="nil"/>
              <w:right w:val="nil"/>
            </w:tcBorders>
            <w:shd w:val="clear" w:color="auto" w:fill="auto"/>
            <w:noWrap/>
            <w:vAlign w:val="bottom"/>
            <w:hideMark/>
          </w:tcPr>
          <w:p w:rsidR="00D25141" w:rsidRPr="00F54FD3" w:rsidRDefault="00D25141">
            <w:pPr>
              <w:pStyle w:val="TEXT"/>
            </w:pPr>
            <w:r w:rsidRPr="00F54FD3">
              <w:t>-166,681</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-721481</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15,924</w:t>
            </w:r>
          </w:p>
        </w:tc>
        <w:tc>
          <w:tcPr>
            <w:tcW w:w="844" w:type="pct"/>
            <w:tcBorders>
              <w:top w:val="nil"/>
              <w:left w:val="nil"/>
              <w:bottom w:val="nil"/>
              <w:right w:val="nil"/>
            </w:tcBorders>
            <w:shd w:val="clear" w:color="auto" w:fill="auto"/>
            <w:noWrap/>
            <w:vAlign w:val="bottom"/>
            <w:hideMark/>
          </w:tcPr>
          <w:p w:rsidR="00D25141" w:rsidRPr="00F54FD3" w:rsidRDefault="00D25141">
            <w:pPr>
              <w:pStyle w:val="TEXT"/>
            </w:pPr>
            <w:r w:rsidRPr="00F54FD3">
              <w:t>-705,557</w:t>
            </w:r>
          </w:p>
        </w:tc>
      </w:tr>
      <w:tr w:rsidR="00D25141" w:rsidRPr="002024C1" w:rsidTr="00D75E08">
        <w:trPr>
          <w:trHeight w:val="315"/>
          <w:jc w:val="center"/>
        </w:trPr>
        <w:tc>
          <w:tcPr>
            <w:tcW w:w="579" w:type="pct"/>
            <w:vMerge/>
            <w:tcBorders>
              <w:top w:val="nil"/>
              <w:left w:val="nil"/>
              <w:bottom w:val="nil"/>
              <w:right w:val="nil"/>
            </w:tcBorders>
            <w:vAlign w:val="center"/>
            <w:hideMark/>
          </w:tcPr>
          <w:p w:rsidR="00D25141" w:rsidRPr="00F54FD3" w:rsidRDefault="00D25141" w:rsidP="00F54FD3">
            <w:pPr>
              <w:pStyle w:val="TEXT"/>
            </w:pPr>
          </w:p>
        </w:tc>
        <w:tc>
          <w:tcPr>
            <w:tcW w:w="743" w:type="pct"/>
            <w:tcBorders>
              <w:top w:val="nil"/>
              <w:left w:val="nil"/>
              <w:bottom w:val="nil"/>
              <w:right w:val="nil"/>
            </w:tcBorders>
            <w:shd w:val="clear" w:color="auto" w:fill="auto"/>
            <w:noWrap/>
            <w:vAlign w:val="bottom"/>
            <w:hideMark/>
          </w:tcPr>
          <w:p w:rsidR="00D25141" w:rsidRPr="00F54FD3" w:rsidRDefault="00D25141">
            <w:pPr>
              <w:pStyle w:val="TEXT"/>
            </w:pPr>
            <w:r w:rsidRPr="00F54FD3">
              <w:t>High</w:t>
            </w:r>
          </w:p>
        </w:tc>
        <w:tc>
          <w:tcPr>
            <w:tcW w:w="885" w:type="pct"/>
            <w:tcBorders>
              <w:top w:val="nil"/>
              <w:left w:val="nil"/>
              <w:bottom w:val="nil"/>
              <w:right w:val="nil"/>
            </w:tcBorders>
            <w:shd w:val="clear" w:color="auto" w:fill="auto"/>
            <w:noWrap/>
            <w:vAlign w:val="bottom"/>
            <w:hideMark/>
          </w:tcPr>
          <w:p w:rsidR="00D25141" w:rsidRPr="00F54FD3" w:rsidRDefault="00D25141">
            <w:pPr>
              <w:pStyle w:val="TEXT"/>
            </w:pPr>
            <w:r w:rsidRPr="00F54FD3">
              <w:t>-179,619</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-756,400</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16,676</w:t>
            </w:r>
          </w:p>
        </w:tc>
        <w:tc>
          <w:tcPr>
            <w:tcW w:w="844" w:type="pct"/>
            <w:tcBorders>
              <w:top w:val="nil"/>
              <w:left w:val="nil"/>
              <w:bottom w:val="nil"/>
              <w:right w:val="nil"/>
            </w:tcBorders>
            <w:shd w:val="clear" w:color="auto" w:fill="auto"/>
            <w:noWrap/>
            <w:vAlign w:val="bottom"/>
            <w:hideMark/>
          </w:tcPr>
          <w:p w:rsidR="00D25141" w:rsidRPr="00F54FD3" w:rsidRDefault="00D25141">
            <w:pPr>
              <w:pStyle w:val="TEXT"/>
            </w:pPr>
            <w:r w:rsidRPr="00F54FD3">
              <w:t>-739,724</w:t>
            </w:r>
          </w:p>
        </w:tc>
      </w:tr>
      <w:tr w:rsidR="00D25141" w:rsidRPr="002024C1" w:rsidTr="00D75E08">
        <w:trPr>
          <w:trHeight w:val="315"/>
          <w:jc w:val="center"/>
        </w:trPr>
        <w:tc>
          <w:tcPr>
            <w:tcW w:w="579" w:type="pct"/>
            <w:vMerge w:val="restart"/>
            <w:tcBorders>
              <w:top w:val="nil"/>
              <w:left w:val="nil"/>
              <w:bottom w:val="nil"/>
              <w:right w:val="nil"/>
            </w:tcBorders>
            <w:shd w:val="clear" w:color="auto" w:fill="auto"/>
            <w:noWrap/>
            <w:vAlign w:val="center"/>
            <w:hideMark/>
          </w:tcPr>
          <w:p w:rsidR="00D25141" w:rsidRPr="002024C1" w:rsidRDefault="00D25141" w:rsidP="00F54FD3">
            <w:pPr>
              <w:pStyle w:val="TEXT"/>
            </w:pPr>
            <w:r w:rsidRPr="002024C1">
              <w:lastRenderedPageBreak/>
              <w:t>2030</w:t>
            </w:r>
          </w:p>
        </w:tc>
        <w:tc>
          <w:tcPr>
            <w:tcW w:w="743" w:type="pct"/>
            <w:tcBorders>
              <w:top w:val="nil"/>
              <w:left w:val="nil"/>
              <w:bottom w:val="nil"/>
              <w:right w:val="nil"/>
            </w:tcBorders>
            <w:shd w:val="clear" w:color="auto" w:fill="auto"/>
            <w:noWrap/>
            <w:vAlign w:val="bottom"/>
            <w:hideMark/>
          </w:tcPr>
          <w:p w:rsidR="00D25141" w:rsidRPr="002024C1" w:rsidRDefault="00D25141">
            <w:pPr>
              <w:pStyle w:val="TEXT"/>
            </w:pPr>
            <w:r w:rsidRPr="002024C1">
              <w:t>Low</w:t>
            </w:r>
          </w:p>
        </w:tc>
        <w:tc>
          <w:tcPr>
            <w:tcW w:w="885" w:type="pct"/>
            <w:tcBorders>
              <w:top w:val="nil"/>
              <w:left w:val="nil"/>
              <w:bottom w:val="nil"/>
              <w:right w:val="nil"/>
            </w:tcBorders>
            <w:shd w:val="clear" w:color="auto" w:fill="auto"/>
            <w:noWrap/>
            <w:vAlign w:val="bottom"/>
            <w:hideMark/>
          </w:tcPr>
          <w:p w:rsidR="00D25141" w:rsidRPr="00F668D0" w:rsidRDefault="00D25141">
            <w:pPr>
              <w:pStyle w:val="TEXT"/>
            </w:pPr>
            <w:r w:rsidRPr="00F668D0">
              <w:t>-165,601</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-744,044</w:t>
            </w:r>
          </w:p>
        </w:tc>
        <w:tc>
          <w:tcPr>
            <w:tcW w:w="975" w:type="pct"/>
            <w:tcBorders>
              <w:top w:val="nil"/>
              <w:left w:val="nil"/>
              <w:bottom w:val="nil"/>
              <w:right w:val="nil"/>
            </w:tcBorders>
            <w:shd w:val="clear" w:color="auto" w:fill="auto"/>
            <w:noWrap/>
            <w:vAlign w:val="bottom"/>
            <w:hideMark/>
          </w:tcPr>
          <w:p w:rsidR="00D25141" w:rsidRPr="00F668D0" w:rsidRDefault="00D25141">
            <w:pPr>
              <w:pStyle w:val="TEXT"/>
            </w:pPr>
            <w:r w:rsidRPr="00F668D0">
              <w:t>16,209</w:t>
            </w:r>
          </w:p>
        </w:tc>
        <w:tc>
          <w:tcPr>
            <w:tcW w:w="844" w:type="pct"/>
            <w:tcBorders>
              <w:top w:val="nil"/>
              <w:left w:val="nil"/>
              <w:bottom w:val="nil"/>
              <w:right w:val="nil"/>
            </w:tcBorders>
            <w:shd w:val="clear" w:color="auto" w:fill="auto"/>
            <w:noWrap/>
            <w:vAlign w:val="bottom"/>
            <w:hideMark/>
          </w:tcPr>
          <w:p w:rsidR="00D25141" w:rsidRPr="00F668D0" w:rsidRDefault="00D25141">
            <w:pPr>
              <w:pStyle w:val="TEXT"/>
            </w:pPr>
            <w:r w:rsidRPr="00F668D0">
              <w:t>-740,498</w:t>
            </w:r>
          </w:p>
        </w:tc>
      </w:tr>
      <w:tr w:rsidR="00D25141" w:rsidRPr="002024C1" w:rsidTr="00D75E08">
        <w:trPr>
          <w:trHeight w:val="315"/>
          <w:jc w:val="center"/>
        </w:trPr>
        <w:tc>
          <w:tcPr>
            <w:tcW w:w="579" w:type="pct"/>
            <w:vMerge/>
            <w:tcBorders>
              <w:top w:val="nil"/>
              <w:left w:val="nil"/>
              <w:bottom w:val="nil"/>
              <w:right w:val="nil"/>
            </w:tcBorders>
            <w:vAlign w:val="center"/>
            <w:hideMark/>
          </w:tcPr>
          <w:p w:rsidR="00D25141" w:rsidRPr="00F54FD3" w:rsidRDefault="00D25141" w:rsidP="00F54FD3">
            <w:pPr>
              <w:pStyle w:val="TEXT"/>
            </w:pPr>
          </w:p>
        </w:tc>
        <w:tc>
          <w:tcPr>
            <w:tcW w:w="743" w:type="pct"/>
            <w:tcBorders>
              <w:top w:val="nil"/>
              <w:left w:val="nil"/>
              <w:bottom w:val="nil"/>
              <w:right w:val="nil"/>
            </w:tcBorders>
            <w:shd w:val="clear" w:color="auto" w:fill="auto"/>
            <w:noWrap/>
            <w:vAlign w:val="bottom"/>
            <w:hideMark/>
          </w:tcPr>
          <w:p w:rsidR="00D25141" w:rsidRPr="00F54FD3" w:rsidRDefault="00D25141">
            <w:pPr>
              <w:pStyle w:val="TEXT"/>
            </w:pPr>
            <w:r w:rsidRPr="00F54FD3">
              <w:t>Medium</w:t>
            </w:r>
          </w:p>
        </w:tc>
        <w:tc>
          <w:tcPr>
            <w:tcW w:w="885" w:type="pct"/>
            <w:tcBorders>
              <w:top w:val="nil"/>
              <w:left w:val="nil"/>
              <w:bottom w:val="nil"/>
              <w:right w:val="nil"/>
            </w:tcBorders>
            <w:shd w:val="clear" w:color="auto" w:fill="auto"/>
            <w:noWrap/>
            <w:vAlign w:val="bottom"/>
            <w:hideMark/>
          </w:tcPr>
          <w:p w:rsidR="00D25141" w:rsidRPr="00F54FD3" w:rsidRDefault="00D25141">
            <w:pPr>
              <w:pStyle w:val="TEXT"/>
            </w:pPr>
            <w:r w:rsidRPr="00F54FD3">
              <w:t>-177,236</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-781,317</w:t>
            </w:r>
          </w:p>
        </w:tc>
        <w:tc>
          <w:tcPr>
            <w:tcW w:w="975" w:type="pct"/>
            <w:tcBorders>
              <w:top w:val="nil"/>
              <w:left w:val="nil"/>
              <w:bottom w:val="nil"/>
              <w:right w:val="nil"/>
            </w:tcBorders>
            <w:shd w:val="clear" w:color="auto" w:fill="auto"/>
            <w:noWrap/>
            <w:vAlign w:val="bottom"/>
            <w:hideMark/>
          </w:tcPr>
          <w:p w:rsidR="00D25141" w:rsidRPr="00F54FD3" w:rsidRDefault="00D25141">
            <w:pPr>
              <w:pStyle w:val="TEXT"/>
            </w:pPr>
            <w:r w:rsidRPr="00F54FD3">
              <w:t>17,011</w:t>
            </w:r>
          </w:p>
        </w:tc>
        <w:tc>
          <w:tcPr>
            <w:tcW w:w="844" w:type="pct"/>
            <w:tcBorders>
              <w:top w:val="nil"/>
              <w:left w:val="nil"/>
              <w:bottom w:val="nil"/>
              <w:right w:val="nil"/>
            </w:tcBorders>
            <w:shd w:val="clear" w:color="auto" w:fill="auto"/>
            <w:noWrap/>
            <w:vAlign w:val="bottom"/>
            <w:hideMark/>
          </w:tcPr>
          <w:p w:rsidR="00D25141" w:rsidRPr="00F54FD3" w:rsidRDefault="00D25141">
            <w:pPr>
              <w:pStyle w:val="TEXT"/>
            </w:pPr>
            <w:r w:rsidRPr="00F54FD3">
              <w:t>-764,306</w:t>
            </w:r>
          </w:p>
        </w:tc>
      </w:tr>
      <w:tr w:rsidR="00D25141" w:rsidRPr="002024C1" w:rsidTr="00D75E08">
        <w:trPr>
          <w:trHeight w:val="315"/>
          <w:jc w:val="center"/>
        </w:trPr>
        <w:tc>
          <w:tcPr>
            <w:tcW w:w="579" w:type="pct"/>
            <w:vMerge/>
            <w:tcBorders>
              <w:top w:val="nil"/>
              <w:left w:val="nil"/>
              <w:bottom w:val="single" w:sz="4" w:space="0" w:color="auto"/>
              <w:right w:val="nil"/>
            </w:tcBorders>
            <w:vAlign w:val="center"/>
            <w:hideMark/>
          </w:tcPr>
          <w:p w:rsidR="00D25141" w:rsidRPr="00F54FD3" w:rsidRDefault="00D25141" w:rsidP="00F54FD3">
            <w:pPr>
              <w:pStyle w:val="TEXT"/>
            </w:pPr>
          </w:p>
        </w:tc>
        <w:tc>
          <w:tcPr>
            <w:tcW w:w="743" w:type="pct"/>
            <w:tcBorders>
              <w:top w:val="nil"/>
              <w:left w:val="nil"/>
              <w:bottom w:val="single" w:sz="4" w:space="0" w:color="auto"/>
              <w:right w:val="nil"/>
            </w:tcBorders>
            <w:shd w:val="clear" w:color="auto" w:fill="auto"/>
            <w:noWrap/>
            <w:vAlign w:val="bottom"/>
            <w:hideMark/>
          </w:tcPr>
          <w:p w:rsidR="00D25141" w:rsidRPr="00F54FD3" w:rsidRDefault="00D25141">
            <w:pPr>
              <w:pStyle w:val="TEXT"/>
            </w:pPr>
            <w:r w:rsidRPr="00F54FD3">
              <w:t>High</w:t>
            </w:r>
          </w:p>
        </w:tc>
        <w:tc>
          <w:tcPr>
            <w:tcW w:w="885" w:type="pct"/>
            <w:tcBorders>
              <w:top w:val="nil"/>
              <w:left w:val="nil"/>
              <w:bottom w:val="single" w:sz="4" w:space="0" w:color="auto"/>
              <w:right w:val="nil"/>
            </w:tcBorders>
            <w:shd w:val="clear" w:color="auto" w:fill="auto"/>
            <w:noWrap/>
            <w:vAlign w:val="bottom"/>
            <w:hideMark/>
          </w:tcPr>
          <w:p w:rsidR="00D25141" w:rsidRPr="00F54FD3" w:rsidRDefault="00D25141">
            <w:pPr>
              <w:pStyle w:val="TEXT"/>
            </w:pPr>
            <w:r w:rsidRPr="00F54FD3">
              <w:t>-191,150</w:t>
            </w:r>
          </w:p>
        </w:tc>
        <w:tc>
          <w:tcPr>
            <w:tcW w:w="975" w:type="pct"/>
            <w:tcBorders>
              <w:top w:val="nil"/>
              <w:left w:val="nil"/>
              <w:bottom w:val="single" w:sz="4" w:space="0" w:color="auto"/>
              <w:right w:val="nil"/>
            </w:tcBorders>
            <w:shd w:val="clear" w:color="auto" w:fill="auto"/>
            <w:noWrap/>
            <w:vAlign w:val="bottom"/>
            <w:hideMark/>
          </w:tcPr>
          <w:p w:rsidR="00D25141" w:rsidRPr="00F54FD3" w:rsidRDefault="00D25141">
            <w:pPr>
              <w:pStyle w:val="TEXT"/>
            </w:pPr>
            <w:r w:rsidRPr="00F54FD3">
              <w:t>-818,925</w:t>
            </w:r>
          </w:p>
        </w:tc>
        <w:tc>
          <w:tcPr>
            <w:tcW w:w="975" w:type="pct"/>
            <w:tcBorders>
              <w:top w:val="nil"/>
              <w:left w:val="nil"/>
              <w:bottom w:val="single" w:sz="4" w:space="0" w:color="auto"/>
              <w:right w:val="nil"/>
            </w:tcBorders>
            <w:shd w:val="clear" w:color="auto" w:fill="auto"/>
            <w:noWrap/>
            <w:vAlign w:val="bottom"/>
            <w:hideMark/>
          </w:tcPr>
          <w:p w:rsidR="00D25141" w:rsidRPr="00F54FD3" w:rsidRDefault="00D25141">
            <w:pPr>
              <w:pStyle w:val="TEXT"/>
            </w:pPr>
            <w:r w:rsidRPr="00F54FD3">
              <w:t>17,821</w:t>
            </w:r>
          </w:p>
        </w:tc>
        <w:tc>
          <w:tcPr>
            <w:tcW w:w="844" w:type="pct"/>
            <w:tcBorders>
              <w:top w:val="nil"/>
              <w:left w:val="nil"/>
              <w:bottom w:val="single" w:sz="4" w:space="0" w:color="auto"/>
              <w:right w:val="nil"/>
            </w:tcBorders>
            <w:shd w:val="clear" w:color="auto" w:fill="auto"/>
            <w:noWrap/>
            <w:vAlign w:val="bottom"/>
            <w:hideMark/>
          </w:tcPr>
          <w:p w:rsidR="00D25141" w:rsidRPr="00F54FD3" w:rsidRDefault="00D25141">
            <w:pPr>
              <w:pStyle w:val="TEXT"/>
            </w:pPr>
            <w:r w:rsidRPr="00F54FD3">
              <w:t>-801,105</w:t>
            </w:r>
          </w:p>
        </w:tc>
      </w:tr>
    </w:tbl>
    <w:p w:rsidR="00D25141" w:rsidRPr="00F54FD3" w:rsidRDefault="00D25141" w:rsidP="00F54FD3"/>
    <w:p w:rsidR="00D25141" w:rsidRPr="00F54FD3" w:rsidRDefault="00D25141">
      <w:r w:rsidRPr="00F54FD3">
        <w:br w:type="page"/>
      </w:r>
    </w:p>
    <w:p w:rsidR="00D25141" w:rsidRPr="002024C1" w:rsidRDefault="00D25141" w:rsidP="00F54FD3">
      <w:pPr>
        <w:pStyle w:val="Heading2"/>
      </w:pPr>
      <w:r w:rsidRPr="002024C1">
        <w:lastRenderedPageBreak/>
        <w:t>FIGURES</w:t>
      </w:r>
    </w:p>
    <w:p w:rsidR="00D25141" w:rsidRPr="00F54FD3" w:rsidRDefault="00D25141" w:rsidP="00F54FD3">
      <w:r w:rsidRPr="00F54FD3">
        <w:t>Figure captions</w:t>
      </w:r>
    </w:p>
    <w:p w:rsidR="00D25141" w:rsidRPr="002024C1" w:rsidRDefault="00D25141">
      <w:r w:rsidRPr="002024C1">
        <w:rPr>
          <w:b/>
        </w:rPr>
        <w:t>Fig. 1.</w:t>
      </w:r>
      <w:r w:rsidRPr="002024C1">
        <w:t xml:space="preserve"> UK WEEE network model.</w:t>
      </w:r>
    </w:p>
    <w:p w:rsidR="00D25141" w:rsidRPr="002024C1" w:rsidRDefault="00D25141">
      <w:r w:rsidRPr="002024C1">
        <w:rPr>
          <w:vertAlign w:val="superscript"/>
        </w:rPr>
        <w:t>a</w:t>
      </w:r>
      <w:r w:rsidRPr="002024C1">
        <w:t xml:space="preserve"> Includes HWRC, kerbside collections, and bulky waste collections.</w:t>
      </w:r>
    </w:p>
    <w:p w:rsidR="00D25141" w:rsidRPr="002024C1" w:rsidRDefault="00D25141">
      <w:r w:rsidRPr="002024C1">
        <w:rPr>
          <w:vertAlign w:val="superscript"/>
        </w:rPr>
        <w:t>b</w:t>
      </w:r>
      <w:r w:rsidRPr="002024C1">
        <w:t xml:space="preserve"> Includes WEEE/UEEE from in-warranty returns and retail take-back.</w:t>
      </w:r>
    </w:p>
    <w:p w:rsidR="00D25141" w:rsidRPr="002024C1" w:rsidRDefault="00D25141">
      <w:r w:rsidRPr="002024C1">
        <w:rPr>
          <w:b/>
        </w:rPr>
        <w:t>Fig. 2</w:t>
      </w:r>
      <w:r w:rsidRPr="002024C1">
        <w:t>. Flows of WEEE/UEEE at the disposal decision stage.</w:t>
      </w:r>
    </w:p>
    <w:p w:rsidR="00D25141" w:rsidRPr="002024C1" w:rsidRDefault="00D25141">
      <w:r w:rsidRPr="002024C1">
        <w:rPr>
          <w:b/>
        </w:rPr>
        <w:t>Fig 3</w:t>
      </w:r>
      <w:r w:rsidRPr="002024C1">
        <w:t>. Flows of WEEE/UEEE at the processing stage.</w:t>
      </w:r>
    </w:p>
    <w:p w:rsidR="00D25141" w:rsidRPr="002024C1" w:rsidRDefault="00D25141">
      <w:r w:rsidRPr="002024C1">
        <w:rPr>
          <w:b/>
        </w:rPr>
        <w:t>Fig 4</w:t>
      </w:r>
      <w:r w:rsidRPr="002024C1">
        <w:t>. Flows of WEEE/UEEE at the final destination stage.</w:t>
      </w:r>
    </w:p>
    <w:p w:rsidR="00D25141" w:rsidRPr="002024C1" w:rsidRDefault="00D25141">
      <w:r w:rsidRPr="002024C1">
        <w:rPr>
          <w:b/>
        </w:rPr>
        <w:t>Fig 5</w:t>
      </w:r>
      <w:r w:rsidRPr="002024C1">
        <w:t>. Future flows of WEEE/UEEE into the final destinations of the UK for the a) low, b) medium and c) high scenarios.</w:t>
      </w:r>
      <w:r w:rsidRPr="002024C1">
        <w:br w:type="page"/>
      </w:r>
    </w:p>
    <w:p w:rsidR="00D25141" w:rsidRPr="00F54FD3" w:rsidRDefault="00D25141">
      <w:r w:rsidRPr="00F54FD3">
        <w:lastRenderedPageBreak/>
        <w:t>Figure 1</w:t>
      </w:r>
    </w:p>
    <w:p w:rsidR="00D25141" w:rsidRPr="00F54FD3" w:rsidRDefault="00D25141">
      <w:pPr>
        <w:rPr>
          <w:sz w:val="32"/>
          <w:szCs w:val="32"/>
        </w:rPr>
      </w:pPr>
      <w:r w:rsidRPr="002024C1">
        <w:rPr>
          <w:noProof/>
          <w:lang w:eastAsia="en-GB"/>
        </w:rPr>
        <w:drawing>
          <wp:inline distT="0" distB="0" distL="0" distR="0" wp14:anchorId="145AC662" wp14:editId="79796202">
            <wp:extent cx="5559774" cy="3897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1662" t="1440" r="1273" b="14379"/>
                    <a:stretch/>
                  </pic:blipFill>
                  <pic:spPr bwMode="auto">
                    <a:xfrm>
                      <a:off x="0" y="0"/>
                      <a:ext cx="5560060" cy="3897945"/>
                    </a:xfrm>
                    <a:prstGeom prst="rect">
                      <a:avLst/>
                    </a:prstGeom>
                    <a:noFill/>
                    <a:ln>
                      <a:noFill/>
                    </a:ln>
                    <a:extLst>
                      <a:ext uri="{53640926-AAD7-44D8-BBD7-CCE9431645EC}">
                        <a14:shadowObscured xmlns:a14="http://schemas.microsoft.com/office/drawing/2010/main"/>
                      </a:ext>
                    </a:extLst>
                  </pic:spPr>
                </pic:pic>
              </a:graphicData>
            </a:graphic>
          </wp:inline>
        </w:drawing>
      </w:r>
    </w:p>
    <w:p w:rsidR="00D25141" w:rsidRPr="00F54FD3" w:rsidRDefault="00D25141">
      <w:r w:rsidRPr="00F54FD3">
        <w:br w:type="page"/>
      </w:r>
    </w:p>
    <w:p w:rsidR="00D25141" w:rsidRPr="00F54FD3" w:rsidRDefault="00D25141">
      <w:r w:rsidRPr="00F54FD3">
        <w:lastRenderedPageBreak/>
        <w:t>Figure 2</w:t>
      </w:r>
    </w:p>
    <w:p w:rsidR="00D25141" w:rsidRPr="00F54FD3" w:rsidRDefault="00D25141">
      <w:pPr>
        <w:rPr>
          <w:sz w:val="32"/>
          <w:szCs w:val="32"/>
        </w:rPr>
      </w:pPr>
      <w:r w:rsidRPr="002024C1">
        <w:rPr>
          <w:noProof/>
          <w:lang w:eastAsia="en-GB"/>
        </w:rPr>
        <w:drawing>
          <wp:inline distT="0" distB="0" distL="0" distR="0" wp14:anchorId="55B44E67" wp14:editId="0130BC1B">
            <wp:extent cx="4311696" cy="3257133"/>
            <wp:effectExtent l="0" t="0" r="0" b="63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b="5670"/>
                    <a:stretch/>
                  </pic:blipFill>
                  <pic:spPr bwMode="auto">
                    <a:xfrm>
                      <a:off x="0" y="0"/>
                      <a:ext cx="4313555" cy="3258537"/>
                    </a:xfrm>
                    <a:prstGeom prst="rect">
                      <a:avLst/>
                    </a:prstGeom>
                    <a:noFill/>
                    <a:ln>
                      <a:noFill/>
                    </a:ln>
                    <a:extLst>
                      <a:ext uri="{53640926-AAD7-44D8-BBD7-CCE9431645EC}">
                        <a14:shadowObscured xmlns:a14="http://schemas.microsoft.com/office/drawing/2010/main"/>
                      </a:ext>
                    </a:extLst>
                  </pic:spPr>
                </pic:pic>
              </a:graphicData>
            </a:graphic>
          </wp:inline>
        </w:drawing>
      </w:r>
    </w:p>
    <w:p w:rsidR="00D25141" w:rsidRPr="00F54FD3" w:rsidRDefault="00D25141">
      <w:r w:rsidRPr="00F54FD3">
        <w:br w:type="page"/>
      </w:r>
    </w:p>
    <w:p w:rsidR="00D25141" w:rsidRPr="00F54FD3" w:rsidRDefault="00D25141">
      <w:r w:rsidRPr="00F54FD3">
        <w:lastRenderedPageBreak/>
        <w:t>Figure 3</w:t>
      </w:r>
    </w:p>
    <w:p w:rsidR="00D25141" w:rsidRPr="00F54FD3" w:rsidRDefault="00D25141">
      <w:pPr>
        <w:rPr>
          <w:sz w:val="32"/>
          <w:szCs w:val="32"/>
        </w:rPr>
      </w:pPr>
      <w:r w:rsidRPr="002024C1">
        <w:rPr>
          <w:noProof/>
          <w:lang w:eastAsia="en-GB"/>
        </w:rPr>
        <w:drawing>
          <wp:inline distT="0" distB="0" distL="0" distR="0" wp14:anchorId="0DCEA7A1" wp14:editId="4C0183D5">
            <wp:extent cx="4325045" cy="3270482"/>
            <wp:effectExtent l="0" t="0" r="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5381"/>
                    <a:stretch/>
                  </pic:blipFill>
                  <pic:spPr bwMode="auto">
                    <a:xfrm>
                      <a:off x="0" y="0"/>
                      <a:ext cx="4322445" cy="3268516"/>
                    </a:xfrm>
                    <a:prstGeom prst="rect">
                      <a:avLst/>
                    </a:prstGeom>
                    <a:noFill/>
                    <a:ln>
                      <a:noFill/>
                    </a:ln>
                    <a:extLst>
                      <a:ext uri="{53640926-AAD7-44D8-BBD7-CCE9431645EC}">
                        <a14:shadowObscured xmlns:a14="http://schemas.microsoft.com/office/drawing/2010/main"/>
                      </a:ext>
                    </a:extLst>
                  </pic:spPr>
                </pic:pic>
              </a:graphicData>
            </a:graphic>
          </wp:inline>
        </w:drawing>
      </w:r>
    </w:p>
    <w:p w:rsidR="00D25141" w:rsidRPr="00F54FD3" w:rsidRDefault="00D25141"/>
    <w:p w:rsidR="00D25141" w:rsidRPr="00F54FD3" w:rsidRDefault="00D25141">
      <w:r w:rsidRPr="00F54FD3">
        <w:br w:type="page"/>
      </w:r>
    </w:p>
    <w:p w:rsidR="00D25141" w:rsidRPr="00F54FD3" w:rsidRDefault="00D25141">
      <w:r w:rsidRPr="00F54FD3">
        <w:lastRenderedPageBreak/>
        <w:t>Figure 4</w:t>
      </w:r>
    </w:p>
    <w:p w:rsidR="00D25141" w:rsidRPr="00F54FD3" w:rsidRDefault="00D25141">
      <w:pPr>
        <w:rPr>
          <w:sz w:val="32"/>
          <w:szCs w:val="32"/>
        </w:rPr>
      </w:pPr>
      <w:r w:rsidRPr="002024C1">
        <w:rPr>
          <w:noProof/>
          <w:lang w:eastAsia="en-GB"/>
        </w:rPr>
        <w:drawing>
          <wp:inline distT="0" distB="0" distL="0" distR="0" wp14:anchorId="25BB988B" wp14:editId="28D7C884">
            <wp:extent cx="4311696" cy="323043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b="6443"/>
                    <a:stretch/>
                  </pic:blipFill>
                  <pic:spPr bwMode="auto">
                    <a:xfrm>
                      <a:off x="0" y="0"/>
                      <a:ext cx="4313555" cy="3231828"/>
                    </a:xfrm>
                    <a:prstGeom prst="rect">
                      <a:avLst/>
                    </a:prstGeom>
                    <a:noFill/>
                    <a:ln>
                      <a:noFill/>
                    </a:ln>
                    <a:extLst>
                      <a:ext uri="{53640926-AAD7-44D8-BBD7-CCE9431645EC}">
                        <a14:shadowObscured xmlns:a14="http://schemas.microsoft.com/office/drawing/2010/main"/>
                      </a:ext>
                    </a:extLst>
                  </pic:spPr>
                </pic:pic>
              </a:graphicData>
            </a:graphic>
          </wp:inline>
        </w:drawing>
      </w:r>
    </w:p>
    <w:p w:rsidR="00D25141" w:rsidRPr="00F54FD3" w:rsidRDefault="00D25141"/>
    <w:p w:rsidR="00D25141" w:rsidRPr="00F54FD3" w:rsidRDefault="00D25141">
      <w:r w:rsidRPr="00F54FD3">
        <w:br w:type="page"/>
      </w:r>
    </w:p>
    <w:p w:rsidR="00D25141" w:rsidRPr="00F54FD3" w:rsidRDefault="00D25141">
      <w:r w:rsidRPr="00F54FD3">
        <w:lastRenderedPageBreak/>
        <w:t>Figure 5</w:t>
      </w:r>
    </w:p>
    <w:p w:rsidR="007F74D6" w:rsidRPr="00F54FD3" w:rsidRDefault="00D25141">
      <w:r w:rsidRPr="002024C1">
        <w:rPr>
          <w:noProof/>
          <w:lang w:eastAsia="en-GB"/>
        </w:rPr>
        <w:drawing>
          <wp:inline distT="0" distB="0" distL="0" distR="0" wp14:anchorId="18FC9C70" wp14:editId="2E0A2FF5">
            <wp:extent cx="5760053" cy="474965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117" cy="4749704"/>
                    </a:xfrm>
                    <a:prstGeom prst="rect">
                      <a:avLst/>
                    </a:prstGeom>
                    <a:noFill/>
                  </pic:spPr>
                </pic:pic>
              </a:graphicData>
            </a:graphic>
          </wp:inline>
        </w:drawing>
      </w:r>
    </w:p>
    <w:sectPr w:rsidR="007F74D6" w:rsidRPr="00F54FD3" w:rsidSect="0027659D">
      <w:footnotePr>
        <w:numRestart w:val="eachPage"/>
      </w:footnotePr>
      <w:type w:val="continuous"/>
      <w:pgSz w:w="11901" w:h="16840"/>
      <w:pgMar w:top="1418" w:right="1134" w:bottom="1418" w:left="1418" w:header="720" w:footer="720" w:gutter="0"/>
      <w:lnNumType w:countBy="1" w:restart="continuou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363" w:rsidRDefault="000C5363">
      <w:r>
        <w:separator/>
      </w:r>
    </w:p>
  </w:endnote>
  <w:endnote w:type="continuationSeparator" w:id="0">
    <w:p w:rsidR="000C5363" w:rsidRDefault="000C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363" w:rsidRDefault="000C5363" w:rsidP="004D6E5B">
      <w:r>
        <w:separator/>
      </w:r>
    </w:p>
  </w:footnote>
  <w:footnote w:type="continuationSeparator" w:id="0">
    <w:p w:rsidR="000C5363" w:rsidRDefault="000C5363" w:rsidP="00F54FD3">
      <w:r>
        <w:continuationSeparator/>
      </w:r>
    </w:p>
  </w:footnote>
  <w:footnote w:id="1">
    <w:p w:rsidR="00F87FC6" w:rsidRPr="00D75E08" w:rsidRDefault="00F87FC6" w:rsidP="004D6E5B">
      <w:pPr>
        <w:pStyle w:val="FootnoteText"/>
      </w:pPr>
      <w:r>
        <w:rPr>
          <w:rStyle w:val="FootnoteReference"/>
        </w:rPr>
        <w:footnoteRef/>
      </w:r>
      <w:r>
        <w:t xml:space="preserve"> </w:t>
      </w:r>
      <w:r w:rsidRPr="00D51D66">
        <w:rPr>
          <w:lang w:val="en-US"/>
        </w:rPr>
        <w:t xml:space="preserve">WEEE is defined in the EU WEEE </w:t>
      </w:r>
      <w:r>
        <w:rPr>
          <w:lang w:val="en-US"/>
        </w:rPr>
        <w:t>D</w:t>
      </w:r>
      <w:r w:rsidRPr="00D51D66">
        <w:rPr>
          <w:lang w:val="en-US"/>
        </w:rPr>
        <w:t xml:space="preserve">irective </w:t>
      </w:r>
      <w:r w:rsidRPr="00D75E08">
        <w:rPr>
          <w:lang w:val="en-US"/>
        </w:rPr>
        <w:t xml:space="preserve">2012/19/EU </w:t>
      </w:r>
      <w:r w:rsidRPr="00D51D66">
        <w:rPr>
          <w:lang w:val="en-US"/>
        </w:rPr>
        <w:t xml:space="preserve">as any electrical or electronic equipment </w:t>
      </w:r>
      <w:r>
        <w:rPr>
          <w:lang w:val="en-US"/>
        </w:rPr>
        <w:t>that</w:t>
      </w:r>
      <w:r w:rsidRPr="00D51D66">
        <w:rPr>
          <w:lang w:val="en-US"/>
        </w:rPr>
        <w:t xml:space="preserve"> is waste, including all components, sub-assemblies and consumables, which are part of the pro</w:t>
      </w:r>
      <w:r>
        <w:rPr>
          <w:lang w:val="en-US"/>
        </w:rPr>
        <w:t>duct at the time of discarding</w:t>
      </w:r>
      <w:r w:rsidRPr="00D51D66">
        <w:rPr>
          <w:lang w:val="en-US"/>
        </w:rPr>
        <w:t>.</w:t>
      </w:r>
    </w:p>
  </w:footnote>
  <w:footnote w:id="2">
    <w:p w:rsidR="00F87FC6" w:rsidRPr="004B1B38" w:rsidRDefault="00F87FC6" w:rsidP="00F54FD3">
      <w:pPr>
        <w:pStyle w:val="FootnoteText"/>
      </w:pPr>
      <w:r>
        <w:rPr>
          <w:rStyle w:val="FootnoteReference"/>
        </w:rPr>
        <w:footnoteRef/>
      </w:r>
      <w:r>
        <w:t xml:space="preserve"> </w:t>
      </w:r>
      <w:r w:rsidRPr="00D51D66">
        <w:rPr>
          <w:lang w:val="en-US"/>
        </w:rPr>
        <w:t xml:space="preserve">UEEE is </w:t>
      </w:r>
      <w:r>
        <w:rPr>
          <w:lang w:val="en-US"/>
        </w:rPr>
        <w:t xml:space="preserve">defined as </w:t>
      </w:r>
      <w:r w:rsidRPr="00D51D66">
        <w:rPr>
          <w:lang w:val="en-US"/>
        </w:rPr>
        <w:t xml:space="preserve">any electrical or electronic equipment </w:t>
      </w:r>
      <w:r>
        <w:rPr>
          <w:lang w:val="en-US"/>
        </w:rPr>
        <w:t>that</w:t>
      </w:r>
      <w:r w:rsidRPr="00D51D66">
        <w:rPr>
          <w:lang w:val="en-US"/>
        </w:rPr>
        <w:t xml:space="preserve"> has reached the end of its first useful life but</w:t>
      </w:r>
      <w:r>
        <w:rPr>
          <w:lang w:val="en-US"/>
        </w:rPr>
        <w:t xml:space="preserve"> for which</w:t>
      </w:r>
      <w:r w:rsidRPr="00D51D66">
        <w:rPr>
          <w:lang w:val="en-US"/>
        </w:rPr>
        <w:t xml:space="preserve"> a disposal decision has not </w:t>
      </w:r>
      <w:r>
        <w:rPr>
          <w:lang w:val="en-US"/>
        </w:rPr>
        <w:t xml:space="preserve">yet </w:t>
      </w:r>
      <w:r w:rsidRPr="00D51D66">
        <w:rPr>
          <w:lang w:val="en-US"/>
        </w:rPr>
        <w:t>been made by the consumer (WRAP, 2011).</w:t>
      </w:r>
    </w:p>
  </w:footnote>
  <w:footnote w:id="3">
    <w:p w:rsidR="00F87FC6" w:rsidRPr="0084505D" w:rsidRDefault="00F87FC6" w:rsidP="00F54FD3">
      <w:pPr>
        <w:pStyle w:val="FootnoteText"/>
      </w:pPr>
      <w:r>
        <w:rPr>
          <w:rStyle w:val="FootnoteReference"/>
        </w:rPr>
        <w:footnoteRef/>
      </w:r>
      <w:r w:rsidRPr="0084505D">
        <w:t xml:space="preserve"> Non-obligated WEEE is any WEEE that is received by an AATF/ATF or Approved Exporter but not on behalf of a PCS (BIS, 2014).</w:t>
      </w:r>
    </w:p>
  </w:footnote>
  <w:footnote w:id="4">
    <w:p w:rsidR="00F87FC6" w:rsidRPr="00FC1BAD" w:rsidRDefault="00F87FC6" w:rsidP="00F54FD3">
      <w:pPr>
        <w:pStyle w:val="FootnoteText"/>
      </w:pPr>
      <w:r>
        <w:rPr>
          <w:rStyle w:val="FootnoteReference"/>
        </w:rPr>
        <w:footnoteRef/>
      </w:r>
      <w:r w:rsidRPr="00FC1BAD">
        <w:t xml:space="preserve"> </w:t>
      </w:r>
      <w:r>
        <w:t>Scrapped d</w:t>
      </w:r>
      <w:r w:rsidRPr="00FC1BAD">
        <w:t xml:space="preserve">omestic </w:t>
      </w:r>
      <w:r>
        <w:t>a</w:t>
      </w:r>
      <w:r w:rsidRPr="00FC1BAD">
        <w:t xml:space="preserve">ppliances </w:t>
      </w:r>
      <w:r>
        <w:t>(</w:t>
      </w:r>
      <w:r w:rsidRPr="00FC1BAD">
        <w:t xml:space="preserve">or </w:t>
      </w:r>
      <w:r>
        <w:t>“w</w:t>
      </w:r>
      <w:r w:rsidRPr="00FC1BAD">
        <w:t>hite goods</w:t>
      </w:r>
      <w:r>
        <w:t>”)</w:t>
      </w:r>
      <w:r w:rsidRPr="00FC1BAD">
        <w:t xml:space="preserve"> are the main source of light iron </w:t>
      </w:r>
      <w:r>
        <w:t>(e.g. w</w:t>
      </w:r>
      <w:r w:rsidRPr="00FC1BAD">
        <w:t xml:space="preserve">ashing </w:t>
      </w:r>
      <w:r>
        <w:t>m</w:t>
      </w:r>
      <w:r w:rsidRPr="00FC1BAD">
        <w:t>achines</w:t>
      </w:r>
      <w:r>
        <w:t xml:space="preserve"> and d</w:t>
      </w:r>
      <w:r w:rsidRPr="00FC1BAD">
        <w:t xml:space="preserve">ryers, </w:t>
      </w:r>
      <w:r>
        <w:t>c</w:t>
      </w:r>
      <w:r w:rsidRPr="00FC1BAD">
        <w:t>ookers, ovens, microwaves</w:t>
      </w:r>
      <w:r>
        <w:t>, etc</w:t>
      </w:r>
      <w:r w:rsidR="004B1B38">
        <w:t>.</w:t>
      </w:r>
      <w:r>
        <w:t>)</w:t>
      </w:r>
      <w:r w:rsidRPr="00FC1BAD">
        <w:t>.</w:t>
      </w:r>
      <w:r>
        <w:t xml:space="preserve"> </w:t>
      </w:r>
      <w:r w:rsidRPr="00FC1BAD">
        <w:t xml:space="preserve">Other sources of light iron </w:t>
      </w:r>
      <w:r>
        <w:t>include</w:t>
      </w:r>
      <w:r w:rsidRPr="00FC1BAD">
        <w:t xml:space="preserve"> </w:t>
      </w:r>
      <w:r>
        <w:t xml:space="preserve">sheet metal, </w:t>
      </w:r>
      <w:r w:rsidRPr="00FC1BAD">
        <w:t>car shells and body panels, light iron shelving, scrap paint tins (empty)</w:t>
      </w:r>
      <w:r>
        <w:t>, hot water heaters, etc</w:t>
      </w:r>
      <w:r w:rsidRPr="00FC1BA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25D1F"/>
    <w:multiLevelType w:val="hybridMultilevel"/>
    <w:tmpl w:val="A5005E20"/>
    <w:lvl w:ilvl="0" w:tplc="5EC056CA">
      <w:start w:val="1"/>
      <w:numFmt w:val="bullet"/>
      <w:lvlText w:val=""/>
      <w:lvlJc w:val="left"/>
      <w:pPr>
        <w:tabs>
          <w:tab w:val="num" w:pos="284"/>
        </w:tabs>
        <w:ind w:left="284" w:hanging="284"/>
      </w:pPr>
      <w:rPr>
        <w:rFonts w:ascii="Wingdings" w:hAnsi="Wingdings" w:hint="default"/>
        <w:sz w:val="20"/>
        <w:szCs w:val="20"/>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2AC222F"/>
    <w:multiLevelType w:val="hybridMultilevel"/>
    <w:tmpl w:val="A3D4A82A"/>
    <w:lvl w:ilvl="0" w:tplc="838C00D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463FE"/>
    <w:multiLevelType w:val="hybridMultilevel"/>
    <w:tmpl w:val="B8785E34"/>
    <w:lvl w:ilvl="0" w:tplc="2334E0C6">
      <w:start w:val="1"/>
      <w:numFmt w:val="bullet"/>
      <w:lvlText w:val=""/>
      <w:lvlJc w:val="left"/>
      <w:pPr>
        <w:ind w:left="1069" w:hanging="360"/>
      </w:pPr>
      <w:rPr>
        <w:rFonts w:ascii="Symbol" w:hAnsi="Symbol" w:hint="default"/>
        <w:sz w:val="22"/>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13240E36"/>
    <w:multiLevelType w:val="hybridMultilevel"/>
    <w:tmpl w:val="EF985F2A"/>
    <w:lvl w:ilvl="0" w:tplc="35EA9998">
      <w:start w:val="1"/>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2D8617A9"/>
    <w:multiLevelType w:val="hybridMultilevel"/>
    <w:tmpl w:val="E87EA774"/>
    <w:lvl w:ilvl="0" w:tplc="2334E0C6">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80D129F"/>
    <w:multiLevelType w:val="hybridMultilevel"/>
    <w:tmpl w:val="0FB261FA"/>
    <w:lvl w:ilvl="0" w:tplc="2334E0C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E46A43"/>
    <w:multiLevelType w:val="hybridMultilevel"/>
    <w:tmpl w:val="AD262EDA"/>
    <w:lvl w:ilvl="0" w:tplc="24BC9730">
      <w:start w:val="1"/>
      <w:numFmt w:val="bullet"/>
      <w:lvlText w:val=""/>
      <w:lvlJc w:val="left"/>
      <w:pPr>
        <w:tabs>
          <w:tab w:val="num" w:pos="284"/>
        </w:tabs>
        <w:ind w:left="284" w:hanging="284"/>
      </w:pPr>
      <w:rPr>
        <w:rFonts w:ascii="Wingdings" w:hAnsi="Wingdings" w:hint="default"/>
        <w:sz w:val="20"/>
        <w:szCs w:val="20"/>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63A86322"/>
    <w:multiLevelType w:val="hybridMultilevel"/>
    <w:tmpl w:val="3BE41758"/>
    <w:lvl w:ilvl="0" w:tplc="8F7E370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6DFE6827"/>
    <w:multiLevelType w:val="hybridMultilevel"/>
    <w:tmpl w:val="771C0B46"/>
    <w:lvl w:ilvl="0" w:tplc="2334E0C6">
      <w:start w:val="1"/>
      <w:numFmt w:val="bullet"/>
      <w:pStyle w:val="List1"/>
      <w:lvlText w:val=""/>
      <w:lvlJc w:val="left"/>
      <w:pPr>
        <w:tabs>
          <w:tab w:val="num" w:pos="284"/>
        </w:tabs>
        <w:ind w:left="284" w:hanging="284"/>
      </w:pPr>
      <w:rPr>
        <w:rFonts w:ascii="Symbol" w:hAnsi="Symbol" w:hint="default"/>
        <w:sz w:val="22"/>
        <w:szCs w:val="20"/>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37A5DC0"/>
    <w:multiLevelType w:val="hybridMultilevel"/>
    <w:tmpl w:val="F26A5A1A"/>
    <w:lvl w:ilvl="0" w:tplc="2DFC70C0">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FE29BE"/>
    <w:multiLevelType w:val="hybridMultilevel"/>
    <w:tmpl w:val="DC7E8F34"/>
    <w:lvl w:ilvl="0" w:tplc="7F26608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EC1195"/>
    <w:multiLevelType w:val="hybridMultilevel"/>
    <w:tmpl w:val="50C4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abstractNumId w:val="1"/>
  </w:num>
  <w:num w:numId="4">
    <w:abstractNumId w:val="7"/>
  </w:num>
  <w:num w:numId="5">
    <w:abstractNumId w:val="9"/>
  </w:num>
  <w:num w:numId="6">
    <w:abstractNumId w:val="10"/>
  </w:num>
  <w:num w:numId="7">
    <w:abstractNumId w:val="2"/>
  </w:num>
  <w:num w:numId="8">
    <w:abstractNumId w:val="4"/>
  </w:num>
  <w:num w:numId="9">
    <w:abstractNumId w:val="3"/>
  </w:num>
  <w:num w:numId="10">
    <w:abstractNumId w:val="11"/>
  </w:num>
  <w:num w:numId="11">
    <w:abstractNumId w:val="5"/>
  </w:num>
  <w:num w:numId="12">
    <w:abstractNumId w:val="6"/>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F1"/>
    <w:rsid w:val="0001077F"/>
    <w:rsid w:val="00014CC8"/>
    <w:rsid w:val="000153C5"/>
    <w:rsid w:val="00015F96"/>
    <w:rsid w:val="00024556"/>
    <w:rsid w:val="00031C49"/>
    <w:rsid w:val="0003232B"/>
    <w:rsid w:val="00040CAC"/>
    <w:rsid w:val="00043742"/>
    <w:rsid w:val="00044A24"/>
    <w:rsid w:val="00044F68"/>
    <w:rsid w:val="00044F8B"/>
    <w:rsid w:val="00045485"/>
    <w:rsid w:val="00047C3D"/>
    <w:rsid w:val="00051C07"/>
    <w:rsid w:val="00053EE8"/>
    <w:rsid w:val="00056F00"/>
    <w:rsid w:val="00065F33"/>
    <w:rsid w:val="00073F20"/>
    <w:rsid w:val="00091B98"/>
    <w:rsid w:val="00094001"/>
    <w:rsid w:val="00094243"/>
    <w:rsid w:val="00097ABF"/>
    <w:rsid w:val="000A2FB9"/>
    <w:rsid w:val="000B0224"/>
    <w:rsid w:val="000B1665"/>
    <w:rsid w:val="000B1C8B"/>
    <w:rsid w:val="000B65DB"/>
    <w:rsid w:val="000B74F6"/>
    <w:rsid w:val="000B7FA6"/>
    <w:rsid w:val="000C07F4"/>
    <w:rsid w:val="000C2247"/>
    <w:rsid w:val="000C23DB"/>
    <w:rsid w:val="000C5363"/>
    <w:rsid w:val="000C619C"/>
    <w:rsid w:val="000C632C"/>
    <w:rsid w:val="000D0647"/>
    <w:rsid w:val="000D273C"/>
    <w:rsid w:val="000D332A"/>
    <w:rsid w:val="000D55E3"/>
    <w:rsid w:val="000E264F"/>
    <w:rsid w:val="000E4E56"/>
    <w:rsid w:val="000E6F36"/>
    <w:rsid w:val="000F045D"/>
    <w:rsid w:val="000F515F"/>
    <w:rsid w:val="000F564E"/>
    <w:rsid w:val="00107CB0"/>
    <w:rsid w:val="00117D91"/>
    <w:rsid w:val="001252D4"/>
    <w:rsid w:val="00131581"/>
    <w:rsid w:val="0013457C"/>
    <w:rsid w:val="00136FDA"/>
    <w:rsid w:val="00144E75"/>
    <w:rsid w:val="00156D2E"/>
    <w:rsid w:val="00162C1E"/>
    <w:rsid w:val="0016732E"/>
    <w:rsid w:val="00170869"/>
    <w:rsid w:val="001742F0"/>
    <w:rsid w:val="001770C5"/>
    <w:rsid w:val="001A171F"/>
    <w:rsid w:val="001A7052"/>
    <w:rsid w:val="001B0062"/>
    <w:rsid w:val="001C104E"/>
    <w:rsid w:val="001C2B54"/>
    <w:rsid w:val="001C2EE4"/>
    <w:rsid w:val="001C5A36"/>
    <w:rsid w:val="001D1DA2"/>
    <w:rsid w:val="001D5F3E"/>
    <w:rsid w:val="001D625B"/>
    <w:rsid w:val="001D7185"/>
    <w:rsid w:val="001E64EE"/>
    <w:rsid w:val="001F09E6"/>
    <w:rsid w:val="001F6B44"/>
    <w:rsid w:val="00200592"/>
    <w:rsid w:val="00202484"/>
    <w:rsid w:val="002024C1"/>
    <w:rsid w:val="002102A2"/>
    <w:rsid w:val="00216352"/>
    <w:rsid w:val="00220453"/>
    <w:rsid w:val="002214C7"/>
    <w:rsid w:val="00226B81"/>
    <w:rsid w:val="00227755"/>
    <w:rsid w:val="00231AAD"/>
    <w:rsid w:val="00232872"/>
    <w:rsid w:val="00232C7E"/>
    <w:rsid w:val="00236012"/>
    <w:rsid w:val="002378D0"/>
    <w:rsid w:val="002433DA"/>
    <w:rsid w:val="0024388D"/>
    <w:rsid w:val="00246186"/>
    <w:rsid w:val="002520BE"/>
    <w:rsid w:val="00255874"/>
    <w:rsid w:val="0027659D"/>
    <w:rsid w:val="00276E64"/>
    <w:rsid w:val="0028694E"/>
    <w:rsid w:val="00296147"/>
    <w:rsid w:val="00297E2E"/>
    <w:rsid w:val="002A0C65"/>
    <w:rsid w:val="002A3213"/>
    <w:rsid w:val="002A5C0B"/>
    <w:rsid w:val="002B3B75"/>
    <w:rsid w:val="002B4C8F"/>
    <w:rsid w:val="002B5EFC"/>
    <w:rsid w:val="002C24CF"/>
    <w:rsid w:val="002C273E"/>
    <w:rsid w:val="002C41EB"/>
    <w:rsid w:val="002C542E"/>
    <w:rsid w:val="002C7F45"/>
    <w:rsid w:val="002D1536"/>
    <w:rsid w:val="002E70AF"/>
    <w:rsid w:val="002E7675"/>
    <w:rsid w:val="002F5B93"/>
    <w:rsid w:val="0030231F"/>
    <w:rsid w:val="0031021C"/>
    <w:rsid w:val="003128D4"/>
    <w:rsid w:val="003266E4"/>
    <w:rsid w:val="00326DB7"/>
    <w:rsid w:val="00332B7D"/>
    <w:rsid w:val="00334FD2"/>
    <w:rsid w:val="00335B3E"/>
    <w:rsid w:val="00335BF8"/>
    <w:rsid w:val="00335F4A"/>
    <w:rsid w:val="00343974"/>
    <w:rsid w:val="00346F0E"/>
    <w:rsid w:val="00356264"/>
    <w:rsid w:val="003610ED"/>
    <w:rsid w:val="00364F3C"/>
    <w:rsid w:val="003658BC"/>
    <w:rsid w:val="003710C1"/>
    <w:rsid w:val="0037660A"/>
    <w:rsid w:val="00382E10"/>
    <w:rsid w:val="00383713"/>
    <w:rsid w:val="00395473"/>
    <w:rsid w:val="003962C7"/>
    <w:rsid w:val="003964E9"/>
    <w:rsid w:val="003A27C1"/>
    <w:rsid w:val="003A740C"/>
    <w:rsid w:val="003A7924"/>
    <w:rsid w:val="003C30C2"/>
    <w:rsid w:val="003C43C0"/>
    <w:rsid w:val="003C63DD"/>
    <w:rsid w:val="003D09EC"/>
    <w:rsid w:val="003D0E9A"/>
    <w:rsid w:val="003D2130"/>
    <w:rsid w:val="003D4B83"/>
    <w:rsid w:val="003D4E13"/>
    <w:rsid w:val="003D5338"/>
    <w:rsid w:val="003E40D7"/>
    <w:rsid w:val="003E698C"/>
    <w:rsid w:val="003F0C87"/>
    <w:rsid w:val="0040332A"/>
    <w:rsid w:val="00405453"/>
    <w:rsid w:val="0041092C"/>
    <w:rsid w:val="00415967"/>
    <w:rsid w:val="00421E2B"/>
    <w:rsid w:val="0042405B"/>
    <w:rsid w:val="0043272F"/>
    <w:rsid w:val="00441199"/>
    <w:rsid w:val="0044593D"/>
    <w:rsid w:val="00445A32"/>
    <w:rsid w:val="00450F86"/>
    <w:rsid w:val="00452497"/>
    <w:rsid w:val="004534D1"/>
    <w:rsid w:val="004550DD"/>
    <w:rsid w:val="00455763"/>
    <w:rsid w:val="00457635"/>
    <w:rsid w:val="004639F1"/>
    <w:rsid w:val="004644B0"/>
    <w:rsid w:val="00465CDC"/>
    <w:rsid w:val="00465FAC"/>
    <w:rsid w:val="00470826"/>
    <w:rsid w:val="00471A57"/>
    <w:rsid w:val="0047390B"/>
    <w:rsid w:val="00492956"/>
    <w:rsid w:val="0049308D"/>
    <w:rsid w:val="004A01E1"/>
    <w:rsid w:val="004B1B38"/>
    <w:rsid w:val="004B1F03"/>
    <w:rsid w:val="004B6425"/>
    <w:rsid w:val="004B7A91"/>
    <w:rsid w:val="004C2019"/>
    <w:rsid w:val="004C25A5"/>
    <w:rsid w:val="004C4307"/>
    <w:rsid w:val="004D086F"/>
    <w:rsid w:val="004D2194"/>
    <w:rsid w:val="004D220B"/>
    <w:rsid w:val="004D6E5B"/>
    <w:rsid w:val="004D7B59"/>
    <w:rsid w:val="004F08DD"/>
    <w:rsid w:val="004F3A2F"/>
    <w:rsid w:val="004F3A73"/>
    <w:rsid w:val="004F76D7"/>
    <w:rsid w:val="00503C2D"/>
    <w:rsid w:val="00506E3B"/>
    <w:rsid w:val="00527B32"/>
    <w:rsid w:val="005325CB"/>
    <w:rsid w:val="00544D68"/>
    <w:rsid w:val="00547BD1"/>
    <w:rsid w:val="00555997"/>
    <w:rsid w:val="005605F4"/>
    <w:rsid w:val="005621EB"/>
    <w:rsid w:val="0056265C"/>
    <w:rsid w:val="00563EF9"/>
    <w:rsid w:val="0056475C"/>
    <w:rsid w:val="00573809"/>
    <w:rsid w:val="00575D00"/>
    <w:rsid w:val="0058391E"/>
    <w:rsid w:val="005839C7"/>
    <w:rsid w:val="00590697"/>
    <w:rsid w:val="005909BD"/>
    <w:rsid w:val="005921B5"/>
    <w:rsid w:val="005952B2"/>
    <w:rsid w:val="005A46FD"/>
    <w:rsid w:val="005B1ECF"/>
    <w:rsid w:val="005C3AF3"/>
    <w:rsid w:val="005C613F"/>
    <w:rsid w:val="005D13E7"/>
    <w:rsid w:val="005E087D"/>
    <w:rsid w:val="005E3972"/>
    <w:rsid w:val="005E3BC2"/>
    <w:rsid w:val="005E4F68"/>
    <w:rsid w:val="005E68EF"/>
    <w:rsid w:val="005F0FDE"/>
    <w:rsid w:val="005F1198"/>
    <w:rsid w:val="005F2214"/>
    <w:rsid w:val="005F5B56"/>
    <w:rsid w:val="005F7A1A"/>
    <w:rsid w:val="005F7A6E"/>
    <w:rsid w:val="006002C2"/>
    <w:rsid w:val="0060572A"/>
    <w:rsid w:val="00617DE9"/>
    <w:rsid w:val="00624273"/>
    <w:rsid w:val="00627C8A"/>
    <w:rsid w:val="006315D4"/>
    <w:rsid w:val="00631CF6"/>
    <w:rsid w:val="00641BB2"/>
    <w:rsid w:val="00646E28"/>
    <w:rsid w:val="0066036D"/>
    <w:rsid w:val="00660CD0"/>
    <w:rsid w:val="00662F6B"/>
    <w:rsid w:val="00664C5C"/>
    <w:rsid w:val="00667ED6"/>
    <w:rsid w:val="00670260"/>
    <w:rsid w:val="00672156"/>
    <w:rsid w:val="00672893"/>
    <w:rsid w:val="00683BAC"/>
    <w:rsid w:val="00686C7D"/>
    <w:rsid w:val="006900AF"/>
    <w:rsid w:val="00690AB2"/>
    <w:rsid w:val="006930EA"/>
    <w:rsid w:val="006951E3"/>
    <w:rsid w:val="006A18C2"/>
    <w:rsid w:val="006A1A23"/>
    <w:rsid w:val="006A1F6E"/>
    <w:rsid w:val="006A31E7"/>
    <w:rsid w:val="006A3BCD"/>
    <w:rsid w:val="006B14D3"/>
    <w:rsid w:val="006B3C5F"/>
    <w:rsid w:val="006C0A61"/>
    <w:rsid w:val="006C2743"/>
    <w:rsid w:val="006C7A36"/>
    <w:rsid w:val="006D286F"/>
    <w:rsid w:val="006D4FCF"/>
    <w:rsid w:val="006E2ECF"/>
    <w:rsid w:val="006E763D"/>
    <w:rsid w:val="006F5DDF"/>
    <w:rsid w:val="00705B09"/>
    <w:rsid w:val="0072468B"/>
    <w:rsid w:val="00725B5A"/>
    <w:rsid w:val="007260C6"/>
    <w:rsid w:val="007306E6"/>
    <w:rsid w:val="00735191"/>
    <w:rsid w:val="007364B1"/>
    <w:rsid w:val="007419F1"/>
    <w:rsid w:val="00753058"/>
    <w:rsid w:val="007547C6"/>
    <w:rsid w:val="0075489F"/>
    <w:rsid w:val="0075526F"/>
    <w:rsid w:val="0076379E"/>
    <w:rsid w:val="0076386B"/>
    <w:rsid w:val="007660B5"/>
    <w:rsid w:val="007720FB"/>
    <w:rsid w:val="007737C9"/>
    <w:rsid w:val="007776C3"/>
    <w:rsid w:val="00781A25"/>
    <w:rsid w:val="0078753A"/>
    <w:rsid w:val="00791CFC"/>
    <w:rsid w:val="007A22C7"/>
    <w:rsid w:val="007A306C"/>
    <w:rsid w:val="007A73A3"/>
    <w:rsid w:val="007A7C0E"/>
    <w:rsid w:val="007B4EFA"/>
    <w:rsid w:val="007B7F56"/>
    <w:rsid w:val="007D6813"/>
    <w:rsid w:val="007D692A"/>
    <w:rsid w:val="007E0A63"/>
    <w:rsid w:val="007E3441"/>
    <w:rsid w:val="007E4A7A"/>
    <w:rsid w:val="007E6CB5"/>
    <w:rsid w:val="007F04C7"/>
    <w:rsid w:val="007F268F"/>
    <w:rsid w:val="007F39BA"/>
    <w:rsid w:val="007F459D"/>
    <w:rsid w:val="007F5955"/>
    <w:rsid w:val="007F6D0B"/>
    <w:rsid w:val="007F74D6"/>
    <w:rsid w:val="00801AA6"/>
    <w:rsid w:val="00813F53"/>
    <w:rsid w:val="00816AC1"/>
    <w:rsid w:val="0082167B"/>
    <w:rsid w:val="00822531"/>
    <w:rsid w:val="00822A78"/>
    <w:rsid w:val="00834352"/>
    <w:rsid w:val="00837A70"/>
    <w:rsid w:val="0084505D"/>
    <w:rsid w:val="00846B5F"/>
    <w:rsid w:val="00847E09"/>
    <w:rsid w:val="00847F12"/>
    <w:rsid w:val="00851CC1"/>
    <w:rsid w:val="008522BE"/>
    <w:rsid w:val="00856096"/>
    <w:rsid w:val="0086428A"/>
    <w:rsid w:val="0087002B"/>
    <w:rsid w:val="00875116"/>
    <w:rsid w:val="00880512"/>
    <w:rsid w:val="008813EB"/>
    <w:rsid w:val="00887541"/>
    <w:rsid w:val="008916F1"/>
    <w:rsid w:val="008953AF"/>
    <w:rsid w:val="00895B1A"/>
    <w:rsid w:val="008A1091"/>
    <w:rsid w:val="008B3BEC"/>
    <w:rsid w:val="008C228D"/>
    <w:rsid w:val="008D1AAB"/>
    <w:rsid w:val="008D5269"/>
    <w:rsid w:val="008E06D2"/>
    <w:rsid w:val="008E0E9A"/>
    <w:rsid w:val="008E513B"/>
    <w:rsid w:val="008E6307"/>
    <w:rsid w:val="008F1DC7"/>
    <w:rsid w:val="008F2BB0"/>
    <w:rsid w:val="00900488"/>
    <w:rsid w:val="00903543"/>
    <w:rsid w:val="00903DB7"/>
    <w:rsid w:val="009148D3"/>
    <w:rsid w:val="00914F36"/>
    <w:rsid w:val="009214D5"/>
    <w:rsid w:val="0092161A"/>
    <w:rsid w:val="00923EAB"/>
    <w:rsid w:val="00927C44"/>
    <w:rsid w:val="0093150D"/>
    <w:rsid w:val="00933970"/>
    <w:rsid w:val="00940EF1"/>
    <w:rsid w:val="00941F7F"/>
    <w:rsid w:val="009547FE"/>
    <w:rsid w:val="00961C27"/>
    <w:rsid w:val="00961C96"/>
    <w:rsid w:val="00963E8E"/>
    <w:rsid w:val="009659AB"/>
    <w:rsid w:val="00967B08"/>
    <w:rsid w:val="00970DDF"/>
    <w:rsid w:val="009818CB"/>
    <w:rsid w:val="00982EEA"/>
    <w:rsid w:val="00985053"/>
    <w:rsid w:val="00985253"/>
    <w:rsid w:val="00991B26"/>
    <w:rsid w:val="009945CD"/>
    <w:rsid w:val="009956C0"/>
    <w:rsid w:val="009969C4"/>
    <w:rsid w:val="009A076C"/>
    <w:rsid w:val="009A33DE"/>
    <w:rsid w:val="009A73A4"/>
    <w:rsid w:val="009B0F08"/>
    <w:rsid w:val="009B29C9"/>
    <w:rsid w:val="009B2EEA"/>
    <w:rsid w:val="009B3F32"/>
    <w:rsid w:val="009C144C"/>
    <w:rsid w:val="009C15FC"/>
    <w:rsid w:val="009C759B"/>
    <w:rsid w:val="009E09C9"/>
    <w:rsid w:val="009E32AC"/>
    <w:rsid w:val="009E4CF6"/>
    <w:rsid w:val="009F34DA"/>
    <w:rsid w:val="009F6EAA"/>
    <w:rsid w:val="00A00598"/>
    <w:rsid w:val="00A01955"/>
    <w:rsid w:val="00A0386D"/>
    <w:rsid w:val="00A04E37"/>
    <w:rsid w:val="00A11022"/>
    <w:rsid w:val="00A12A3A"/>
    <w:rsid w:val="00A15880"/>
    <w:rsid w:val="00A16215"/>
    <w:rsid w:val="00A178DC"/>
    <w:rsid w:val="00A219A9"/>
    <w:rsid w:val="00A26878"/>
    <w:rsid w:val="00A271EB"/>
    <w:rsid w:val="00A279C0"/>
    <w:rsid w:val="00A31765"/>
    <w:rsid w:val="00A45A4B"/>
    <w:rsid w:val="00A535D9"/>
    <w:rsid w:val="00A562E1"/>
    <w:rsid w:val="00A565A7"/>
    <w:rsid w:val="00A57D15"/>
    <w:rsid w:val="00A61127"/>
    <w:rsid w:val="00A6536E"/>
    <w:rsid w:val="00A7134A"/>
    <w:rsid w:val="00A74CFA"/>
    <w:rsid w:val="00A7701F"/>
    <w:rsid w:val="00A82CFB"/>
    <w:rsid w:val="00A853D4"/>
    <w:rsid w:val="00A953AC"/>
    <w:rsid w:val="00A96EC0"/>
    <w:rsid w:val="00AA1CE1"/>
    <w:rsid w:val="00AA3348"/>
    <w:rsid w:val="00AA3759"/>
    <w:rsid w:val="00AA39C8"/>
    <w:rsid w:val="00AA5FB7"/>
    <w:rsid w:val="00AB553A"/>
    <w:rsid w:val="00AB6361"/>
    <w:rsid w:val="00AC1310"/>
    <w:rsid w:val="00AC20FB"/>
    <w:rsid w:val="00AC26C9"/>
    <w:rsid w:val="00AC2A76"/>
    <w:rsid w:val="00AC5639"/>
    <w:rsid w:val="00AC58C9"/>
    <w:rsid w:val="00AD00AE"/>
    <w:rsid w:val="00AE1B98"/>
    <w:rsid w:val="00AE625B"/>
    <w:rsid w:val="00AF03C2"/>
    <w:rsid w:val="00AF20C8"/>
    <w:rsid w:val="00AF5B8E"/>
    <w:rsid w:val="00AF6738"/>
    <w:rsid w:val="00B03FF4"/>
    <w:rsid w:val="00B204F2"/>
    <w:rsid w:val="00B2063E"/>
    <w:rsid w:val="00B20A02"/>
    <w:rsid w:val="00B23FB1"/>
    <w:rsid w:val="00B26939"/>
    <w:rsid w:val="00B314B0"/>
    <w:rsid w:val="00B32ABE"/>
    <w:rsid w:val="00B32D68"/>
    <w:rsid w:val="00B36933"/>
    <w:rsid w:val="00B4442A"/>
    <w:rsid w:val="00B450D5"/>
    <w:rsid w:val="00B47D42"/>
    <w:rsid w:val="00B507A9"/>
    <w:rsid w:val="00B54234"/>
    <w:rsid w:val="00B62B4A"/>
    <w:rsid w:val="00B643B5"/>
    <w:rsid w:val="00B65738"/>
    <w:rsid w:val="00B7599F"/>
    <w:rsid w:val="00B773D6"/>
    <w:rsid w:val="00B775DA"/>
    <w:rsid w:val="00B81878"/>
    <w:rsid w:val="00B8439F"/>
    <w:rsid w:val="00B87259"/>
    <w:rsid w:val="00B90B9B"/>
    <w:rsid w:val="00B933BA"/>
    <w:rsid w:val="00BA06F9"/>
    <w:rsid w:val="00BA1872"/>
    <w:rsid w:val="00BA4D88"/>
    <w:rsid w:val="00BB0201"/>
    <w:rsid w:val="00BB18E8"/>
    <w:rsid w:val="00BC0EE5"/>
    <w:rsid w:val="00BC2F5A"/>
    <w:rsid w:val="00BC5653"/>
    <w:rsid w:val="00BD4455"/>
    <w:rsid w:val="00BD4C4C"/>
    <w:rsid w:val="00BD5C2A"/>
    <w:rsid w:val="00BD63DD"/>
    <w:rsid w:val="00BD7890"/>
    <w:rsid w:val="00BE07B7"/>
    <w:rsid w:val="00BE0989"/>
    <w:rsid w:val="00BE1C3A"/>
    <w:rsid w:val="00BE24E1"/>
    <w:rsid w:val="00BF48FD"/>
    <w:rsid w:val="00C01B3F"/>
    <w:rsid w:val="00C04676"/>
    <w:rsid w:val="00C116B7"/>
    <w:rsid w:val="00C13D46"/>
    <w:rsid w:val="00C20505"/>
    <w:rsid w:val="00C229B0"/>
    <w:rsid w:val="00C329A9"/>
    <w:rsid w:val="00C35546"/>
    <w:rsid w:val="00C35BA8"/>
    <w:rsid w:val="00C35F23"/>
    <w:rsid w:val="00C4208F"/>
    <w:rsid w:val="00C43C4D"/>
    <w:rsid w:val="00C513A6"/>
    <w:rsid w:val="00C52A97"/>
    <w:rsid w:val="00C54745"/>
    <w:rsid w:val="00C55D22"/>
    <w:rsid w:val="00C64FCA"/>
    <w:rsid w:val="00C6546D"/>
    <w:rsid w:val="00C66D96"/>
    <w:rsid w:val="00C66E69"/>
    <w:rsid w:val="00C82979"/>
    <w:rsid w:val="00C94813"/>
    <w:rsid w:val="00C96B17"/>
    <w:rsid w:val="00CA4180"/>
    <w:rsid w:val="00CB077F"/>
    <w:rsid w:val="00CB6FA4"/>
    <w:rsid w:val="00CB73B5"/>
    <w:rsid w:val="00CD023F"/>
    <w:rsid w:val="00CD22C0"/>
    <w:rsid w:val="00CE3108"/>
    <w:rsid w:val="00CE38C1"/>
    <w:rsid w:val="00CE3A40"/>
    <w:rsid w:val="00CE75AB"/>
    <w:rsid w:val="00CF0FE8"/>
    <w:rsid w:val="00D01805"/>
    <w:rsid w:val="00D0659E"/>
    <w:rsid w:val="00D15520"/>
    <w:rsid w:val="00D20EEA"/>
    <w:rsid w:val="00D24738"/>
    <w:rsid w:val="00D25141"/>
    <w:rsid w:val="00D34BEB"/>
    <w:rsid w:val="00D37B44"/>
    <w:rsid w:val="00D4575E"/>
    <w:rsid w:val="00D5042F"/>
    <w:rsid w:val="00D51D66"/>
    <w:rsid w:val="00D57039"/>
    <w:rsid w:val="00D65216"/>
    <w:rsid w:val="00D6585C"/>
    <w:rsid w:val="00D72D98"/>
    <w:rsid w:val="00D7525E"/>
    <w:rsid w:val="00D75E08"/>
    <w:rsid w:val="00D77CA9"/>
    <w:rsid w:val="00D843D1"/>
    <w:rsid w:val="00D906BF"/>
    <w:rsid w:val="00DA1BEE"/>
    <w:rsid w:val="00DA3186"/>
    <w:rsid w:val="00DA6B31"/>
    <w:rsid w:val="00DA78F4"/>
    <w:rsid w:val="00DB2A94"/>
    <w:rsid w:val="00DB38E6"/>
    <w:rsid w:val="00DB4835"/>
    <w:rsid w:val="00DB71A6"/>
    <w:rsid w:val="00DC61AD"/>
    <w:rsid w:val="00DC745A"/>
    <w:rsid w:val="00DE314E"/>
    <w:rsid w:val="00DE7718"/>
    <w:rsid w:val="00DF0058"/>
    <w:rsid w:val="00DF0D1C"/>
    <w:rsid w:val="00DF29EA"/>
    <w:rsid w:val="00DF3A53"/>
    <w:rsid w:val="00DF4A93"/>
    <w:rsid w:val="00DF5040"/>
    <w:rsid w:val="00DF6F1E"/>
    <w:rsid w:val="00DF7C5D"/>
    <w:rsid w:val="00E00608"/>
    <w:rsid w:val="00E0364A"/>
    <w:rsid w:val="00E04005"/>
    <w:rsid w:val="00E11057"/>
    <w:rsid w:val="00E1284B"/>
    <w:rsid w:val="00E13918"/>
    <w:rsid w:val="00E15B28"/>
    <w:rsid w:val="00E24A0E"/>
    <w:rsid w:val="00E30A66"/>
    <w:rsid w:val="00E349D5"/>
    <w:rsid w:val="00E42CED"/>
    <w:rsid w:val="00E43BBA"/>
    <w:rsid w:val="00E47C54"/>
    <w:rsid w:val="00E50DF9"/>
    <w:rsid w:val="00E5173D"/>
    <w:rsid w:val="00E649E9"/>
    <w:rsid w:val="00E6572A"/>
    <w:rsid w:val="00E65B9C"/>
    <w:rsid w:val="00E81B27"/>
    <w:rsid w:val="00E8255F"/>
    <w:rsid w:val="00E8466C"/>
    <w:rsid w:val="00E95F7B"/>
    <w:rsid w:val="00E96724"/>
    <w:rsid w:val="00EA0584"/>
    <w:rsid w:val="00EA34B5"/>
    <w:rsid w:val="00EA3643"/>
    <w:rsid w:val="00EA5DC7"/>
    <w:rsid w:val="00EB2094"/>
    <w:rsid w:val="00EB3212"/>
    <w:rsid w:val="00EB4BAB"/>
    <w:rsid w:val="00EB6613"/>
    <w:rsid w:val="00EC1F9E"/>
    <w:rsid w:val="00EC24AC"/>
    <w:rsid w:val="00EC2AA2"/>
    <w:rsid w:val="00EC3A4F"/>
    <w:rsid w:val="00EC3F78"/>
    <w:rsid w:val="00EC5B8B"/>
    <w:rsid w:val="00ED51B5"/>
    <w:rsid w:val="00EE011D"/>
    <w:rsid w:val="00EE0EC8"/>
    <w:rsid w:val="00EE3372"/>
    <w:rsid w:val="00EE64DD"/>
    <w:rsid w:val="00F051B6"/>
    <w:rsid w:val="00F25003"/>
    <w:rsid w:val="00F2609C"/>
    <w:rsid w:val="00F271DA"/>
    <w:rsid w:val="00F40FED"/>
    <w:rsid w:val="00F42168"/>
    <w:rsid w:val="00F50707"/>
    <w:rsid w:val="00F50EE5"/>
    <w:rsid w:val="00F5401F"/>
    <w:rsid w:val="00F54FD3"/>
    <w:rsid w:val="00F647AF"/>
    <w:rsid w:val="00F64BBC"/>
    <w:rsid w:val="00F668D0"/>
    <w:rsid w:val="00F66BBF"/>
    <w:rsid w:val="00F71268"/>
    <w:rsid w:val="00F71FFE"/>
    <w:rsid w:val="00F72246"/>
    <w:rsid w:val="00F72A94"/>
    <w:rsid w:val="00F73182"/>
    <w:rsid w:val="00F771BC"/>
    <w:rsid w:val="00F77EFD"/>
    <w:rsid w:val="00F843E7"/>
    <w:rsid w:val="00F87FC6"/>
    <w:rsid w:val="00F93A31"/>
    <w:rsid w:val="00F93F40"/>
    <w:rsid w:val="00F96291"/>
    <w:rsid w:val="00F96A59"/>
    <w:rsid w:val="00F96C28"/>
    <w:rsid w:val="00FA49C5"/>
    <w:rsid w:val="00FB159E"/>
    <w:rsid w:val="00FB366F"/>
    <w:rsid w:val="00FB5BA8"/>
    <w:rsid w:val="00FB6599"/>
    <w:rsid w:val="00FB6CA8"/>
    <w:rsid w:val="00FB7CAE"/>
    <w:rsid w:val="00FC1BAD"/>
    <w:rsid w:val="00FC4D73"/>
    <w:rsid w:val="00FC6B36"/>
    <w:rsid w:val="00FD56C8"/>
    <w:rsid w:val="00FE60E9"/>
    <w:rsid w:val="00FE7E39"/>
    <w:rsid w:val="00FF2F46"/>
    <w:rsid w:val="00FF653E"/>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D6E5B"/>
    <w:pPr>
      <w:widowControl w:val="0"/>
      <w:tabs>
        <w:tab w:val="left" w:pos="9498"/>
      </w:tabs>
      <w:spacing w:before="240" w:line="480" w:lineRule="auto"/>
      <w:outlineLvl w:val="0"/>
    </w:pPr>
    <w:rPr>
      <w:rFonts w:ascii="Times New Roman" w:hAnsi="Times New Roman"/>
      <w:sz w:val="24"/>
      <w:szCs w:val="24"/>
      <w:lang w:eastAsia="it-IT"/>
    </w:rPr>
  </w:style>
  <w:style w:type="paragraph" w:styleId="Heading1">
    <w:name w:val="heading 1"/>
    <w:basedOn w:val="TEXT"/>
    <w:next w:val="Normal"/>
    <w:qFormat/>
    <w:rsid w:val="004D6E5B"/>
    <w:rPr>
      <w:b/>
    </w:rPr>
  </w:style>
  <w:style w:type="paragraph" w:styleId="Heading2">
    <w:name w:val="heading 2"/>
    <w:basedOn w:val="Heading3"/>
    <w:next w:val="Normal"/>
    <w:qFormat/>
    <w:rsid w:val="004D6E5B"/>
    <w:pPr>
      <w:outlineLvl w:val="1"/>
    </w:pPr>
  </w:style>
  <w:style w:type="paragraph" w:styleId="Heading3">
    <w:name w:val="heading 3"/>
    <w:basedOn w:val="Title11"/>
    <w:next w:val="Normal"/>
    <w:qFormat/>
    <w:rsid w:val="00D25141"/>
    <w:pPr>
      <w:spacing w:after="0"/>
      <w:outlineLvl w:val="2"/>
    </w:pPr>
    <w:rPr>
      <w:lang w:val="en-US"/>
    </w:rPr>
  </w:style>
  <w:style w:type="paragraph" w:styleId="Heading4">
    <w:name w:val="heading 4"/>
    <w:basedOn w:val="Heading3"/>
    <w:next w:val="Normal"/>
    <w:qFormat/>
    <w:pPr>
      <w:outlineLvl w:val="3"/>
    </w:pPr>
    <w:rPr>
      <w:b w:val="0"/>
      <w:u w:val="single"/>
    </w:rPr>
  </w:style>
  <w:style w:type="paragraph" w:styleId="Heading5">
    <w:name w:val="heading 5"/>
    <w:basedOn w:val="Heading4"/>
    <w:next w:val="Normal"/>
    <w:qFormat/>
    <w:pPr>
      <w:outlineLvl w:val="4"/>
    </w:pPr>
    <w:rPr>
      <w:i/>
    </w:rPr>
  </w:style>
  <w:style w:type="paragraph" w:styleId="Heading6">
    <w:name w:val="heading 6"/>
    <w:basedOn w:val="Normal"/>
    <w:next w:val="Normal"/>
    <w:qFormat/>
    <w:pPr>
      <w:ind w:left="708"/>
      <w:outlineLvl w:val="5"/>
    </w:pPr>
    <w:rPr>
      <w:sz w:val="20"/>
      <w:u w:val="single"/>
    </w:rPr>
  </w:style>
  <w:style w:type="paragraph" w:styleId="Heading7">
    <w:name w:val="heading 7"/>
    <w:aliases w:val="Paragrafo"/>
    <w:basedOn w:val="Normal"/>
    <w:next w:val="Normal"/>
    <w:qFormat/>
    <w:pPr>
      <w:spacing w:before="280" w:after="120"/>
      <w:ind w:left="23" w:hanging="23"/>
      <w:outlineLvl w:val="6"/>
    </w:pPr>
    <w:rPr>
      <w:b/>
    </w:rPr>
  </w:style>
  <w:style w:type="paragraph" w:styleId="Heading8">
    <w:name w:val="heading 8"/>
    <w:basedOn w:val="Normal"/>
    <w:next w:val="Normal"/>
    <w:qFormat/>
    <w:pPr>
      <w:ind w:left="708"/>
      <w:outlineLvl w:val="7"/>
    </w:pPr>
    <w:rPr>
      <w:i/>
      <w:sz w:val="20"/>
    </w:rPr>
  </w:style>
  <w:style w:type="paragraph" w:styleId="Heading9">
    <w:name w:val="heading 9"/>
    <w:basedOn w:val="Normal"/>
    <w:next w:val="Normal"/>
    <w:qFormat/>
    <w:pPr>
      <w:ind w:left="708"/>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lte111">
    <w:name w:val="Tilte 1.1.1"/>
    <w:basedOn w:val="Normal"/>
    <w:next w:val="TEXT"/>
    <w:rsid w:val="005315EA"/>
    <w:pPr>
      <w:spacing w:after="120"/>
    </w:pPr>
    <w:rPr>
      <w:i/>
    </w:rPr>
  </w:style>
  <w:style w:type="paragraph" w:customStyle="1" w:styleId="AFFILIATIONS">
    <w:name w:val="AFFILIATIONS"/>
    <w:basedOn w:val="Normal"/>
    <w:rsid w:val="007D0C07"/>
    <w:rPr>
      <w:i/>
      <w:color w:val="000000"/>
      <w:sz w:val="28"/>
    </w:rPr>
  </w:style>
  <w:style w:type="paragraph" w:customStyle="1" w:styleId="SUMMARY">
    <w:name w:val="SUMMARY"/>
    <w:basedOn w:val="Normal"/>
    <w:rsid w:val="007D0C07"/>
    <w:pPr>
      <w:spacing w:before="700"/>
    </w:pPr>
    <w:rPr>
      <w:color w:val="000000"/>
    </w:rPr>
  </w:style>
  <w:style w:type="paragraph" w:customStyle="1" w:styleId="TITLE1">
    <w:name w:val="TITLE 1"/>
    <w:basedOn w:val="SUMMARY"/>
    <w:rsid w:val="007D0C07"/>
    <w:pPr>
      <w:spacing w:before="500" w:after="240"/>
    </w:pPr>
    <w:rPr>
      <w:b/>
    </w:rPr>
  </w:style>
  <w:style w:type="paragraph" w:styleId="Footer">
    <w:name w:val="footer"/>
    <w:basedOn w:val="Normal"/>
    <w:semiHidden/>
    <w:pPr>
      <w:tabs>
        <w:tab w:val="center" w:pos="4819"/>
        <w:tab w:val="right" w:pos="9638"/>
      </w:tabs>
    </w:pPr>
  </w:style>
  <w:style w:type="paragraph" w:customStyle="1" w:styleId="TITLE2">
    <w:name w:val="TITLE 2"/>
    <w:basedOn w:val="Normal"/>
    <w:next w:val="TEXT"/>
    <w:rsid w:val="00957A37"/>
    <w:pPr>
      <w:widowControl/>
      <w:spacing w:before="600" w:after="240"/>
    </w:pPr>
    <w:rPr>
      <w:b/>
      <w:color w:val="000000"/>
    </w:rPr>
  </w:style>
  <w:style w:type="paragraph" w:styleId="Header">
    <w:name w:val="header"/>
    <w:basedOn w:val="Normal"/>
    <w:semiHidden/>
    <w:pPr>
      <w:tabs>
        <w:tab w:val="center" w:pos="4819"/>
        <w:tab w:val="right" w:pos="9638"/>
      </w:tabs>
    </w:pPr>
  </w:style>
  <w:style w:type="paragraph" w:customStyle="1" w:styleId="TEXT">
    <w:name w:val="TEXT"/>
    <w:basedOn w:val="Normal"/>
    <w:rsid w:val="00A64980"/>
  </w:style>
  <w:style w:type="paragraph" w:customStyle="1" w:styleId="Sottoparagrafo">
    <w:name w:val="Sottoparagrafo"/>
    <w:basedOn w:val="Normal"/>
    <w:semiHidden/>
    <w:pPr>
      <w:spacing w:after="120"/>
    </w:pPr>
    <w:rPr>
      <w:i/>
    </w:rPr>
  </w:style>
  <w:style w:type="paragraph" w:customStyle="1" w:styleId="Title10">
    <w:name w:val="Title1"/>
    <w:basedOn w:val="Normal"/>
    <w:rsid w:val="003A069A"/>
    <w:pPr>
      <w:spacing w:after="720"/>
    </w:pPr>
    <w:rPr>
      <w:color w:val="000000"/>
      <w:sz w:val="48"/>
    </w:rPr>
  </w:style>
  <w:style w:type="paragraph" w:customStyle="1" w:styleId="AUTHOR">
    <w:name w:val="AUTHOR"/>
    <w:basedOn w:val="Normal"/>
    <w:rsid w:val="003A069A"/>
    <w:pPr>
      <w:spacing w:after="240"/>
    </w:pPr>
    <w:rPr>
      <w:color w:val="000000"/>
      <w:sz w:val="28"/>
    </w:rPr>
  </w:style>
  <w:style w:type="paragraph" w:customStyle="1" w:styleId="Title11">
    <w:name w:val="Title 1.1"/>
    <w:basedOn w:val="TEXT"/>
    <w:rsid w:val="00EB598F"/>
    <w:pPr>
      <w:spacing w:after="180"/>
    </w:pPr>
    <w:rPr>
      <w:b/>
      <w:color w:val="000000"/>
    </w:rPr>
  </w:style>
  <w:style w:type="paragraph" w:customStyle="1" w:styleId="Title12">
    <w:name w:val="Title 1.2"/>
    <w:basedOn w:val="Title11"/>
    <w:next w:val="TEXT"/>
    <w:rsid w:val="00EB598F"/>
    <w:pPr>
      <w:spacing w:before="360"/>
    </w:pPr>
  </w:style>
  <w:style w:type="paragraph" w:customStyle="1" w:styleId="Tablelegend">
    <w:name w:val="Table legend"/>
    <w:basedOn w:val="Normal"/>
    <w:next w:val="TEXT"/>
    <w:rsid w:val="005315EA"/>
    <w:pPr>
      <w:spacing w:before="480" w:after="60"/>
      <w:ind w:left="1134" w:hanging="1134"/>
    </w:pPr>
  </w:style>
  <w:style w:type="paragraph" w:customStyle="1" w:styleId="Equation">
    <w:name w:val="Equation"/>
    <w:basedOn w:val="Normal"/>
    <w:next w:val="TEXT"/>
    <w:rsid w:val="004E6B3A"/>
    <w:pPr>
      <w:spacing w:after="240"/>
      <w:jc w:val="center"/>
    </w:pPr>
  </w:style>
  <w:style w:type="paragraph" w:customStyle="1" w:styleId="Table">
    <w:name w:val="Table"/>
    <w:basedOn w:val="TEXT"/>
    <w:next w:val="TEXT"/>
    <w:rsid w:val="004E6B3A"/>
    <w:pPr>
      <w:spacing w:after="480"/>
    </w:pPr>
  </w:style>
  <w:style w:type="paragraph" w:customStyle="1" w:styleId="FIGURE">
    <w:name w:val="FIGURE"/>
    <w:basedOn w:val="Normal"/>
    <w:rsid w:val="00F524FB"/>
    <w:pPr>
      <w:spacing w:before="480" w:after="240"/>
      <w:jc w:val="center"/>
    </w:pPr>
  </w:style>
  <w:style w:type="paragraph" w:customStyle="1" w:styleId="Figurelegend">
    <w:name w:val="Figure legend"/>
    <w:basedOn w:val="Normal"/>
    <w:next w:val="TEXT"/>
    <w:rsid w:val="007E20A1"/>
    <w:pPr>
      <w:spacing w:before="120" w:after="480"/>
      <w:ind w:left="992" w:hanging="992"/>
    </w:pPr>
  </w:style>
  <w:style w:type="paragraph" w:customStyle="1" w:styleId="List1">
    <w:name w:val="List1"/>
    <w:basedOn w:val="Normal"/>
    <w:rsid w:val="00957A37"/>
    <w:pPr>
      <w:numPr>
        <w:numId w:val="5"/>
      </w:numPr>
    </w:pPr>
  </w:style>
  <w:style w:type="paragraph" w:customStyle="1" w:styleId="REFERENCES">
    <w:name w:val="REFERENCES"/>
    <w:basedOn w:val="Normal"/>
    <w:next w:val="TEXT"/>
    <w:rsid w:val="00CC6706"/>
    <w:pPr>
      <w:spacing w:after="60"/>
      <w:ind w:left="284" w:hanging="284"/>
    </w:pPr>
    <w:rPr>
      <w:lang w:val="da-DK"/>
    </w:rPr>
  </w:style>
  <w:style w:type="table" w:styleId="TableGrid">
    <w:name w:val="Table Grid"/>
    <w:basedOn w:val="TableNormal"/>
    <w:rsid w:val="00DD2061"/>
    <w:pPr>
      <w:widowControl w:val="0"/>
      <w:tabs>
        <w:tab w:val="left" w:pos="9498"/>
      </w:tabs>
      <w:spacing w:line="280" w:lineRule="atLeast"/>
      <w:ind w:right="-28"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5258"/>
    <w:rPr>
      <w:color w:val="0000FF"/>
      <w:u w:val="single"/>
    </w:rPr>
  </w:style>
  <w:style w:type="character" w:styleId="FollowedHyperlink">
    <w:name w:val="FollowedHyperlink"/>
    <w:uiPriority w:val="99"/>
    <w:semiHidden/>
    <w:unhideWhenUsed/>
    <w:rsid w:val="00B20A02"/>
    <w:rPr>
      <w:color w:val="800080"/>
      <w:u w:val="single"/>
    </w:rPr>
  </w:style>
  <w:style w:type="paragraph" w:styleId="BalloonText">
    <w:name w:val="Balloon Text"/>
    <w:basedOn w:val="Normal"/>
    <w:link w:val="BalloonTextChar"/>
    <w:uiPriority w:val="99"/>
    <w:semiHidden/>
    <w:unhideWhenUsed/>
    <w:rsid w:val="005B1EC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B1ECF"/>
    <w:rPr>
      <w:rFonts w:ascii="Segoe UI" w:hAnsi="Segoe UI" w:cs="Segoe UI"/>
      <w:sz w:val="18"/>
      <w:szCs w:val="18"/>
      <w:lang w:val="it-IT" w:eastAsia="it-IT"/>
    </w:rPr>
  </w:style>
  <w:style w:type="character" w:styleId="CommentReference">
    <w:name w:val="annotation reference"/>
    <w:uiPriority w:val="99"/>
    <w:semiHidden/>
    <w:unhideWhenUsed/>
    <w:rsid w:val="004D220B"/>
    <w:rPr>
      <w:sz w:val="16"/>
      <w:szCs w:val="16"/>
    </w:rPr>
  </w:style>
  <w:style w:type="paragraph" w:styleId="CommentText">
    <w:name w:val="annotation text"/>
    <w:basedOn w:val="Normal"/>
    <w:link w:val="CommentTextChar"/>
    <w:uiPriority w:val="99"/>
    <w:semiHidden/>
    <w:unhideWhenUsed/>
    <w:rsid w:val="004D220B"/>
    <w:rPr>
      <w:sz w:val="20"/>
    </w:rPr>
  </w:style>
  <w:style w:type="character" w:customStyle="1" w:styleId="CommentTextChar">
    <w:name w:val="Comment Text Char"/>
    <w:link w:val="CommentText"/>
    <w:uiPriority w:val="99"/>
    <w:semiHidden/>
    <w:rsid w:val="004D220B"/>
    <w:rPr>
      <w:rFonts w:ascii="Times" w:hAnsi="Times"/>
      <w:lang w:val="it-IT" w:eastAsia="it-IT"/>
    </w:rPr>
  </w:style>
  <w:style w:type="paragraph" w:styleId="CommentSubject">
    <w:name w:val="annotation subject"/>
    <w:basedOn w:val="CommentText"/>
    <w:next w:val="CommentText"/>
    <w:link w:val="CommentSubjectChar"/>
    <w:uiPriority w:val="99"/>
    <w:semiHidden/>
    <w:unhideWhenUsed/>
    <w:rsid w:val="004D220B"/>
    <w:rPr>
      <w:b/>
      <w:bCs/>
    </w:rPr>
  </w:style>
  <w:style w:type="character" w:customStyle="1" w:styleId="CommentSubjectChar">
    <w:name w:val="Comment Subject Char"/>
    <w:link w:val="CommentSubject"/>
    <w:uiPriority w:val="99"/>
    <w:semiHidden/>
    <w:rsid w:val="004D220B"/>
    <w:rPr>
      <w:rFonts w:ascii="Times" w:hAnsi="Times"/>
      <w:b/>
      <w:bCs/>
      <w:lang w:val="it-IT" w:eastAsia="it-IT"/>
    </w:rPr>
  </w:style>
  <w:style w:type="paragraph" w:styleId="FootnoteText">
    <w:name w:val="footnote text"/>
    <w:basedOn w:val="Normal"/>
    <w:link w:val="FootnoteTextChar"/>
    <w:uiPriority w:val="99"/>
    <w:unhideWhenUsed/>
    <w:rsid w:val="0084505D"/>
    <w:rPr>
      <w:sz w:val="20"/>
    </w:rPr>
  </w:style>
  <w:style w:type="character" w:customStyle="1" w:styleId="FootnoteTextChar">
    <w:name w:val="Footnote Text Char"/>
    <w:link w:val="FootnoteText"/>
    <w:uiPriority w:val="99"/>
    <w:rsid w:val="0084505D"/>
    <w:rPr>
      <w:rFonts w:ascii="Times" w:hAnsi="Times"/>
      <w:lang w:val="it-IT" w:eastAsia="it-IT"/>
    </w:rPr>
  </w:style>
  <w:style w:type="character" w:styleId="FootnoteReference">
    <w:name w:val="footnote reference"/>
    <w:uiPriority w:val="99"/>
    <w:semiHidden/>
    <w:unhideWhenUsed/>
    <w:rsid w:val="0084505D"/>
    <w:rPr>
      <w:vertAlign w:val="superscript"/>
    </w:rPr>
  </w:style>
  <w:style w:type="paragraph" w:styleId="EndnoteText">
    <w:name w:val="endnote text"/>
    <w:basedOn w:val="Normal"/>
    <w:link w:val="EndnoteTextChar"/>
    <w:uiPriority w:val="99"/>
    <w:semiHidden/>
    <w:unhideWhenUsed/>
    <w:rsid w:val="00383713"/>
    <w:rPr>
      <w:sz w:val="20"/>
    </w:rPr>
  </w:style>
  <w:style w:type="character" w:customStyle="1" w:styleId="EndnoteTextChar">
    <w:name w:val="Endnote Text Char"/>
    <w:link w:val="EndnoteText"/>
    <w:uiPriority w:val="99"/>
    <w:semiHidden/>
    <w:rsid w:val="00383713"/>
    <w:rPr>
      <w:rFonts w:ascii="Times" w:hAnsi="Times"/>
      <w:lang w:val="it-IT" w:eastAsia="it-IT"/>
    </w:rPr>
  </w:style>
  <w:style w:type="character" w:styleId="EndnoteReference">
    <w:name w:val="endnote reference"/>
    <w:uiPriority w:val="99"/>
    <w:semiHidden/>
    <w:unhideWhenUsed/>
    <w:rsid w:val="00383713"/>
    <w:rPr>
      <w:vertAlign w:val="superscript"/>
    </w:rPr>
  </w:style>
  <w:style w:type="character" w:styleId="PlaceholderText">
    <w:name w:val="Placeholder Text"/>
    <w:basedOn w:val="DefaultParagraphFont"/>
    <w:uiPriority w:val="99"/>
    <w:unhideWhenUsed/>
    <w:rsid w:val="009B0F08"/>
    <w:rPr>
      <w:color w:val="808080"/>
    </w:rPr>
  </w:style>
  <w:style w:type="character" w:styleId="LineNumber">
    <w:name w:val="line number"/>
    <w:basedOn w:val="DefaultParagraphFont"/>
    <w:uiPriority w:val="99"/>
    <w:semiHidden/>
    <w:unhideWhenUsed/>
    <w:rsid w:val="0027659D"/>
  </w:style>
  <w:style w:type="paragraph" w:styleId="Revision">
    <w:name w:val="Revision"/>
    <w:hidden/>
    <w:uiPriority w:val="71"/>
    <w:rsid w:val="00F54FD3"/>
    <w:rPr>
      <w:rFonts w:ascii="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D6E5B"/>
    <w:pPr>
      <w:widowControl w:val="0"/>
      <w:tabs>
        <w:tab w:val="left" w:pos="9498"/>
      </w:tabs>
      <w:spacing w:before="240" w:line="480" w:lineRule="auto"/>
      <w:outlineLvl w:val="0"/>
    </w:pPr>
    <w:rPr>
      <w:rFonts w:ascii="Times New Roman" w:hAnsi="Times New Roman"/>
      <w:sz w:val="24"/>
      <w:szCs w:val="24"/>
      <w:lang w:eastAsia="it-IT"/>
    </w:rPr>
  </w:style>
  <w:style w:type="paragraph" w:styleId="Heading1">
    <w:name w:val="heading 1"/>
    <w:basedOn w:val="TEXT"/>
    <w:next w:val="Normal"/>
    <w:qFormat/>
    <w:rsid w:val="004D6E5B"/>
    <w:rPr>
      <w:b/>
    </w:rPr>
  </w:style>
  <w:style w:type="paragraph" w:styleId="Heading2">
    <w:name w:val="heading 2"/>
    <w:basedOn w:val="Heading3"/>
    <w:next w:val="Normal"/>
    <w:qFormat/>
    <w:rsid w:val="004D6E5B"/>
    <w:pPr>
      <w:outlineLvl w:val="1"/>
    </w:pPr>
  </w:style>
  <w:style w:type="paragraph" w:styleId="Heading3">
    <w:name w:val="heading 3"/>
    <w:basedOn w:val="Title11"/>
    <w:next w:val="Normal"/>
    <w:qFormat/>
    <w:rsid w:val="00D25141"/>
    <w:pPr>
      <w:spacing w:after="0"/>
      <w:outlineLvl w:val="2"/>
    </w:pPr>
    <w:rPr>
      <w:lang w:val="en-US"/>
    </w:rPr>
  </w:style>
  <w:style w:type="paragraph" w:styleId="Heading4">
    <w:name w:val="heading 4"/>
    <w:basedOn w:val="Heading3"/>
    <w:next w:val="Normal"/>
    <w:qFormat/>
    <w:pPr>
      <w:outlineLvl w:val="3"/>
    </w:pPr>
    <w:rPr>
      <w:b w:val="0"/>
      <w:u w:val="single"/>
    </w:rPr>
  </w:style>
  <w:style w:type="paragraph" w:styleId="Heading5">
    <w:name w:val="heading 5"/>
    <w:basedOn w:val="Heading4"/>
    <w:next w:val="Normal"/>
    <w:qFormat/>
    <w:pPr>
      <w:outlineLvl w:val="4"/>
    </w:pPr>
    <w:rPr>
      <w:i/>
    </w:rPr>
  </w:style>
  <w:style w:type="paragraph" w:styleId="Heading6">
    <w:name w:val="heading 6"/>
    <w:basedOn w:val="Normal"/>
    <w:next w:val="Normal"/>
    <w:qFormat/>
    <w:pPr>
      <w:ind w:left="708"/>
      <w:outlineLvl w:val="5"/>
    </w:pPr>
    <w:rPr>
      <w:sz w:val="20"/>
      <w:u w:val="single"/>
    </w:rPr>
  </w:style>
  <w:style w:type="paragraph" w:styleId="Heading7">
    <w:name w:val="heading 7"/>
    <w:aliases w:val="Paragrafo"/>
    <w:basedOn w:val="Normal"/>
    <w:next w:val="Normal"/>
    <w:qFormat/>
    <w:pPr>
      <w:spacing w:before="280" w:after="120"/>
      <w:ind w:left="23" w:hanging="23"/>
      <w:outlineLvl w:val="6"/>
    </w:pPr>
    <w:rPr>
      <w:b/>
    </w:rPr>
  </w:style>
  <w:style w:type="paragraph" w:styleId="Heading8">
    <w:name w:val="heading 8"/>
    <w:basedOn w:val="Normal"/>
    <w:next w:val="Normal"/>
    <w:qFormat/>
    <w:pPr>
      <w:ind w:left="708"/>
      <w:outlineLvl w:val="7"/>
    </w:pPr>
    <w:rPr>
      <w:i/>
      <w:sz w:val="20"/>
    </w:rPr>
  </w:style>
  <w:style w:type="paragraph" w:styleId="Heading9">
    <w:name w:val="heading 9"/>
    <w:basedOn w:val="Normal"/>
    <w:next w:val="Normal"/>
    <w:qFormat/>
    <w:pPr>
      <w:ind w:left="708"/>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lte111">
    <w:name w:val="Tilte 1.1.1"/>
    <w:basedOn w:val="Normal"/>
    <w:next w:val="TEXT"/>
    <w:rsid w:val="005315EA"/>
    <w:pPr>
      <w:spacing w:after="120"/>
    </w:pPr>
    <w:rPr>
      <w:i/>
    </w:rPr>
  </w:style>
  <w:style w:type="paragraph" w:customStyle="1" w:styleId="AFFILIATIONS">
    <w:name w:val="AFFILIATIONS"/>
    <w:basedOn w:val="Normal"/>
    <w:rsid w:val="007D0C07"/>
    <w:rPr>
      <w:i/>
      <w:color w:val="000000"/>
      <w:sz w:val="28"/>
    </w:rPr>
  </w:style>
  <w:style w:type="paragraph" w:customStyle="1" w:styleId="SUMMARY">
    <w:name w:val="SUMMARY"/>
    <w:basedOn w:val="Normal"/>
    <w:rsid w:val="007D0C07"/>
    <w:pPr>
      <w:spacing w:before="700"/>
    </w:pPr>
    <w:rPr>
      <w:color w:val="000000"/>
    </w:rPr>
  </w:style>
  <w:style w:type="paragraph" w:customStyle="1" w:styleId="TITLE1">
    <w:name w:val="TITLE 1"/>
    <w:basedOn w:val="SUMMARY"/>
    <w:rsid w:val="007D0C07"/>
    <w:pPr>
      <w:spacing w:before="500" w:after="240"/>
    </w:pPr>
    <w:rPr>
      <w:b/>
    </w:rPr>
  </w:style>
  <w:style w:type="paragraph" w:styleId="Footer">
    <w:name w:val="footer"/>
    <w:basedOn w:val="Normal"/>
    <w:semiHidden/>
    <w:pPr>
      <w:tabs>
        <w:tab w:val="center" w:pos="4819"/>
        <w:tab w:val="right" w:pos="9638"/>
      </w:tabs>
    </w:pPr>
  </w:style>
  <w:style w:type="paragraph" w:customStyle="1" w:styleId="TITLE2">
    <w:name w:val="TITLE 2"/>
    <w:basedOn w:val="Normal"/>
    <w:next w:val="TEXT"/>
    <w:rsid w:val="00957A37"/>
    <w:pPr>
      <w:widowControl/>
      <w:spacing w:before="600" w:after="240"/>
    </w:pPr>
    <w:rPr>
      <w:b/>
      <w:color w:val="000000"/>
    </w:rPr>
  </w:style>
  <w:style w:type="paragraph" w:styleId="Header">
    <w:name w:val="header"/>
    <w:basedOn w:val="Normal"/>
    <w:semiHidden/>
    <w:pPr>
      <w:tabs>
        <w:tab w:val="center" w:pos="4819"/>
        <w:tab w:val="right" w:pos="9638"/>
      </w:tabs>
    </w:pPr>
  </w:style>
  <w:style w:type="paragraph" w:customStyle="1" w:styleId="TEXT">
    <w:name w:val="TEXT"/>
    <w:basedOn w:val="Normal"/>
    <w:rsid w:val="00A64980"/>
  </w:style>
  <w:style w:type="paragraph" w:customStyle="1" w:styleId="Sottoparagrafo">
    <w:name w:val="Sottoparagrafo"/>
    <w:basedOn w:val="Normal"/>
    <w:semiHidden/>
    <w:pPr>
      <w:spacing w:after="120"/>
    </w:pPr>
    <w:rPr>
      <w:i/>
    </w:rPr>
  </w:style>
  <w:style w:type="paragraph" w:customStyle="1" w:styleId="Title10">
    <w:name w:val="Title1"/>
    <w:basedOn w:val="Normal"/>
    <w:rsid w:val="003A069A"/>
    <w:pPr>
      <w:spacing w:after="720"/>
    </w:pPr>
    <w:rPr>
      <w:color w:val="000000"/>
      <w:sz w:val="48"/>
    </w:rPr>
  </w:style>
  <w:style w:type="paragraph" w:customStyle="1" w:styleId="AUTHOR">
    <w:name w:val="AUTHOR"/>
    <w:basedOn w:val="Normal"/>
    <w:rsid w:val="003A069A"/>
    <w:pPr>
      <w:spacing w:after="240"/>
    </w:pPr>
    <w:rPr>
      <w:color w:val="000000"/>
      <w:sz w:val="28"/>
    </w:rPr>
  </w:style>
  <w:style w:type="paragraph" w:customStyle="1" w:styleId="Title11">
    <w:name w:val="Title 1.1"/>
    <w:basedOn w:val="TEXT"/>
    <w:rsid w:val="00EB598F"/>
    <w:pPr>
      <w:spacing w:after="180"/>
    </w:pPr>
    <w:rPr>
      <w:b/>
      <w:color w:val="000000"/>
    </w:rPr>
  </w:style>
  <w:style w:type="paragraph" w:customStyle="1" w:styleId="Title12">
    <w:name w:val="Title 1.2"/>
    <w:basedOn w:val="Title11"/>
    <w:next w:val="TEXT"/>
    <w:rsid w:val="00EB598F"/>
    <w:pPr>
      <w:spacing w:before="360"/>
    </w:pPr>
  </w:style>
  <w:style w:type="paragraph" w:customStyle="1" w:styleId="Tablelegend">
    <w:name w:val="Table legend"/>
    <w:basedOn w:val="Normal"/>
    <w:next w:val="TEXT"/>
    <w:rsid w:val="005315EA"/>
    <w:pPr>
      <w:spacing w:before="480" w:after="60"/>
      <w:ind w:left="1134" w:hanging="1134"/>
    </w:pPr>
  </w:style>
  <w:style w:type="paragraph" w:customStyle="1" w:styleId="Equation">
    <w:name w:val="Equation"/>
    <w:basedOn w:val="Normal"/>
    <w:next w:val="TEXT"/>
    <w:rsid w:val="004E6B3A"/>
    <w:pPr>
      <w:spacing w:after="240"/>
      <w:jc w:val="center"/>
    </w:pPr>
  </w:style>
  <w:style w:type="paragraph" w:customStyle="1" w:styleId="Table">
    <w:name w:val="Table"/>
    <w:basedOn w:val="TEXT"/>
    <w:next w:val="TEXT"/>
    <w:rsid w:val="004E6B3A"/>
    <w:pPr>
      <w:spacing w:after="480"/>
    </w:pPr>
  </w:style>
  <w:style w:type="paragraph" w:customStyle="1" w:styleId="FIGURE">
    <w:name w:val="FIGURE"/>
    <w:basedOn w:val="Normal"/>
    <w:rsid w:val="00F524FB"/>
    <w:pPr>
      <w:spacing w:before="480" w:after="240"/>
      <w:jc w:val="center"/>
    </w:pPr>
  </w:style>
  <w:style w:type="paragraph" w:customStyle="1" w:styleId="Figurelegend">
    <w:name w:val="Figure legend"/>
    <w:basedOn w:val="Normal"/>
    <w:next w:val="TEXT"/>
    <w:rsid w:val="007E20A1"/>
    <w:pPr>
      <w:spacing w:before="120" w:after="480"/>
      <w:ind w:left="992" w:hanging="992"/>
    </w:pPr>
  </w:style>
  <w:style w:type="paragraph" w:customStyle="1" w:styleId="List1">
    <w:name w:val="List1"/>
    <w:basedOn w:val="Normal"/>
    <w:rsid w:val="00957A37"/>
    <w:pPr>
      <w:numPr>
        <w:numId w:val="5"/>
      </w:numPr>
    </w:pPr>
  </w:style>
  <w:style w:type="paragraph" w:customStyle="1" w:styleId="REFERENCES">
    <w:name w:val="REFERENCES"/>
    <w:basedOn w:val="Normal"/>
    <w:next w:val="TEXT"/>
    <w:rsid w:val="00CC6706"/>
    <w:pPr>
      <w:spacing w:after="60"/>
      <w:ind w:left="284" w:hanging="284"/>
    </w:pPr>
    <w:rPr>
      <w:lang w:val="da-DK"/>
    </w:rPr>
  </w:style>
  <w:style w:type="table" w:styleId="TableGrid">
    <w:name w:val="Table Grid"/>
    <w:basedOn w:val="TableNormal"/>
    <w:rsid w:val="00DD2061"/>
    <w:pPr>
      <w:widowControl w:val="0"/>
      <w:tabs>
        <w:tab w:val="left" w:pos="9498"/>
      </w:tabs>
      <w:spacing w:line="280" w:lineRule="atLeast"/>
      <w:ind w:right="-28"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5258"/>
    <w:rPr>
      <w:color w:val="0000FF"/>
      <w:u w:val="single"/>
    </w:rPr>
  </w:style>
  <w:style w:type="character" w:styleId="FollowedHyperlink">
    <w:name w:val="FollowedHyperlink"/>
    <w:uiPriority w:val="99"/>
    <w:semiHidden/>
    <w:unhideWhenUsed/>
    <w:rsid w:val="00B20A02"/>
    <w:rPr>
      <w:color w:val="800080"/>
      <w:u w:val="single"/>
    </w:rPr>
  </w:style>
  <w:style w:type="paragraph" w:styleId="BalloonText">
    <w:name w:val="Balloon Text"/>
    <w:basedOn w:val="Normal"/>
    <w:link w:val="BalloonTextChar"/>
    <w:uiPriority w:val="99"/>
    <w:semiHidden/>
    <w:unhideWhenUsed/>
    <w:rsid w:val="005B1EC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B1ECF"/>
    <w:rPr>
      <w:rFonts w:ascii="Segoe UI" w:hAnsi="Segoe UI" w:cs="Segoe UI"/>
      <w:sz w:val="18"/>
      <w:szCs w:val="18"/>
      <w:lang w:val="it-IT" w:eastAsia="it-IT"/>
    </w:rPr>
  </w:style>
  <w:style w:type="character" w:styleId="CommentReference">
    <w:name w:val="annotation reference"/>
    <w:uiPriority w:val="99"/>
    <w:semiHidden/>
    <w:unhideWhenUsed/>
    <w:rsid w:val="004D220B"/>
    <w:rPr>
      <w:sz w:val="16"/>
      <w:szCs w:val="16"/>
    </w:rPr>
  </w:style>
  <w:style w:type="paragraph" w:styleId="CommentText">
    <w:name w:val="annotation text"/>
    <w:basedOn w:val="Normal"/>
    <w:link w:val="CommentTextChar"/>
    <w:uiPriority w:val="99"/>
    <w:semiHidden/>
    <w:unhideWhenUsed/>
    <w:rsid w:val="004D220B"/>
    <w:rPr>
      <w:sz w:val="20"/>
    </w:rPr>
  </w:style>
  <w:style w:type="character" w:customStyle="1" w:styleId="CommentTextChar">
    <w:name w:val="Comment Text Char"/>
    <w:link w:val="CommentText"/>
    <w:uiPriority w:val="99"/>
    <w:semiHidden/>
    <w:rsid w:val="004D220B"/>
    <w:rPr>
      <w:rFonts w:ascii="Times" w:hAnsi="Times"/>
      <w:lang w:val="it-IT" w:eastAsia="it-IT"/>
    </w:rPr>
  </w:style>
  <w:style w:type="paragraph" w:styleId="CommentSubject">
    <w:name w:val="annotation subject"/>
    <w:basedOn w:val="CommentText"/>
    <w:next w:val="CommentText"/>
    <w:link w:val="CommentSubjectChar"/>
    <w:uiPriority w:val="99"/>
    <w:semiHidden/>
    <w:unhideWhenUsed/>
    <w:rsid w:val="004D220B"/>
    <w:rPr>
      <w:b/>
      <w:bCs/>
    </w:rPr>
  </w:style>
  <w:style w:type="character" w:customStyle="1" w:styleId="CommentSubjectChar">
    <w:name w:val="Comment Subject Char"/>
    <w:link w:val="CommentSubject"/>
    <w:uiPriority w:val="99"/>
    <w:semiHidden/>
    <w:rsid w:val="004D220B"/>
    <w:rPr>
      <w:rFonts w:ascii="Times" w:hAnsi="Times"/>
      <w:b/>
      <w:bCs/>
      <w:lang w:val="it-IT" w:eastAsia="it-IT"/>
    </w:rPr>
  </w:style>
  <w:style w:type="paragraph" w:styleId="FootnoteText">
    <w:name w:val="footnote text"/>
    <w:basedOn w:val="Normal"/>
    <w:link w:val="FootnoteTextChar"/>
    <w:uiPriority w:val="99"/>
    <w:unhideWhenUsed/>
    <w:rsid w:val="0084505D"/>
    <w:rPr>
      <w:sz w:val="20"/>
    </w:rPr>
  </w:style>
  <w:style w:type="character" w:customStyle="1" w:styleId="FootnoteTextChar">
    <w:name w:val="Footnote Text Char"/>
    <w:link w:val="FootnoteText"/>
    <w:uiPriority w:val="99"/>
    <w:rsid w:val="0084505D"/>
    <w:rPr>
      <w:rFonts w:ascii="Times" w:hAnsi="Times"/>
      <w:lang w:val="it-IT" w:eastAsia="it-IT"/>
    </w:rPr>
  </w:style>
  <w:style w:type="character" w:styleId="FootnoteReference">
    <w:name w:val="footnote reference"/>
    <w:uiPriority w:val="99"/>
    <w:semiHidden/>
    <w:unhideWhenUsed/>
    <w:rsid w:val="0084505D"/>
    <w:rPr>
      <w:vertAlign w:val="superscript"/>
    </w:rPr>
  </w:style>
  <w:style w:type="paragraph" w:styleId="EndnoteText">
    <w:name w:val="endnote text"/>
    <w:basedOn w:val="Normal"/>
    <w:link w:val="EndnoteTextChar"/>
    <w:uiPriority w:val="99"/>
    <w:semiHidden/>
    <w:unhideWhenUsed/>
    <w:rsid w:val="00383713"/>
    <w:rPr>
      <w:sz w:val="20"/>
    </w:rPr>
  </w:style>
  <w:style w:type="character" w:customStyle="1" w:styleId="EndnoteTextChar">
    <w:name w:val="Endnote Text Char"/>
    <w:link w:val="EndnoteText"/>
    <w:uiPriority w:val="99"/>
    <w:semiHidden/>
    <w:rsid w:val="00383713"/>
    <w:rPr>
      <w:rFonts w:ascii="Times" w:hAnsi="Times"/>
      <w:lang w:val="it-IT" w:eastAsia="it-IT"/>
    </w:rPr>
  </w:style>
  <w:style w:type="character" w:styleId="EndnoteReference">
    <w:name w:val="endnote reference"/>
    <w:uiPriority w:val="99"/>
    <w:semiHidden/>
    <w:unhideWhenUsed/>
    <w:rsid w:val="00383713"/>
    <w:rPr>
      <w:vertAlign w:val="superscript"/>
    </w:rPr>
  </w:style>
  <w:style w:type="character" w:styleId="PlaceholderText">
    <w:name w:val="Placeholder Text"/>
    <w:basedOn w:val="DefaultParagraphFont"/>
    <w:uiPriority w:val="99"/>
    <w:unhideWhenUsed/>
    <w:rsid w:val="009B0F08"/>
    <w:rPr>
      <w:color w:val="808080"/>
    </w:rPr>
  </w:style>
  <w:style w:type="character" w:styleId="LineNumber">
    <w:name w:val="line number"/>
    <w:basedOn w:val="DefaultParagraphFont"/>
    <w:uiPriority w:val="99"/>
    <w:semiHidden/>
    <w:unhideWhenUsed/>
    <w:rsid w:val="0027659D"/>
  </w:style>
  <w:style w:type="paragraph" w:styleId="Revision">
    <w:name w:val="Revision"/>
    <w:hidden/>
    <w:uiPriority w:val="71"/>
    <w:rsid w:val="00F54FD3"/>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RDINIA%202005\istruzioni%20autori\Paper_mod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35EA0-B377-4F96-BF0F-3616EA24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Paper_model.dot</Template>
  <TotalTime>0</TotalTime>
  <Pages>36</Pages>
  <Words>7807</Words>
  <Characters>43101</Characters>
  <Application>Microsoft Office Word</Application>
  <DocSecurity>0</DocSecurity>
  <Lines>783</Lines>
  <Paragraphs>330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MSW LEACHATE TREATMENT BY ELECTROCHEMICAL OXIDATION</vt:lpstr>
      <vt:lpstr>MSW LEACHATE TREATMENT BY ELECTROCHEMICAL OXIDATION</vt:lpstr>
    </vt:vector>
  </TitlesOfParts>
  <Company>er</Company>
  <LinksUpToDate>false</LinksUpToDate>
  <CharactersWithSpaces>50578</CharactersWithSpaces>
  <SharedDoc>false</SharedDoc>
  <HLinks>
    <vt:vector size="6" baseType="variant">
      <vt:variant>
        <vt:i4>524411</vt:i4>
      </vt:variant>
      <vt:variant>
        <vt:i4>0</vt:i4>
      </vt:variant>
      <vt:variant>
        <vt:i4>0</vt:i4>
      </vt:variant>
      <vt:variant>
        <vt:i4>5</vt:i4>
      </vt:variant>
      <vt:variant>
        <vt:lpwstr>mailto:i.d.williams@soton.ac.uk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MSW LEACHATE TREATMENT BY ELECTROCHEMICAL OXIDATION</dc:title>
  <dc:creator>iat</dc:creator>
  <cp:lastModifiedBy>Turner, David Anthony</cp:lastModifiedBy>
  <cp:revision>2</cp:revision>
  <cp:lastPrinted>2012-03-20T14:57:00Z</cp:lastPrinted>
  <dcterms:created xsi:type="dcterms:W3CDTF">2018-08-06T15:47:00Z</dcterms:created>
  <dcterms:modified xsi:type="dcterms:W3CDTF">2018-08-06T15:47:00Z</dcterms:modified>
</cp:coreProperties>
</file>