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32AD" w14:textId="2D772AF3" w:rsidR="006E2350" w:rsidRPr="000B5079" w:rsidRDefault="007160FC" w:rsidP="00D34244">
      <w:pPr>
        <w:pStyle w:val="Photo"/>
        <w:spacing w:line="480" w:lineRule="auto"/>
        <w:jc w:val="left"/>
        <w:rPr>
          <w:rFonts w:cs="Arial"/>
          <w:b/>
          <w:noProof/>
          <w:position w:val="7"/>
          <w:sz w:val="28"/>
          <w:szCs w:val="28"/>
          <w:lang w:eastAsia="en-GB"/>
        </w:rPr>
      </w:pPr>
      <w:r>
        <w:rPr>
          <w:rFonts w:cs="Arial"/>
          <w:b/>
          <w:noProof/>
          <w:position w:val="7"/>
          <w:sz w:val="28"/>
          <w:szCs w:val="28"/>
          <w:lang w:eastAsia="en-GB"/>
        </w:rPr>
        <w:t>Socio-economic status and outcomes for patients with</w:t>
      </w:r>
      <w:r w:rsidR="00313B90" w:rsidRPr="00942C6D">
        <w:rPr>
          <w:rFonts w:cs="Arial"/>
          <w:b/>
          <w:noProof/>
          <w:position w:val="7"/>
          <w:sz w:val="28"/>
          <w:szCs w:val="28"/>
          <w:lang w:eastAsia="en-GB"/>
        </w:rPr>
        <w:t xml:space="preserve"> age-related macular degeneration </w:t>
      </w:r>
    </w:p>
    <w:p w14:paraId="78B488EC" w14:textId="77777777" w:rsidR="006E2350" w:rsidRPr="000B5079" w:rsidRDefault="006E2350" w:rsidP="00D34244">
      <w:pPr>
        <w:spacing w:after="0" w:line="480" w:lineRule="auto"/>
        <w:jc w:val="center"/>
        <w:rPr>
          <w:rFonts w:cs="Arial"/>
          <w:noProof/>
          <w:lang w:eastAsia="en-GB"/>
        </w:rPr>
      </w:pPr>
    </w:p>
    <w:p w14:paraId="40F5B84D" w14:textId="61E547E1" w:rsidR="006E2350" w:rsidRPr="00D765D3" w:rsidRDefault="00BF0938" w:rsidP="00D34244">
      <w:pPr>
        <w:spacing w:after="0" w:line="480" w:lineRule="auto"/>
        <w:rPr>
          <w:rFonts w:cs="Arial"/>
          <w:noProof/>
          <w:sz w:val="24"/>
          <w:szCs w:val="24"/>
          <w:lang w:eastAsia="en-GB"/>
        </w:rPr>
      </w:pPr>
      <w:r w:rsidRPr="00D765D3">
        <w:rPr>
          <w:rFonts w:cs="Arial"/>
          <w:noProof/>
          <w:sz w:val="24"/>
          <w:szCs w:val="24"/>
          <w:lang w:eastAsia="en-GB"/>
        </w:rPr>
        <w:t>Pradnya More</w:t>
      </w:r>
      <w:r w:rsidR="00582C8C">
        <w:rPr>
          <w:rFonts w:cs="Arial"/>
          <w:noProof/>
          <w:color w:val="0070C0"/>
          <w:sz w:val="24"/>
          <w:szCs w:val="24"/>
          <w:vertAlign w:val="superscript"/>
          <w:lang w:eastAsia="en-GB"/>
        </w:rPr>
        <w:t>a</w:t>
      </w:r>
      <w:r w:rsidRPr="00D765D3">
        <w:rPr>
          <w:rFonts w:cs="Arial"/>
          <w:noProof/>
          <w:sz w:val="24"/>
          <w:szCs w:val="24"/>
          <w:lang w:eastAsia="en-GB"/>
        </w:rPr>
        <w:t xml:space="preserve">, </w:t>
      </w:r>
      <w:r w:rsidR="007B5D60" w:rsidRPr="00D765D3">
        <w:rPr>
          <w:rFonts w:cs="Arial"/>
          <w:noProof/>
          <w:sz w:val="24"/>
          <w:szCs w:val="24"/>
          <w:lang w:eastAsia="en-GB"/>
        </w:rPr>
        <w:t>Hussein Almuhtaseb</w:t>
      </w:r>
      <w:r w:rsidR="00582C8C">
        <w:rPr>
          <w:rFonts w:cs="Arial"/>
          <w:noProof/>
          <w:color w:val="0070C0"/>
          <w:sz w:val="24"/>
          <w:szCs w:val="24"/>
          <w:vertAlign w:val="superscript"/>
          <w:lang w:eastAsia="en-GB"/>
        </w:rPr>
        <w:t>b</w:t>
      </w:r>
      <w:r w:rsidR="007832F0" w:rsidRPr="007832F0">
        <w:rPr>
          <w:rFonts w:cs="Arial"/>
          <w:noProof/>
          <w:sz w:val="24"/>
          <w:szCs w:val="24"/>
          <w:lang w:eastAsia="en-GB"/>
        </w:rPr>
        <w:t xml:space="preserve"> </w:t>
      </w:r>
      <w:r w:rsidR="007832F0">
        <w:rPr>
          <w:rFonts w:cs="Arial"/>
          <w:noProof/>
          <w:sz w:val="24"/>
          <w:szCs w:val="24"/>
          <w:lang w:eastAsia="en-GB"/>
        </w:rPr>
        <w:t xml:space="preserve">, </w:t>
      </w:r>
      <w:r w:rsidR="007832F0" w:rsidRPr="00D765D3">
        <w:rPr>
          <w:rFonts w:cs="Arial"/>
          <w:noProof/>
          <w:sz w:val="24"/>
          <w:szCs w:val="24"/>
          <w:lang w:eastAsia="en-GB"/>
        </w:rPr>
        <w:t>Dian</w:t>
      </w:r>
      <w:r w:rsidR="00E537FE">
        <w:rPr>
          <w:rFonts w:cs="Arial"/>
          <w:noProof/>
          <w:sz w:val="24"/>
          <w:szCs w:val="24"/>
          <w:lang w:eastAsia="en-GB"/>
        </w:rPr>
        <w:t>n</w:t>
      </w:r>
      <w:r w:rsidR="007832F0" w:rsidRPr="00D765D3">
        <w:rPr>
          <w:rFonts w:cs="Arial"/>
          <w:noProof/>
          <w:sz w:val="24"/>
          <w:szCs w:val="24"/>
          <w:lang w:eastAsia="en-GB"/>
        </w:rPr>
        <w:t>a Smith</w:t>
      </w:r>
      <w:r w:rsidR="007832F0" w:rsidRPr="00D765D3">
        <w:rPr>
          <w:rFonts w:cs="Arial"/>
          <w:noProof/>
          <w:color w:val="0070C0"/>
          <w:sz w:val="24"/>
          <w:szCs w:val="24"/>
          <w:vertAlign w:val="superscript"/>
          <w:lang w:eastAsia="en-GB"/>
        </w:rPr>
        <w:t>c</w:t>
      </w:r>
      <w:r w:rsidR="007832F0" w:rsidRPr="00D765D3">
        <w:rPr>
          <w:rFonts w:cs="Arial"/>
          <w:noProof/>
          <w:sz w:val="24"/>
          <w:szCs w:val="24"/>
          <w:lang w:eastAsia="en-GB"/>
        </w:rPr>
        <w:t xml:space="preserve"> </w:t>
      </w:r>
      <w:r w:rsidR="007832F0">
        <w:rPr>
          <w:rFonts w:cs="Arial"/>
          <w:noProof/>
          <w:sz w:val="24"/>
          <w:szCs w:val="24"/>
          <w:lang w:eastAsia="en-GB"/>
        </w:rPr>
        <w:t xml:space="preserve">, </w:t>
      </w:r>
      <w:r w:rsidR="007832F0" w:rsidRPr="00D765D3">
        <w:rPr>
          <w:rFonts w:cs="Arial"/>
          <w:noProof/>
          <w:sz w:val="24"/>
          <w:szCs w:val="24"/>
          <w:lang w:eastAsia="en-GB"/>
        </w:rPr>
        <w:t>Simon Fraser</w:t>
      </w:r>
      <w:r w:rsidR="00BB3D9E">
        <w:rPr>
          <w:rFonts w:cs="Arial"/>
          <w:noProof/>
          <w:sz w:val="24"/>
          <w:szCs w:val="24"/>
          <w:lang w:eastAsia="en-GB"/>
        </w:rPr>
        <w:t>*</w:t>
      </w:r>
      <w:r w:rsidR="00BF0B27">
        <w:rPr>
          <w:rFonts w:cs="Arial"/>
          <w:noProof/>
          <w:color w:val="0070C0"/>
          <w:sz w:val="24"/>
          <w:szCs w:val="24"/>
          <w:vertAlign w:val="superscript"/>
          <w:lang w:eastAsia="en-GB"/>
        </w:rPr>
        <w:t>d</w:t>
      </w:r>
      <w:r w:rsidR="007832F0" w:rsidRPr="00D765D3">
        <w:rPr>
          <w:rFonts w:cs="Arial"/>
          <w:noProof/>
          <w:sz w:val="24"/>
          <w:szCs w:val="24"/>
          <w:lang w:eastAsia="en-GB"/>
        </w:rPr>
        <w:t xml:space="preserve">, Andrew </w:t>
      </w:r>
      <w:r w:rsidR="00000868">
        <w:rPr>
          <w:rFonts w:cs="Arial"/>
          <w:noProof/>
          <w:sz w:val="24"/>
          <w:szCs w:val="24"/>
          <w:lang w:eastAsia="en-GB"/>
        </w:rPr>
        <w:t xml:space="preserve">J </w:t>
      </w:r>
      <w:r w:rsidR="007832F0" w:rsidRPr="00D765D3">
        <w:rPr>
          <w:rFonts w:cs="Arial"/>
          <w:noProof/>
          <w:sz w:val="24"/>
          <w:szCs w:val="24"/>
          <w:lang w:eastAsia="en-GB"/>
        </w:rPr>
        <w:t>Lotery</w:t>
      </w:r>
      <w:r w:rsidR="00BF0B27">
        <w:rPr>
          <w:rFonts w:cs="Arial"/>
          <w:noProof/>
          <w:color w:val="0070C0"/>
          <w:sz w:val="24"/>
          <w:szCs w:val="24"/>
          <w:vertAlign w:val="superscript"/>
          <w:lang w:eastAsia="en-GB"/>
        </w:rPr>
        <w:t>e</w:t>
      </w:r>
    </w:p>
    <w:p w14:paraId="47E362F5" w14:textId="21D453EC" w:rsidR="00A54933" w:rsidRPr="00D765D3" w:rsidRDefault="00A54933" w:rsidP="00D34244">
      <w:pPr>
        <w:spacing w:after="0" w:line="480" w:lineRule="auto"/>
        <w:rPr>
          <w:rFonts w:cs="Arial"/>
          <w:b/>
          <w:noProof/>
          <w:sz w:val="24"/>
          <w:szCs w:val="24"/>
          <w:lang w:eastAsia="en-GB"/>
        </w:rPr>
      </w:pPr>
    </w:p>
    <w:p w14:paraId="69A44864" w14:textId="03E5FEB2" w:rsidR="00A54933" w:rsidRPr="00D765D3" w:rsidRDefault="007B5D60" w:rsidP="00D34244">
      <w:pPr>
        <w:spacing w:after="0" w:line="480" w:lineRule="auto"/>
        <w:rPr>
          <w:rFonts w:cs="Arial"/>
          <w:noProof/>
          <w:sz w:val="24"/>
          <w:szCs w:val="24"/>
          <w:lang w:eastAsia="en-GB"/>
        </w:rPr>
      </w:pPr>
      <w:r w:rsidRPr="00D765D3">
        <w:rPr>
          <w:rFonts w:cs="Arial"/>
          <w:noProof/>
          <w:color w:val="0070C0"/>
          <w:sz w:val="24"/>
          <w:szCs w:val="24"/>
          <w:vertAlign w:val="superscript"/>
          <w:lang w:eastAsia="en-GB"/>
        </w:rPr>
        <w:t>a</w:t>
      </w:r>
      <w:r w:rsidRPr="00D765D3">
        <w:rPr>
          <w:rFonts w:cs="Arial"/>
          <w:noProof/>
          <w:sz w:val="24"/>
          <w:szCs w:val="24"/>
          <w:lang w:eastAsia="en-GB"/>
        </w:rPr>
        <w:t xml:space="preserve"> </w:t>
      </w:r>
      <w:r w:rsidR="00BF0B27">
        <w:rPr>
          <w:rFonts w:cs="Arial"/>
          <w:noProof/>
          <w:sz w:val="24"/>
          <w:szCs w:val="24"/>
          <w:lang w:eastAsia="en-GB"/>
        </w:rPr>
        <w:t>MS (Ayurveda), MSc Public Health</w:t>
      </w:r>
      <w:r w:rsidR="00582C8C" w:rsidRPr="00D765D3">
        <w:rPr>
          <w:rFonts w:cs="Arial"/>
          <w:noProof/>
          <w:sz w:val="24"/>
          <w:szCs w:val="24"/>
          <w:lang w:eastAsia="en-GB"/>
        </w:rPr>
        <w:t xml:space="preserve">, </w:t>
      </w:r>
      <w:r w:rsidR="00D35930">
        <w:rPr>
          <w:rFonts w:cs="Arial"/>
          <w:noProof/>
          <w:sz w:val="24"/>
          <w:szCs w:val="24"/>
          <w:lang w:eastAsia="en-GB"/>
        </w:rPr>
        <w:t xml:space="preserve">Faculty of Medicine, </w:t>
      </w:r>
      <w:r w:rsidR="00582C8C" w:rsidRPr="00D765D3">
        <w:rPr>
          <w:rFonts w:cs="Arial"/>
          <w:noProof/>
          <w:sz w:val="24"/>
          <w:szCs w:val="24"/>
          <w:lang w:eastAsia="en-GB"/>
        </w:rPr>
        <w:t>University of Southampton, Southampton</w:t>
      </w:r>
      <w:r w:rsidR="00D35930">
        <w:rPr>
          <w:rFonts w:cs="Arial"/>
          <w:noProof/>
          <w:sz w:val="24"/>
          <w:szCs w:val="24"/>
          <w:lang w:eastAsia="en-GB"/>
        </w:rPr>
        <w:t xml:space="preserve"> General Hospital</w:t>
      </w:r>
      <w:r w:rsidR="00582C8C" w:rsidRPr="00D765D3">
        <w:rPr>
          <w:rFonts w:cs="Arial"/>
          <w:noProof/>
          <w:sz w:val="24"/>
          <w:szCs w:val="24"/>
          <w:lang w:eastAsia="en-GB"/>
        </w:rPr>
        <w:t xml:space="preserve">, UK </w:t>
      </w:r>
    </w:p>
    <w:p w14:paraId="69F9899D" w14:textId="7482098C" w:rsidR="007B5D60" w:rsidRPr="00D765D3" w:rsidRDefault="007B5D60" w:rsidP="00D34244">
      <w:pPr>
        <w:spacing w:after="0" w:line="480" w:lineRule="auto"/>
        <w:rPr>
          <w:rFonts w:cs="Arial"/>
          <w:noProof/>
          <w:sz w:val="24"/>
          <w:szCs w:val="24"/>
          <w:lang w:eastAsia="en-GB"/>
        </w:rPr>
      </w:pPr>
      <w:r w:rsidRPr="00D765D3">
        <w:rPr>
          <w:rFonts w:cs="Arial"/>
          <w:noProof/>
          <w:color w:val="0070C0"/>
          <w:sz w:val="24"/>
          <w:szCs w:val="24"/>
          <w:vertAlign w:val="superscript"/>
          <w:lang w:eastAsia="en-GB"/>
        </w:rPr>
        <w:t>b</w:t>
      </w:r>
      <w:r w:rsidRPr="00D765D3">
        <w:rPr>
          <w:rFonts w:cs="Arial"/>
          <w:noProof/>
          <w:sz w:val="24"/>
          <w:szCs w:val="24"/>
          <w:lang w:eastAsia="en-GB"/>
        </w:rPr>
        <w:t xml:space="preserve"> </w:t>
      </w:r>
      <w:r w:rsidR="00BF0B27" w:rsidRPr="00942C6D">
        <w:rPr>
          <w:rFonts w:cs="Arial"/>
          <w:noProof/>
          <w:sz w:val="24"/>
          <w:szCs w:val="24"/>
          <w:lang w:eastAsia="en-GB"/>
        </w:rPr>
        <w:t>MD, FICO, FEBO Medical Retina/ Vitreoretinal Fellow</w:t>
      </w:r>
      <w:r w:rsidR="00C95733">
        <w:rPr>
          <w:rFonts w:cs="Arial"/>
          <w:noProof/>
          <w:sz w:val="24"/>
          <w:szCs w:val="24"/>
          <w:lang w:eastAsia="en-GB"/>
        </w:rPr>
        <w:t>,</w:t>
      </w:r>
      <w:r w:rsidR="00BF0B27" w:rsidRPr="00942C6D">
        <w:rPr>
          <w:rFonts w:cs="Arial"/>
          <w:noProof/>
          <w:sz w:val="24"/>
          <w:szCs w:val="24"/>
          <w:lang w:eastAsia="en-GB"/>
        </w:rPr>
        <w:t xml:space="preserve"> University Hospital Southampton NHS Foundation Trust</w:t>
      </w:r>
      <w:r w:rsidR="00BF0B27" w:rsidDel="00BF0B27">
        <w:rPr>
          <w:rFonts w:cs="Arial"/>
          <w:noProof/>
          <w:sz w:val="24"/>
          <w:szCs w:val="24"/>
          <w:lang w:eastAsia="en-GB"/>
        </w:rPr>
        <w:t xml:space="preserve"> </w:t>
      </w:r>
    </w:p>
    <w:p w14:paraId="025A6A36" w14:textId="66675E5A" w:rsidR="007B5D60" w:rsidRDefault="007B5D60" w:rsidP="00D34244">
      <w:pPr>
        <w:spacing w:after="0" w:line="480" w:lineRule="auto"/>
        <w:rPr>
          <w:rFonts w:cs="Arial"/>
          <w:noProof/>
          <w:sz w:val="24"/>
          <w:szCs w:val="24"/>
          <w:lang w:eastAsia="en-GB"/>
        </w:rPr>
      </w:pPr>
      <w:r w:rsidRPr="00D765D3">
        <w:rPr>
          <w:rFonts w:cs="Arial"/>
          <w:noProof/>
          <w:color w:val="0070C0"/>
          <w:sz w:val="24"/>
          <w:szCs w:val="24"/>
          <w:vertAlign w:val="superscript"/>
          <w:lang w:eastAsia="en-GB"/>
        </w:rPr>
        <w:t>c</w:t>
      </w:r>
      <w:r w:rsidRPr="00D765D3">
        <w:rPr>
          <w:rFonts w:cs="Arial"/>
          <w:noProof/>
          <w:sz w:val="24"/>
          <w:szCs w:val="24"/>
          <w:lang w:eastAsia="en-GB"/>
        </w:rPr>
        <w:t xml:space="preserve"> Department of Geography, University of Southampton, Southampton, UK</w:t>
      </w:r>
    </w:p>
    <w:p w14:paraId="269B8334" w14:textId="602FFFE4" w:rsidR="00BF0B27" w:rsidRDefault="00BF0B27" w:rsidP="00D34244">
      <w:pPr>
        <w:spacing w:after="0" w:line="480" w:lineRule="auto"/>
        <w:rPr>
          <w:rFonts w:cs="Arial"/>
          <w:noProof/>
          <w:sz w:val="24"/>
          <w:szCs w:val="24"/>
          <w:lang w:eastAsia="en-GB"/>
        </w:rPr>
      </w:pPr>
      <w:r>
        <w:rPr>
          <w:rFonts w:cs="Arial"/>
          <w:noProof/>
          <w:color w:val="0070C0"/>
          <w:sz w:val="24"/>
          <w:szCs w:val="24"/>
          <w:vertAlign w:val="superscript"/>
          <w:lang w:eastAsia="en-GB"/>
        </w:rPr>
        <w:t>d</w:t>
      </w:r>
      <w:r w:rsidRPr="00D765D3">
        <w:rPr>
          <w:rFonts w:cs="Arial"/>
          <w:noProof/>
          <w:sz w:val="24"/>
          <w:szCs w:val="24"/>
          <w:lang w:eastAsia="en-GB"/>
        </w:rPr>
        <w:t xml:space="preserve"> </w:t>
      </w:r>
      <w:r>
        <w:rPr>
          <w:rFonts w:cs="Arial"/>
          <w:noProof/>
          <w:sz w:val="24"/>
          <w:szCs w:val="24"/>
          <w:lang w:eastAsia="en-GB"/>
        </w:rPr>
        <w:t>BM MSC DM, Academic Unit</w:t>
      </w:r>
      <w:r w:rsidRPr="00D765D3">
        <w:rPr>
          <w:rFonts w:cs="Arial"/>
          <w:noProof/>
          <w:sz w:val="24"/>
          <w:szCs w:val="24"/>
          <w:lang w:eastAsia="en-GB"/>
        </w:rPr>
        <w:t xml:space="preserve"> of Primary Care and Population Sciences, </w:t>
      </w:r>
      <w:r>
        <w:rPr>
          <w:rFonts w:cs="Arial"/>
          <w:noProof/>
          <w:sz w:val="24"/>
          <w:szCs w:val="24"/>
          <w:lang w:eastAsia="en-GB"/>
        </w:rPr>
        <w:t xml:space="preserve">Faculty of Medicine, </w:t>
      </w:r>
      <w:r w:rsidRPr="00D765D3">
        <w:rPr>
          <w:rFonts w:cs="Arial"/>
          <w:noProof/>
          <w:sz w:val="24"/>
          <w:szCs w:val="24"/>
          <w:lang w:eastAsia="en-GB"/>
        </w:rPr>
        <w:t>University of Southampton, Southampton</w:t>
      </w:r>
      <w:r>
        <w:rPr>
          <w:rFonts w:cs="Arial"/>
          <w:noProof/>
          <w:sz w:val="24"/>
          <w:szCs w:val="24"/>
          <w:lang w:eastAsia="en-GB"/>
        </w:rPr>
        <w:t xml:space="preserve"> General Hospital</w:t>
      </w:r>
      <w:r w:rsidRPr="00D765D3">
        <w:rPr>
          <w:rFonts w:cs="Arial"/>
          <w:noProof/>
          <w:sz w:val="24"/>
          <w:szCs w:val="24"/>
          <w:lang w:eastAsia="en-GB"/>
        </w:rPr>
        <w:t xml:space="preserve">, UK </w:t>
      </w:r>
    </w:p>
    <w:p w14:paraId="73105184" w14:textId="18F828F1" w:rsidR="00BB3D9E" w:rsidRPr="00B7042E" w:rsidRDefault="00BF0B27" w:rsidP="00D34244">
      <w:pPr>
        <w:spacing w:after="0" w:line="480" w:lineRule="auto"/>
        <w:rPr>
          <w:rFonts w:cs="Arial"/>
          <w:b/>
          <w:noProof/>
          <w:sz w:val="24"/>
          <w:szCs w:val="24"/>
          <w:lang w:eastAsia="en-GB"/>
        </w:rPr>
      </w:pPr>
      <w:r>
        <w:rPr>
          <w:rFonts w:cs="Arial"/>
          <w:noProof/>
          <w:color w:val="0070C0"/>
          <w:sz w:val="24"/>
          <w:szCs w:val="24"/>
          <w:vertAlign w:val="superscript"/>
          <w:lang w:eastAsia="en-GB"/>
        </w:rPr>
        <w:t>e</w:t>
      </w:r>
      <w:r w:rsidR="00BB3D9E">
        <w:rPr>
          <w:rFonts w:cs="Arial"/>
          <w:noProof/>
          <w:color w:val="0070C0"/>
          <w:sz w:val="24"/>
          <w:szCs w:val="24"/>
          <w:vertAlign w:val="superscript"/>
          <w:lang w:eastAsia="en-GB"/>
        </w:rPr>
        <w:t xml:space="preserve"> </w:t>
      </w:r>
      <w:r w:rsidR="00056C06">
        <w:rPr>
          <w:rFonts w:cs="Arial"/>
          <w:noProof/>
          <w:sz w:val="24"/>
          <w:szCs w:val="24"/>
          <w:lang w:eastAsia="en-GB"/>
        </w:rPr>
        <w:t>MD, FRCOphth, F</w:t>
      </w:r>
      <w:r w:rsidR="00BB3D9E">
        <w:rPr>
          <w:rFonts w:cs="Arial"/>
          <w:noProof/>
          <w:sz w:val="24"/>
          <w:szCs w:val="24"/>
          <w:lang w:eastAsia="en-GB"/>
        </w:rPr>
        <w:t xml:space="preserve">aculty of Medicine, </w:t>
      </w:r>
      <w:r w:rsidR="00BB3D9E" w:rsidRPr="00BB3D9E">
        <w:rPr>
          <w:rFonts w:cs="Arial"/>
          <w:noProof/>
          <w:sz w:val="24"/>
          <w:szCs w:val="24"/>
          <w:lang w:eastAsia="en-GB"/>
        </w:rPr>
        <w:t>University Of Southampton</w:t>
      </w:r>
      <w:r w:rsidR="00BB3D9E">
        <w:rPr>
          <w:rFonts w:cs="Arial"/>
          <w:noProof/>
          <w:sz w:val="24"/>
          <w:szCs w:val="24"/>
          <w:lang w:eastAsia="en-GB"/>
        </w:rPr>
        <w:t>,</w:t>
      </w:r>
      <w:r w:rsidR="00BB3D9E" w:rsidRPr="00BB3D9E">
        <w:rPr>
          <w:rFonts w:cs="Arial"/>
          <w:noProof/>
          <w:sz w:val="24"/>
          <w:szCs w:val="24"/>
          <w:lang w:eastAsia="en-GB"/>
        </w:rPr>
        <w:t xml:space="preserve"> </w:t>
      </w:r>
      <w:r w:rsidR="00BB3D9E" w:rsidRPr="00D765D3">
        <w:rPr>
          <w:rFonts w:cs="Arial"/>
          <w:noProof/>
          <w:sz w:val="24"/>
          <w:szCs w:val="24"/>
          <w:lang w:eastAsia="en-GB"/>
        </w:rPr>
        <w:t>Southampton, UK</w:t>
      </w:r>
    </w:p>
    <w:p w14:paraId="01864CCE" w14:textId="77777777" w:rsidR="007B5D60" w:rsidRDefault="007B5D60" w:rsidP="00D34244">
      <w:pPr>
        <w:spacing w:after="0" w:line="480" w:lineRule="auto"/>
        <w:rPr>
          <w:rFonts w:cs="Arial"/>
          <w:noProof/>
          <w:lang w:eastAsia="en-GB"/>
        </w:rPr>
      </w:pPr>
    </w:p>
    <w:p w14:paraId="7446F4C4" w14:textId="0347738E" w:rsidR="00727CB0" w:rsidRDefault="00BB3D9E" w:rsidP="00D34244">
      <w:pPr>
        <w:spacing w:after="0" w:line="480" w:lineRule="auto"/>
        <w:rPr>
          <w:rFonts w:cs="Arial"/>
          <w:b/>
          <w:noProof/>
          <w:lang w:eastAsia="en-GB"/>
        </w:rPr>
      </w:pPr>
      <w:r>
        <w:rPr>
          <w:rFonts w:cs="Arial"/>
          <w:b/>
          <w:noProof/>
          <w:lang w:eastAsia="en-GB"/>
        </w:rPr>
        <w:t>Correspondence</w:t>
      </w:r>
      <w:r w:rsidR="00727CB0">
        <w:rPr>
          <w:rFonts w:cs="Arial"/>
          <w:b/>
          <w:noProof/>
          <w:lang w:eastAsia="en-GB"/>
        </w:rPr>
        <w:t xml:space="preserve"> to </w:t>
      </w:r>
    </w:p>
    <w:p w14:paraId="327E7D81" w14:textId="64F2695B" w:rsidR="00000868" w:rsidRDefault="00292D18" w:rsidP="00D34244">
      <w:pPr>
        <w:spacing w:after="0" w:line="480" w:lineRule="auto"/>
        <w:rPr>
          <w:rFonts w:cs="Arial"/>
          <w:b/>
          <w:noProof/>
          <w:lang w:eastAsia="en-GB"/>
        </w:rPr>
      </w:pPr>
      <w:r>
        <w:rPr>
          <w:rFonts w:cs="Arial"/>
          <w:b/>
          <w:noProof/>
          <w:lang w:eastAsia="en-GB"/>
        </w:rPr>
        <w:t>*</w:t>
      </w:r>
      <w:r w:rsidR="00727CB0">
        <w:rPr>
          <w:rFonts w:cs="Arial"/>
          <w:b/>
          <w:noProof/>
          <w:lang w:eastAsia="en-GB"/>
        </w:rPr>
        <w:t>Andrew</w:t>
      </w:r>
      <w:r w:rsidR="00000868" w:rsidRPr="00000868">
        <w:rPr>
          <w:rFonts w:cs="Arial"/>
          <w:b/>
          <w:noProof/>
          <w:lang w:eastAsia="en-GB"/>
        </w:rPr>
        <w:t xml:space="preserve"> </w:t>
      </w:r>
      <w:r w:rsidR="00000868">
        <w:rPr>
          <w:rFonts w:cs="Arial"/>
          <w:b/>
          <w:noProof/>
          <w:lang w:eastAsia="en-GB"/>
        </w:rPr>
        <w:t>J Lotery</w:t>
      </w:r>
    </w:p>
    <w:p w14:paraId="788F7135" w14:textId="4F9ED038" w:rsidR="007160FC" w:rsidRPr="00942C6D" w:rsidRDefault="007160FC" w:rsidP="00D34244">
      <w:pPr>
        <w:spacing w:after="0" w:line="480" w:lineRule="auto"/>
        <w:rPr>
          <w:rFonts w:cs="Arial"/>
          <w:noProof/>
          <w:sz w:val="24"/>
          <w:szCs w:val="24"/>
          <w:lang w:eastAsia="en-GB"/>
        </w:rPr>
      </w:pPr>
      <w:r w:rsidRPr="00942C6D">
        <w:rPr>
          <w:rFonts w:cs="Arial"/>
          <w:noProof/>
          <w:sz w:val="24"/>
          <w:szCs w:val="24"/>
          <w:lang w:eastAsia="en-GB"/>
        </w:rPr>
        <w:t>Clinical and Experimental Sciences,Faculty of Medicine,University of Southampton,</w:t>
      </w:r>
    </w:p>
    <w:p w14:paraId="6C7E1563" w14:textId="1AA6D3E1" w:rsidR="007160FC" w:rsidRPr="00942C6D" w:rsidRDefault="007160FC" w:rsidP="00D34244">
      <w:pPr>
        <w:spacing w:after="0" w:line="480" w:lineRule="auto"/>
        <w:rPr>
          <w:rFonts w:cs="Arial"/>
          <w:noProof/>
          <w:sz w:val="24"/>
          <w:szCs w:val="24"/>
          <w:lang w:eastAsia="en-GB"/>
        </w:rPr>
      </w:pPr>
      <w:r w:rsidRPr="00942C6D">
        <w:rPr>
          <w:rFonts w:cs="Arial"/>
          <w:noProof/>
          <w:sz w:val="24"/>
          <w:szCs w:val="24"/>
          <w:lang w:eastAsia="en-GB"/>
        </w:rPr>
        <w:t>South Lab and Path Block,Mailpoint 806, Level D,</w:t>
      </w:r>
    </w:p>
    <w:p w14:paraId="7C93DA27" w14:textId="65FD9277" w:rsidR="007160FC" w:rsidRDefault="007160FC" w:rsidP="00D34244">
      <w:pPr>
        <w:spacing w:after="0" w:line="480" w:lineRule="auto"/>
        <w:rPr>
          <w:noProof/>
          <w:color w:val="00006A"/>
          <w:sz w:val="20"/>
          <w:szCs w:val="20"/>
          <w:lang w:eastAsia="en-GB"/>
        </w:rPr>
      </w:pPr>
      <w:r w:rsidRPr="00942C6D">
        <w:rPr>
          <w:rFonts w:cs="Arial"/>
          <w:noProof/>
          <w:sz w:val="24"/>
          <w:szCs w:val="24"/>
          <w:lang w:eastAsia="en-GB"/>
        </w:rPr>
        <w:t>University Hospital Southampton,Southampton SO16 6YD, UK</w:t>
      </w:r>
      <w:r>
        <w:rPr>
          <w:noProof/>
          <w:color w:val="00006A"/>
          <w:sz w:val="20"/>
          <w:szCs w:val="20"/>
          <w:lang w:eastAsia="en-GB"/>
        </w:rPr>
        <w:t> </w:t>
      </w:r>
    </w:p>
    <w:p w14:paraId="06A52018" w14:textId="0455E8FD" w:rsidR="00000868" w:rsidRDefault="00000868" w:rsidP="00D34244">
      <w:pPr>
        <w:spacing w:after="0" w:line="480" w:lineRule="auto"/>
        <w:rPr>
          <w:rFonts w:cs="Arial"/>
          <w:noProof/>
          <w:sz w:val="24"/>
          <w:szCs w:val="24"/>
          <w:lang w:eastAsia="en-GB"/>
        </w:rPr>
      </w:pPr>
      <w:r>
        <w:rPr>
          <w:rFonts w:cs="Arial"/>
          <w:noProof/>
          <w:sz w:val="24"/>
          <w:szCs w:val="24"/>
          <w:lang w:eastAsia="en-GB"/>
        </w:rPr>
        <w:t>TEL: +44 (0)</w:t>
      </w:r>
      <w:r w:rsidRPr="00D0223B">
        <w:rPr>
          <w:rFonts w:cs="Arial"/>
          <w:noProof/>
          <w:sz w:val="24"/>
          <w:szCs w:val="24"/>
          <w:lang w:eastAsia="en-GB"/>
        </w:rPr>
        <w:t xml:space="preserve"> 23 8120 </w:t>
      </w:r>
      <w:r w:rsidR="007160FC">
        <w:rPr>
          <w:rFonts w:cs="Arial"/>
          <w:noProof/>
          <w:sz w:val="24"/>
          <w:szCs w:val="24"/>
          <w:lang w:eastAsia="en-GB"/>
        </w:rPr>
        <w:t>5049</w:t>
      </w:r>
    </w:p>
    <w:p w14:paraId="53F27ECE" w14:textId="7B1F1C8C" w:rsidR="00727CB0" w:rsidRDefault="00000868" w:rsidP="00D34244">
      <w:pPr>
        <w:spacing w:after="0" w:line="480" w:lineRule="auto"/>
        <w:rPr>
          <w:rFonts w:cs="Arial"/>
          <w:noProof/>
          <w:sz w:val="24"/>
          <w:szCs w:val="24"/>
          <w:lang w:eastAsia="en-GB"/>
        </w:rPr>
      </w:pPr>
      <w:r>
        <w:rPr>
          <w:rFonts w:cs="Arial"/>
          <w:noProof/>
          <w:sz w:val="24"/>
          <w:szCs w:val="24"/>
          <w:lang w:eastAsia="en-GB"/>
        </w:rPr>
        <w:t>EMAIL: A.J.LOTERY@SOTON.AC.UK</w:t>
      </w:r>
      <w:r w:rsidRPr="00E526B6" w:rsidDel="00000868">
        <w:rPr>
          <w:rFonts w:cs="Arial"/>
          <w:noProof/>
          <w:sz w:val="24"/>
          <w:szCs w:val="24"/>
          <w:lang w:eastAsia="en-GB"/>
        </w:rPr>
        <w:t xml:space="preserve"> </w:t>
      </w:r>
    </w:p>
    <w:p w14:paraId="73972440" w14:textId="00040B3D" w:rsidR="00D81AFD" w:rsidRDefault="00D81AFD" w:rsidP="00D34244">
      <w:pPr>
        <w:spacing w:after="0" w:line="480" w:lineRule="auto"/>
        <w:rPr>
          <w:rFonts w:cs="Arial"/>
          <w:noProof/>
          <w:sz w:val="24"/>
          <w:szCs w:val="24"/>
          <w:lang w:eastAsia="en-GB"/>
        </w:rPr>
      </w:pPr>
    </w:p>
    <w:p w14:paraId="0415FE7B" w14:textId="56C0A1BE" w:rsidR="00D81AFD" w:rsidRDefault="00D81AFD" w:rsidP="00D34244">
      <w:pPr>
        <w:spacing w:after="0" w:line="480" w:lineRule="auto"/>
        <w:rPr>
          <w:rFonts w:cs="Arial"/>
          <w:b/>
          <w:noProof/>
          <w:lang w:eastAsia="en-GB"/>
        </w:rPr>
      </w:pPr>
      <w:r>
        <w:rPr>
          <w:rFonts w:cs="Arial"/>
          <w:b/>
          <w:noProof/>
          <w:lang w:eastAsia="en-GB"/>
        </w:rPr>
        <w:t>Conflict of Interest</w:t>
      </w:r>
    </w:p>
    <w:p w14:paraId="362FCBEC" w14:textId="6BA24CFC" w:rsidR="00D81AFD" w:rsidRPr="006B306D" w:rsidRDefault="00EE0051" w:rsidP="00D34244">
      <w:pPr>
        <w:spacing w:after="0" w:line="480" w:lineRule="auto"/>
        <w:rPr>
          <w:rFonts w:cs="Arial"/>
          <w:noProof/>
          <w:spacing w:val="5"/>
          <w:sz w:val="24"/>
          <w:szCs w:val="24"/>
          <w:lang w:eastAsia="en-GB"/>
        </w:rPr>
      </w:pPr>
      <w:bookmarkStart w:id="0" w:name="_GoBack"/>
      <w:bookmarkEnd w:id="0"/>
      <w:r w:rsidRPr="006B306D">
        <w:rPr>
          <w:rFonts w:cs="Arial"/>
          <w:noProof/>
          <w:spacing w:val="5"/>
          <w:sz w:val="24"/>
          <w:szCs w:val="24"/>
          <w:lang w:eastAsia="en-GB"/>
        </w:rPr>
        <w:lastRenderedPageBreak/>
        <w:t>The authors have no disclosures.</w:t>
      </w:r>
    </w:p>
    <w:p w14:paraId="0AE7D296" w14:textId="4BE8C9EE" w:rsidR="004D2F06" w:rsidRPr="00D765D3" w:rsidRDefault="00E31ABA" w:rsidP="00D34244">
      <w:pPr>
        <w:spacing w:line="480" w:lineRule="auto"/>
        <w:rPr>
          <w:b/>
          <w:noProof/>
          <w:sz w:val="24"/>
          <w:szCs w:val="24"/>
          <w:lang w:eastAsia="en-GB"/>
        </w:rPr>
      </w:pPr>
      <w:r>
        <w:rPr>
          <w:b/>
          <w:noProof/>
          <w:sz w:val="24"/>
          <w:szCs w:val="24"/>
          <w:lang w:eastAsia="en-GB"/>
        </w:rPr>
        <w:t>A</w:t>
      </w:r>
      <w:r w:rsidR="0047310F" w:rsidRPr="00D765D3">
        <w:rPr>
          <w:b/>
          <w:noProof/>
          <w:sz w:val="24"/>
          <w:szCs w:val="24"/>
          <w:lang w:eastAsia="en-GB"/>
        </w:rPr>
        <w:t>bstract</w:t>
      </w:r>
    </w:p>
    <w:p w14:paraId="72D6B030" w14:textId="77777777" w:rsidR="00D96156" w:rsidRDefault="00D96156" w:rsidP="00D34244">
      <w:pPr>
        <w:spacing w:after="0" w:line="480" w:lineRule="auto"/>
        <w:ind w:right="-1"/>
        <w:rPr>
          <w:rFonts w:cs="Arial"/>
          <w:noProof/>
          <w:spacing w:val="5"/>
          <w:sz w:val="24"/>
          <w:szCs w:val="24"/>
          <w:lang w:eastAsia="en-GB"/>
        </w:rPr>
      </w:pPr>
      <w:r w:rsidRPr="00D765D3">
        <w:rPr>
          <w:rFonts w:cs="Arial"/>
          <w:noProof/>
          <w:spacing w:val="5"/>
          <w:sz w:val="24"/>
          <w:szCs w:val="24"/>
          <w:u w:val="single"/>
          <w:lang w:eastAsia="en-GB"/>
        </w:rPr>
        <w:t>Objectives:</w:t>
      </w:r>
      <w:r w:rsidRPr="00D765D3">
        <w:rPr>
          <w:rFonts w:cs="Arial"/>
          <w:noProof/>
          <w:spacing w:val="5"/>
          <w:sz w:val="24"/>
          <w:szCs w:val="24"/>
          <w:lang w:eastAsia="en-GB"/>
        </w:rPr>
        <w:t xml:space="preserve"> To explore </w:t>
      </w:r>
      <w:r>
        <w:rPr>
          <w:rFonts w:cs="Arial"/>
          <w:noProof/>
          <w:spacing w:val="5"/>
          <w:sz w:val="24"/>
          <w:szCs w:val="24"/>
          <w:lang w:eastAsia="en-GB"/>
        </w:rPr>
        <w:t xml:space="preserve">disparities in </w:t>
      </w:r>
      <w:r w:rsidRPr="00D765D3">
        <w:rPr>
          <w:rFonts w:cs="Arial"/>
          <w:noProof/>
          <w:spacing w:val="5"/>
          <w:sz w:val="24"/>
          <w:szCs w:val="24"/>
          <w:lang w:eastAsia="en-GB"/>
        </w:rPr>
        <w:t xml:space="preserve">severity of baseline disease, treatment </w:t>
      </w:r>
      <w:r>
        <w:rPr>
          <w:rFonts w:cs="Arial"/>
          <w:noProof/>
          <w:spacing w:val="5"/>
          <w:sz w:val="24"/>
          <w:szCs w:val="24"/>
          <w:lang w:eastAsia="en-GB"/>
        </w:rPr>
        <w:t>completion</w:t>
      </w:r>
      <w:r w:rsidRPr="00D765D3">
        <w:rPr>
          <w:rFonts w:cs="Arial"/>
          <w:noProof/>
          <w:spacing w:val="5"/>
          <w:sz w:val="24"/>
          <w:szCs w:val="24"/>
          <w:lang w:eastAsia="en-GB"/>
        </w:rPr>
        <w:t xml:space="preserve"> and treatment outcomes </w:t>
      </w:r>
      <w:r>
        <w:rPr>
          <w:rFonts w:cs="Arial"/>
          <w:noProof/>
          <w:spacing w:val="5"/>
          <w:sz w:val="24"/>
          <w:szCs w:val="24"/>
          <w:lang w:eastAsia="en-GB"/>
        </w:rPr>
        <w:t>among</w:t>
      </w:r>
      <w:r w:rsidRPr="00D765D3">
        <w:rPr>
          <w:rFonts w:cs="Arial"/>
          <w:noProof/>
          <w:spacing w:val="5"/>
          <w:sz w:val="24"/>
          <w:szCs w:val="24"/>
          <w:lang w:eastAsia="en-GB"/>
        </w:rPr>
        <w:t xml:space="preserve"> patients with wet </w:t>
      </w:r>
      <w:r>
        <w:rPr>
          <w:rFonts w:cs="Arial"/>
          <w:noProof/>
          <w:spacing w:val="5"/>
          <w:sz w:val="24"/>
          <w:szCs w:val="24"/>
          <w:lang w:eastAsia="en-GB"/>
        </w:rPr>
        <w:t>age-related macular degeneration (</w:t>
      </w:r>
      <w:r w:rsidRPr="00D765D3">
        <w:rPr>
          <w:rFonts w:cs="Arial"/>
          <w:noProof/>
          <w:spacing w:val="5"/>
          <w:sz w:val="24"/>
          <w:szCs w:val="24"/>
          <w:lang w:eastAsia="en-GB"/>
        </w:rPr>
        <w:t>AMD</w:t>
      </w:r>
      <w:r>
        <w:rPr>
          <w:rFonts w:cs="Arial"/>
          <w:noProof/>
          <w:spacing w:val="5"/>
          <w:sz w:val="24"/>
          <w:szCs w:val="24"/>
          <w:lang w:eastAsia="en-GB"/>
        </w:rPr>
        <w:t>)</w:t>
      </w:r>
      <w:r w:rsidRPr="00D765D3">
        <w:rPr>
          <w:rFonts w:cs="Arial"/>
          <w:noProof/>
          <w:spacing w:val="5"/>
          <w:sz w:val="24"/>
          <w:szCs w:val="24"/>
          <w:lang w:eastAsia="en-GB"/>
        </w:rPr>
        <w:t xml:space="preserve"> receiving </w:t>
      </w:r>
      <w:r>
        <w:rPr>
          <w:rFonts w:cs="Arial"/>
          <w:noProof/>
          <w:spacing w:val="5"/>
          <w:sz w:val="24"/>
          <w:szCs w:val="24"/>
          <w:lang w:eastAsia="en-GB"/>
        </w:rPr>
        <w:t xml:space="preserve">anti-vascular endothelial growth factor therapy by </w:t>
      </w:r>
      <w:r w:rsidRPr="00D765D3">
        <w:rPr>
          <w:rFonts w:cs="Arial"/>
          <w:noProof/>
          <w:spacing w:val="5"/>
          <w:sz w:val="24"/>
          <w:szCs w:val="24"/>
          <w:lang w:eastAsia="en-GB"/>
        </w:rPr>
        <w:t>socio-economic status</w:t>
      </w:r>
      <w:r>
        <w:rPr>
          <w:rFonts w:cs="Arial"/>
          <w:noProof/>
          <w:spacing w:val="5"/>
          <w:sz w:val="24"/>
          <w:szCs w:val="24"/>
          <w:lang w:eastAsia="en-GB"/>
        </w:rPr>
        <w:t xml:space="preserve"> (SES)</w:t>
      </w:r>
      <w:r w:rsidRPr="00D765D3">
        <w:rPr>
          <w:rFonts w:cs="Arial"/>
          <w:noProof/>
          <w:spacing w:val="5"/>
          <w:sz w:val="24"/>
          <w:szCs w:val="24"/>
          <w:lang w:eastAsia="en-GB"/>
        </w:rPr>
        <w:t xml:space="preserve"> and distance from home to </w:t>
      </w:r>
      <w:r>
        <w:rPr>
          <w:rFonts w:cs="Arial"/>
          <w:noProof/>
          <w:spacing w:val="5"/>
          <w:sz w:val="24"/>
          <w:szCs w:val="24"/>
          <w:lang w:eastAsia="en-GB"/>
        </w:rPr>
        <w:t>hospital</w:t>
      </w:r>
      <w:r w:rsidRPr="00D765D3">
        <w:rPr>
          <w:rFonts w:cs="Arial"/>
          <w:noProof/>
          <w:spacing w:val="5"/>
          <w:sz w:val="24"/>
          <w:szCs w:val="24"/>
          <w:lang w:eastAsia="en-GB"/>
        </w:rPr>
        <w:t xml:space="preserve">. </w:t>
      </w:r>
    </w:p>
    <w:p w14:paraId="6D9341CB" w14:textId="77777777" w:rsidR="00BA2879" w:rsidRPr="00D765D3" w:rsidRDefault="00BA2879" w:rsidP="00D34244">
      <w:pPr>
        <w:spacing w:after="0" w:line="480" w:lineRule="auto"/>
        <w:ind w:right="-1"/>
        <w:rPr>
          <w:rFonts w:cs="Arial"/>
          <w:noProof/>
          <w:spacing w:val="5"/>
          <w:sz w:val="24"/>
          <w:szCs w:val="24"/>
          <w:lang w:eastAsia="en-GB"/>
        </w:rPr>
      </w:pPr>
    </w:p>
    <w:p w14:paraId="31321B46" w14:textId="77777777" w:rsidR="00D96156" w:rsidRDefault="00D96156" w:rsidP="00D34244">
      <w:pPr>
        <w:spacing w:after="0" w:line="480" w:lineRule="auto"/>
        <w:ind w:right="-1"/>
        <w:rPr>
          <w:rFonts w:cs="Arial"/>
          <w:noProof/>
          <w:spacing w:val="5"/>
          <w:sz w:val="24"/>
          <w:szCs w:val="24"/>
          <w:lang w:eastAsia="en-GB"/>
        </w:rPr>
      </w:pPr>
      <w:r w:rsidRPr="00D765D3">
        <w:rPr>
          <w:rFonts w:cs="Arial"/>
          <w:noProof/>
          <w:spacing w:val="5"/>
          <w:sz w:val="24"/>
          <w:szCs w:val="24"/>
          <w:u w:val="single"/>
          <w:lang w:eastAsia="en-GB"/>
        </w:rPr>
        <w:t>Study Design:</w:t>
      </w:r>
      <w:r w:rsidRPr="00D765D3">
        <w:rPr>
          <w:rFonts w:cs="Arial"/>
          <w:noProof/>
          <w:spacing w:val="5"/>
          <w:sz w:val="24"/>
          <w:szCs w:val="24"/>
          <w:lang w:eastAsia="en-GB"/>
        </w:rPr>
        <w:t xml:space="preserve"> Retrospective </w:t>
      </w:r>
      <w:r>
        <w:rPr>
          <w:rFonts w:cs="Arial"/>
          <w:noProof/>
          <w:spacing w:val="5"/>
          <w:sz w:val="24"/>
          <w:szCs w:val="24"/>
          <w:lang w:eastAsia="en-GB"/>
        </w:rPr>
        <w:t>cohort</w:t>
      </w:r>
      <w:r w:rsidRPr="00D765D3">
        <w:rPr>
          <w:rFonts w:cs="Arial"/>
          <w:noProof/>
          <w:spacing w:val="5"/>
          <w:sz w:val="24"/>
          <w:szCs w:val="24"/>
          <w:lang w:eastAsia="en-GB"/>
        </w:rPr>
        <w:t xml:space="preserve"> study.</w:t>
      </w:r>
    </w:p>
    <w:p w14:paraId="454FF53E" w14:textId="77777777" w:rsidR="00BA2879" w:rsidRPr="00D765D3" w:rsidRDefault="00BA2879" w:rsidP="00D34244">
      <w:pPr>
        <w:spacing w:after="0" w:line="480" w:lineRule="auto"/>
        <w:ind w:right="-1"/>
        <w:rPr>
          <w:rFonts w:cs="Arial"/>
          <w:noProof/>
          <w:spacing w:val="5"/>
          <w:sz w:val="24"/>
          <w:szCs w:val="24"/>
          <w:lang w:eastAsia="en-GB"/>
        </w:rPr>
      </w:pPr>
    </w:p>
    <w:p w14:paraId="6A4D0D64" w14:textId="0479F628" w:rsidR="00D96156" w:rsidRDefault="00D96156" w:rsidP="00D34244">
      <w:pPr>
        <w:spacing w:after="0" w:line="480" w:lineRule="auto"/>
        <w:ind w:right="-1"/>
        <w:rPr>
          <w:rFonts w:cs="Arial"/>
          <w:noProof/>
          <w:spacing w:val="5"/>
          <w:sz w:val="24"/>
          <w:szCs w:val="24"/>
          <w:lang w:eastAsia="en-GB"/>
        </w:rPr>
      </w:pPr>
      <w:r w:rsidRPr="00D765D3">
        <w:rPr>
          <w:rFonts w:cs="Arial"/>
          <w:noProof/>
          <w:spacing w:val="5"/>
          <w:sz w:val="24"/>
          <w:szCs w:val="24"/>
          <w:u w:val="single"/>
          <w:lang w:eastAsia="en-GB"/>
        </w:rPr>
        <w:t>Methods:</w:t>
      </w:r>
      <w:r w:rsidRPr="00D765D3">
        <w:rPr>
          <w:rFonts w:cs="Arial"/>
          <w:noProof/>
          <w:spacing w:val="5"/>
          <w:sz w:val="24"/>
          <w:szCs w:val="24"/>
          <w:lang w:eastAsia="en-GB"/>
        </w:rPr>
        <w:t xml:space="preserve"> Data from clinic records of 756 wet AMD patients </w:t>
      </w:r>
      <w:r>
        <w:rPr>
          <w:rFonts w:cs="Arial"/>
          <w:noProof/>
          <w:spacing w:val="5"/>
          <w:sz w:val="24"/>
          <w:szCs w:val="24"/>
          <w:lang w:eastAsia="en-GB"/>
        </w:rPr>
        <w:t>receiving</w:t>
      </w:r>
      <w:r w:rsidRPr="00D765D3">
        <w:rPr>
          <w:rFonts w:cs="Arial"/>
          <w:noProof/>
          <w:spacing w:val="5"/>
          <w:sz w:val="24"/>
          <w:szCs w:val="24"/>
          <w:lang w:eastAsia="en-GB"/>
        </w:rPr>
        <w:t xml:space="preserve"> </w:t>
      </w:r>
      <w:r>
        <w:rPr>
          <w:rFonts w:cs="Arial"/>
          <w:noProof/>
          <w:spacing w:val="5"/>
          <w:sz w:val="24"/>
          <w:szCs w:val="24"/>
          <w:lang w:eastAsia="en-GB"/>
        </w:rPr>
        <w:t>treatment for wet AMD with aflibercept</w:t>
      </w:r>
      <w:r w:rsidRPr="00D765D3">
        <w:rPr>
          <w:rFonts w:cs="Arial"/>
          <w:noProof/>
          <w:spacing w:val="5"/>
          <w:sz w:val="24"/>
          <w:szCs w:val="24"/>
          <w:lang w:eastAsia="en-GB"/>
        </w:rPr>
        <w:t xml:space="preserve"> between May 2013 and Jan 2017 were obtained. </w:t>
      </w:r>
      <w:r>
        <w:rPr>
          <w:rFonts w:cs="Arial"/>
          <w:noProof/>
          <w:spacing w:val="5"/>
          <w:sz w:val="24"/>
          <w:szCs w:val="24"/>
          <w:lang w:eastAsia="en-GB"/>
        </w:rPr>
        <w:t>Area SES</w:t>
      </w:r>
      <w:r w:rsidRPr="00D765D3">
        <w:rPr>
          <w:rFonts w:cs="Arial"/>
          <w:noProof/>
          <w:spacing w:val="5"/>
          <w:sz w:val="24"/>
          <w:szCs w:val="24"/>
          <w:lang w:eastAsia="en-GB"/>
        </w:rPr>
        <w:t xml:space="preserve"> (using </w:t>
      </w:r>
      <w:r>
        <w:rPr>
          <w:rFonts w:cs="Arial"/>
          <w:noProof/>
          <w:spacing w:val="5"/>
          <w:sz w:val="24"/>
          <w:szCs w:val="24"/>
          <w:lang w:eastAsia="en-GB"/>
        </w:rPr>
        <w:t>Index of Multiple Deprivation (</w:t>
      </w:r>
      <w:r w:rsidRPr="00D765D3">
        <w:rPr>
          <w:rFonts w:cs="Arial"/>
          <w:noProof/>
          <w:spacing w:val="5"/>
          <w:sz w:val="24"/>
          <w:szCs w:val="24"/>
          <w:lang w:eastAsia="en-GB"/>
        </w:rPr>
        <w:t>IMD</w:t>
      </w:r>
      <w:r>
        <w:rPr>
          <w:rFonts w:cs="Arial"/>
          <w:noProof/>
          <w:spacing w:val="5"/>
          <w:sz w:val="24"/>
          <w:szCs w:val="24"/>
          <w:lang w:eastAsia="en-GB"/>
        </w:rPr>
        <w:t>)</w:t>
      </w:r>
      <w:r w:rsidRPr="00D765D3">
        <w:rPr>
          <w:rFonts w:cs="Arial"/>
          <w:noProof/>
          <w:spacing w:val="5"/>
          <w:sz w:val="24"/>
          <w:szCs w:val="24"/>
          <w:lang w:eastAsia="en-GB"/>
        </w:rPr>
        <w:t xml:space="preserve"> 2015) and distance from </w:t>
      </w:r>
      <w:r>
        <w:rPr>
          <w:rFonts w:cs="Arial"/>
          <w:noProof/>
          <w:spacing w:val="5"/>
          <w:sz w:val="24"/>
          <w:szCs w:val="24"/>
          <w:lang w:eastAsia="en-GB"/>
        </w:rPr>
        <w:t>hospital</w:t>
      </w:r>
      <w:r w:rsidRPr="00D765D3">
        <w:rPr>
          <w:rFonts w:cs="Arial"/>
          <w:noProof/>
          <w:spacing w:val="5"/>
          <w:sz w:val="24"/>
          <w:szCs w:val="24"/>
          <w:lang w:eastAsia="en-GB"/>
        </w:rPr>
        <w:t xml:space="preserve"> (dichotimised &gt;=10 vs &lt;10km), were derived from anonymized postcodes. Univariate and multivariable logistic regression models were used to identify associations </w:t>
      </w:r>
      <w:r>
        <w:rPr>
          <w:rFonts w:cs="Arial"/>
          <w:noProof/>
          <w:spacing w:val="5"/>
          <w:sz w:val="24"/>
          <w:szCs w:val="24"/>
          <w:lang w:eastAsia="en-GB"/>
        </w:rPr>
        <w:t>of</w:t>
      </w:r>
      <w:r w:rsidRPr="00D765D3">
        <w:rPr>
          <w:rFonts w:cs="Arial"/>
          <w:noProof/>
          <w:spacing w:val="5"/>
          <w:sz w:val="24"/>
          <w:szCs w:val="24"/>
          <w:lang w:eastAsia="en-GB"/>
        </w:rPr>
        <w:t xml:space="preserve"> </w:t>
      </w:r>
      <w:r>
        <w:rPr>
          <w:rFonts w:cs="Arial"/>
          <w:noProof/>
          <w:spacing w:val="5"/>
          <w:sz w:val="24"/>
          <w:szCs w:val="24"/>
          <w:lang w:eastAsia="en-GB"/>
        </w:rPr>
        <w:t>area deprivation</w:t>
      </w:r>
      <w:r w:rsidRPr="00D765D3">
        <w:rPr>
          <w:rFonts w:cs="Arial"/>
          <w:noProof/>
          <w:spacing w:val="5"/>
          <w:sz w:val="24"/>
          <w:szCs w:val="24"/>
          <w:lang w:eastAsia="en-GB"/>
        </w:rPr>
        <w:t xml:space="preserve"> and distance from</w:t>
      </w:r>
      <w:r>
        <w:rPr>
          <w:rFonts w:cs="Arial"/>
          <w:noProof/>
          <w:spacing w:val="5"/>
          <w:sz w:val="24"/>
          <w:szCs w:val="24"/>
          <w:lang w:eastAsia="en-GB"/>
        </w:rPr>
        <w:t xml:space="preserve"> hospital</w:t>
      </w:r>
      <w:r w:rsidRPr="00D765D3">
        <w:rPr>
          <w:rFonts w:cs="Arial"/>
          <w:noProof/>
          <w:spacing w:val="5"/>
          <w:sz w:val="24"/>
          <w:szCs w:val="24"/>
          <w:lang w:eastAsia="en-GB"/>
        </w:rPr>
        <w:t xml:space="preserve"> at baseline</w:t>
      </w:r>
      <w:r>
        <w:rPr>
          <w:rFonts w:cs="Arial"/>
          <w:noProof/>
          <w:spacing w:val="5"/>
          <w:sz w:val="24"/>
          <w:szCs w:val="24"/>
          <w:lang w:eastAsia="en-GB"/>
        </w:rPr>
        <w:t>, with visual acuity (VA) at baseline,</w:t>
      </w:r>
      <w:r w:rsidRPr="00D765D3">
        <w:rPr>
          <w:rFonts w:cs="Arial"/>
          <w:noProof/>
          <w:spacing w:val="5"/>
          <w:sz w:val="24"/>
          <w:szCs w:val="24"/>
          <w:lang w:eastAsia="en-GB"/>
        </w:rPr>
        <w:t xml:space="preserve"> treatment completion and </w:t>
      </w:r>
      <w:r w:rsidR="00A26EF0">
        <w:rPr>
          <w:rFonts w:cs="Arial"/>
          <w:noProof/>
          <w:spacing w:val="5"/>
          <w:sz w:val="24"/>
          <w:szCs w:val="24"/>
          <w:lang w:eastAsia="en-GB"/>
        </w:rPr>
        <w:t xml:space="preserve"> </w:t>
      </w:r>
      <w:r w:rsidR="002B3870">
        <w:rPr>
          <w:rFonts w:cs="Arial"/>
          <w:noProof/>
          <w:spacing w:val="5"/>
          <w:sz w:val="24"/>
          <w:szCs w:val="24"/>
          <w:lang w:eastAsia="en-GB"/>
        </w:rPr>
        <w:t>treatment outcome</w:t>
      </w:r>
      <w:r w:rsidRPr="00D765D3">
        <w:rPr>
          <w:rFonts w:cs="Arial"/>
          <w:noProof/>
          <w:spacing w:val="5"/>
          <w:sz w:val="24"/>
          <w:szCs w:val="24"/>
          <w:lang w:eastAsia="en-GB"/>
        </w:rPr>
        <w:t>.</w:t>
      </w:r>
    </w:p>
    <w:p w14:paraId="1A71B845" w14:textId="77777777" w:rsidR="00C66573" w:rsidRDefault="00C66573" w:rsidP="00D34244">
      <w:pPr>
        <w:spacing w:after="0" w:line="480" w:lineRule="auto"/>
        <w:ind w:right="-1"/>
        <w:rPr>
          <w:rFonts w:cs="Arial"/>
          <w:noProof/>
          <w:spacing w:val="5"/>
          <w:sz w:val="24"/>
          <w:szCs w:val="24"/>
          <w:lang w:eastAsia="en-GB"/>
        </w:rPr>
      </w:pPr>
    </w:p>
    <w:p w14:paraId="278025F7" w14:textId="77777777" w:rsidR="00BA2879" w:rsidRPr="00D765D3" w:rsidRDefault="00BA2879" w:rsidP="00D34244">
      <w:pPr>
        <w:spacing w:after="0" w:line="480" w:lineRule="auto"/>
        <w:ind w:right="-1"/>
        <w:rPr>
          <w:rFonts w:cs="Arial"/>
          <w:noProof/>
          <w:spacing w:val="5"/>
          <w:sz w:val="24"/>
          <w:szCs w:val="24"/>
          <w:lang w:eastAsia="en-GB"/>
        </w:rPr>
      </w:pPr>
    </w:p>
    <w:p w14:paraId="2907A1AD" w14:textId="77777777" w:rsidR="00D96156" w:rsidRPr="00937AF7" w:rsidRDefault="00D96156" w:rsidP="00D34244">
      <w:pPr>
        <w:spacing w:after="0" w:line="480" w:lineRule="auto"/>
        <w:ind w:right="-1"/>
        <w:rPr>
          <w:rFonts w:cs="Arial"/>
          <w:noProof/>
          <w:spacing w:val="5"/>
          <w:sz w:val="24"/>
          <w:szCs w:val="24"/>
          <w:u w:val="single"/>
          <w:lang w:eastAsia="en-GB"/>
        </w:rPr>
      </w:pPr>
      <w:r w:rsidRPr="00D765D3">
        <w:rPr>
          <w:rFonts w:cs="Arial"/>
          <w:noProof/>
          <w:spacing w:val="5"/>
          <w:sz w:val="24"/>
          <w:szCs w:val="24"/>
          <w:u w:val="single"/>
          <w:lang w:eastAsia="en-GB"/>
        </w:rPr>
        <w:t>Results:</w:t>
      </w:r>
      <w:r w:rsidRPr="00D765D3">
        <w:rPr>
          <w:rFonts w:cs="Arial"/>
          <w:noProof/>
          <w:spacing w:val="5"/>
          <w:sz w:val="24"/>
          <w:szCs w:val="24"/>
          <w:lang w:eastAsia="en-GB"/>
        </w:rPr>
        <w:t xml:space="preserve"> </w:t>
      </w:r>
    </w:p>
    <w:p w14:paraId="24D2365A" w14:textId="77777777" w:rsidR="00D96156" w:rsidRPr="00B7042E" w:rsidRDefault="00D96156" w:rsidP="00D34244">
      <w:pPr>
        <w:spacing w:after="0" w:line="480" w:lineRule="auto"/>
        <w:ind w:right="-1"/>
        <w:rPr>
          <w:rFonts w:cs="Arial"/>
          <w:noProof/>
          <w:spacing w:val="5"/>
          <w:sz w:val="24"/>
          <w:szCs w:val="24"/>
          <w:lang w:eastAsia="en-GB"/>
        </w:rPr>
      </w:pPr>
      <w:r w:rsidRPr="00937AF7">
        <w:rPr>
          <w:rFonts w:cs="Arial"/>
          <w:noProof/>
          <w:spacing w:val="5"/>
          <w:sz w:val="24"/>
          <w:szCs w:val="24"/>
          <w:lang w:eastAsia="en-GB"/>
        </w:rPr>
        <w:t xml:space="preserve">Living in the most deprived compared with less deprived areas was associated with a </w:t>
      </w:r>
      <w:r>
        <w:rPr>
          <w:rFonts w:cs="Arial"/>
          <w:noProof/>
          <w:spacing w:val="5"/>
          <w:sz w:val="24"/>
          <w:szCs w:val="24"/>
          <w:lang w:eastAsia="en-GB"/>
        </w:rPr>
        <w:t>significantly higher risk</w:t>
      </w:r>
      <w:r w:rsidRPr="00937AF7">
        <w:rPr>
          <w:rFonts w:cs="Arial"/>
          <w:noProof/>
          <w:spacing w:val="5"/>
          <w:sz w:val="24"/>
          <w:szCs w:val="24"/>
          <w:lang w:eastAsia="en-GB"/>
        </w:rPr>
        <w:t xml:space="preserve"> of presenting with severe reduction in </w:t>
      </w:r>
      <w:r>
        <w:rPr>
          <w:rFonts w:cs="Arial"/>
          <w:noProof/>
          <w:spacing w:val="5"/>
          <w:sz w:val="24"/>
          <w:szCs w:val="24"/>
          <w:lang w:eastAsia="en-GB"/>
        </w:rPr>
        <w:t>VA</w:t>
      </w:r>
      <w:r w:rsidRPr="00937AF7">
        <w:rPr>
          <w:rFonts w:cs="Arial"/>
          <w:noProof/>
          <w:spacing w:val="5"/>
          <w:sz w:val="24"/>
          <w:szCs w:val="24"/>
          <w:lang w:eastAsia="en-GB"/>
        </w:rPr>
        <w:t xml:space="preserve"> (</w:t>
      </w:r>
      <w:r w:rsidRPr="00B7042E">
        <w:rPr>
          <w:rFonts w:cs="Arial"/>
          <w:noProof/>
          <w:spacing w:val="5"/>
          <w:sz w:val="24"/>
          <w:szCs w:val="24"/>
          <w:lang w:eastAsia="en-GB"/>
        </w:rPr>
        <w:t xml:space="preserve">OR=3.59; 95% CI=1.39-9.27; </w:t>
      </w:r>
      <w:r>
        <w:rPr>
          <w:rFonts w:cs="Arial"/>
          <w:noProof/>
          <w:spacing w:val="5"/>
          <w:sz w:val="24"/>
          <w:szCs w:val="24"/>
          <w:lang w:eastAsia="en-GB"/>
        </w:rPr>
        <w:t>P</w:t>
      </w:r>
      <w:r w:rsidRPr="00B7042E">
        <w:rPr>
          <w:rFonts w:cs="Arial"/>
          <w:noProof/>
          <w:spacing w:val="5"/>
          <w:sz w:val="24"/>
          <w:szCs w:val="24"/>
          <w:lang w:eastAsia="en-GB"/>
        </w:rPr>
        <w:t>=.01). This association was maintained after adjustment for age, gender and distance from hospital.</w:t>
      </w:r>
    </w:p>
    <w:p w14:paraId="2F7BDFA1" w14:textId="77777777" w:rsidR="00D96156" w:rsidRPr="00107CAF" w:rsidRDefault="00D96156" w:rsidP="00D34244">
      <w:pPr>
        <w:spacing w:after="0" w:line="480" w:lineRule="auto"/>
        <w:ind w:right="-1"/>
        <w:rPr>
          <w:rFonts w:cs="Arial"/>
          <w:noProof/>
          <w:spacing w:val="5"/>
          <w:sz w:val="24"/>
          <w:szCs w:val="24"/>
          <w:lang w:eastAsia="en-GB"/>
        </w:rPr>
      </w:pPr>
      <w:r w:rsidRPr="00ED27E7">
        <w:rPr>
          <w:rFonts w:cs="Arial"/>
          <w:noProof/>
          <w:spacing w:val="5"/>
          <w:sz w:val="24"/>
          <w:szCs w:val="24"/>
          <w:lang w:eastAsia="en-GB"/>
        </w:rPr>
        <w:lastRenderedPageBreak/>
        <w:t xml:space="preserve">On univariate analysis, delayed </w:t>
      </w:r>
      <w:r>
        <w:rPr>
          <w:rFonts w:cs="Arial"/>
          <w:noProof/>
          <w:spacing w:val="5"/>
          <w:sz w:val="24"/>
          <w:szCs w:val="24"/>
          <w:lang w:eastAsia="en-GB"/>
        </w:rPr>
        <w:t xml:space="preserve">treatment </w:t>
      </w:r>
      <w:r w:rsidRPr="00ED27E7">
        <w:rPr>
          <w:rFonts w:cs="Arial"/>
          <w:noProof/>
          <w:spacing w:val="5"/>
          <w:sz w:val="24"/>
          <w:szCs w:val="24"/>
          <w:lang w:eastAsia="en-GB"/>
        </w:rPr>
        <w:t>completion was more likely in those living in most d</w:t>
      </w:r>
      <w:r w:rsidRPr="00107CAF">
        <w:rPr>
          <w:rFonts w:cs="Arial"/>
          <w:noProof/>
          <w:spacing w:val="5"/>
          <w:sz w:val="24"/>
          <w:szCs w:val="24"/>
          <w:lang w:eastAsia="en-GB"/>
        </w:rPr>
        <w:t xml:space="preserve">eprived areas (OR=2.80; 95% CI=1.21-6.47; </w:t>
      </w:r>
      <w:r>
        <w:rPr>
          <w:rFonts w:cs="Arial"/>
          <w:noProof/>
          <w:spacing w:val="5"/>
          <w:sz w:val="24"/>
          <w:szCs w:val="24"/>
          <w:lang w:eastAsia="en-GB"/>
        </w:rPr>
        <w:t>P</w:t>
      </w:r>
      <w:r w:rsidRPr="00107CAF">
        <w:rPr>
          <w:rFonts w:cs="Arial"/>
          <w:noProof/>
          <w:spacing w:val="5"/>
          <w:sz w:val="24"/>
          <w:szCs w:val="24"/>
          <w:lang w:eastAsia="en-GB"/>
        </w:rPr>
        <w:t xml:space="preserve">=.04), </w:t>
      </w:r>
      <w:r>
        <w:rPr>
          <w:rFonts w:cs="Arial"/>
          <w:noProof/>
          <w:spacing w:val="5"/>
          <w:sz w:val="24"/>
          <w:szCs w:val="24"/>
          <w:lang w:eastAsia="en-GB"/>
        </w:rPr>
        <w:t>though</w:t>
      </w:r>
      <w:r w:rsidRPr="00107CAF">
        <w:rPr>
          <w:rFonts w:cs="Arial"/>
          <w:noProof/>
          <w:spacing w:val="5"/>
          <w:sz w:val="24"/>
          <w:szCs w:val="24"/>
          <w:lang w:eastAsia="en-GB"/>
        </w:rPr>
        <w:t xml:space="preserve"> this association was attenuated after adjustment for age, gender and</w:t>
      </w:r>
      <w:r>
        <w:rPr>
          <w:rFonts w:cs="Arial"/>
          <w:noProof/>
          <w:spacing w:val="5"/>
          <w:sz w:val="24"/>
          <w:szCs w:val="24"/>
          <w:lang w:eastAsia="en-GB"/>
        </w:rPr>
        <w:t xml:space="preserve"> distance from hospital.</w:t>
      </w:r>
    </w:p>
    <w:p w14:paraId="3E3F0186" w14:textId="77777777" w:rsidR="00D96156" w:rsidRDefault="00D96156" w:rsidP="00D34244">
      <w:pPr>
        <w:spacing w:after="0" w:line="480" w:lineRule="auto"/>
        <w:ind w:right="-1"/>
        <w:rPr>
          <w:rFonts w:cs="Arial"/>
          <w:noProof/>
          <w:spacing w:val="5"/>
          <w:sz w:val="24"/>
          <w:szCs w:val="24"/>
          <w:lang w:eastAsia="en-GB"/>
        </w:rPr>
      </w:pPr>
      <w:r>
        <w:rPr>
          <w:rFonts w:cs="Arial"/>
          <w:noProof/>
          <w:spacing w:val="5"/>
          <w:sz w:val="24"/>
          <w:szCs w:val="24"/>
          <w:lang w:eastAsia="en-GB"/>
        </w:rPr>
        <w:t>N</w:t>
      </w:r>
      <w:r w:rsidRPr="00D765D3">
        <w:rPr>
          <w:rFonts w:cs="Arial"/>
          <w:noProof/>
          <w:spacing w:val="5"/>
          <w:sz w:val="24"/>
          <w:szCs w:val="24"/>
          <w:lang w:eastAsia="en-GB"/>
        </w:rPr>
        <w:t xml:space="preserve">o  association was observed between SES and treatment outcomes </w:t>
      </w:r>
      <w:r>
        <w:rPr>
          <w:rFonts w:cs="Arial"/>
          <w:noProof/>
          <w:spacing w:val="5"/>
          <w:sz w:val="24"/>
          <w:szCs w:val="24"/>
          <w:lang w:eastAsia="en-GB"/>
        </w:rPr>
        <w:t xml:space="preserve">or </w:t>
      </w:r>
      <w:r w:rsidRPr="00D765D3">
        <w:rPr>
          <w:rFonts w:cs="Arial"/>
          <w:noProof/>
          <w:spacing w:val="5"/>
          <w:sz w:val="24"/>
          <w:szCs w:val="24"/>
          <w:lang w:eastAsia="en-GB"/>
        </w:rPr>
        <w:t xml:space="preserve">between </w:t>
      </w:r>
      <w:r>
        <w:rPr>
          <w:rFonts w:cs="Arial"/>
          <w:noProof/>
          <w:spacing w:val="5"/>
          <w:sz w:val="24"/>
          <w:szCs w:val="24"/>
          <w:lang w:eastAsia="en-GB"/>
        </w:rPr>
        <w:t>distance from hospital and baseline VA</w:t>
      </w:r>
      <w:r w:rsidRPr="00D765D3">
        <w:rPr>
          <w:rFonts w:cs="Arial"/>
          <w:noProof/>
          <w:spacing w:val="5"/>
          <w:sz w:val="24"/>
          <w:szCs w:val="24"/>
          <w:lang w:eastAsia="en-GB"/>
        </w:rPr>
        <w:t xml:space="preserve">, treatment </w:t>
      </w:r>
      <w:r>
        <w:rPr>
          <w:rFonts w:cs="Arial"/>
          <w:noProof/>
          <w:spacing w:val="5"/>
          <w:sz w:val="24"/>
          <w:szCs w:val="24"/>
          <w:lang w:eastAsia="en-GB"/>
        </w:rPr>
        <w:t xml:space="preserve">completion </w:t>
      </w:r>
      <w:r w:rsidRPr="00D765D3">
        <w:rPr>
          <w:rFonts w:cs="Arial"/>
          <w:noProof/>
          <w:spacing w:val="5"/>
          <w:sz w:val="24"/>
          <w:szCs w:val="24"/>
          <w:lang w:eastAsia="en-GB"/>
        </w:rPr>
        <w:t>or treatment outcome.</w:t>
      </w:r>
    </w:p>
    <w:p w14:paraId="7A3D316B" w14:textId="77777777" w:rsidR="00BA2879" w:rsidRPr="00D765D3" w:rsidRDefault="00BA2879" w:rsidP="00D34244">
      <w:pPr>
        <w:spacing w:after="0" w:line="480" w:lineRule="auto"/>
        <w:ind w:right="-1"/>
        <w:rPr>
          <w:rFonts w:cs="Arial"/>
          <w:noProof/>
          <w:spacing w:val="5"/>
          <w:sz w:val="24"/>
          <w:szCs w:val="24"/>
          <w:lang w:eastAsia="en-GB"/>
        </w:rPr>
      </w:pPr>
    </w:p>
    <w:p w14:paraId="7B63A1B3" w14:textId="072CD722" w:rsidR="00D96156" w:rsidRDefault="00D96156" w:rsidP="00D34244">
      <w:pPr>
        <w:spacing w:after="0" w:line="480" w:lineRule="auto"/>
        <w:ind w:right="-1"/>
        <w:rPr>
          <w:rFonts w:cs="Arial"/>
          <w:noProof/>
          <w:spacing w:val="5"/>
          <w:sz w:val="24"/>
          <w:szCs w:val="24"/>
          <w:lang w:eastAsia="en-GB"/>
        </w:rPr>
      </w:pPr>
      <w:r w:rsidRPr="00D765D3">
        <w:rPr>
          <w:rFonts w:cs="Arial"/>
          <w:noProof/>
          <w:spacing w:val="5"/>
          <w:sz w:val="24"/>
          <w:szCs w:val="24"/>
          <w:u w:val="single"/>
          <w:lang w:eastAsia="en-GB"/>
        </w:rPr>
        <w:t>Conclusion</w:t>
      </w:r>
      <w:r w:rsidRPr="00D765D3">
        <w:rPr>
          <w:rFonts w:cs="Arial"/>
          <w:noProof/>
          <w:spacing w:val="5"/>
          <w:sz w:val="24"/>
          <w:szCs w:val="24"/>
          <w:lang w:eastAsia="en-GB"/>
        </w:rPr>
        <w:t xml:space="preserve">: This study found poorer </w:t>
      </w:r>
      <w:r>
        <w:rPr>
          <w:rFonts w:cs="Arial"/>
          <w:noProof/>
          <w:spacing w:val="5"/>
          <w:sz w:val="24"/>
          <w:szCs w:val="24"/>
          <w:lang w:eastAsia="en-GB"/>
        </w:rPr>
        <w:t>baseline VA</w:t>
      </w:r>
      <w:r w:rsidRPr="00D765D3">
        <w:rPr>
          <w:rFonts w:cs="Arial"/>
          <w:noProof/>
          <w:spacing w:val="5"/>
          <w:sz w:val="24"/>
          <w:szCs w:val="24"/>
          <w:lang w:eastAsia="en-GB"/>
        </w:rPr>
        <w:t xml:space="preserve"> among people with wet AMD from </w:t>
      </w:r>
      <w:r>
        <w:rPr>
          <w:rFonts w:cs="Arial"/>
          <w:noProof/>
          <w:spacing w:val="5"/>
          <w:sz w:val="24"/>
          <w:szCs w:val="24"/>
          <w:lang w:eastAsia="en-GB"/>
        </w:rPr>
        <w:t>more deprived</w:t>
      </w:r>
      <w:r w:rsidRPr="00D765D3">
        <w:rPr>
          <w:rFonts w:cs="Arial"/>
          <w:noProof/>
          <w:spacing w:val="5"/>
          <w:sz w:val="24"/>
          <w:szCs w:val="24"/>
          <w:lang w:eastAsia="en-GB"/>
        </w:rPr>
        <w:t xml:space="preserve"> areas</w:t>
      </w:r>
      <w:r>
        <w:rPr>
          <w:rFonts w:cs="Arial"/>
          <w:noProof/>
          <w:spacing w:val="5"/>
          <w:sz w:val="24"/>
          <w:szCs w:val="24"/>
          <w:lang w:eastAsia="en-GB"/>
        </w:rPr>
        <w:t>. This</w:t>
      </w:r>
      <w:r w:rsidRPr="00D765D3">
        <w:rPr>
          <w:rFonts w:cs="Arial"/>
          <w:noProof/>
          <w:spacing w:val="5"/>
          <w:sz w:val="24"/>
          <w:szCs w:val="24"/>
          <w:lang w:eastAsia="en-GB"/>
        </w:rPr>
        <w:t xml:space="preserve"> </w:t>
      </w:r>
      <w:r>
        <w:rPr>
          <w:rFonts w:cs="Arial"/>
          <w:noProof/>
          <w:spacing w:val="5"/>
          <w:sz w:val="24"/>
          <w:szCs w:val="24"/>
          <w:lang w:eastAsia="en-GB"/>
        </w:rPr>
        <w:t>work suggests</w:t>
      </w:r>
      <w:r w:rsidRPr="00D765D3">
        <w:rPr>
          <w:rFonts w:cs="Arial"/>
          <w:noProof/>
          <w:spacing w:val="5"/>
          <w:sz w:val="24"/>
          <w:szCs w:val="24"/>
          <w:lang w:eastAsia="en-GB"/>
        </w:rPr>
        <w:t xml:space="preserve"> </w:t>
      </w:r>
      <w:r w:rsidR="007160FC">
        <w:rPr>
          <w:rFonts w:cs="Arial"/>
          <w:noProof/>
          <w:spacing w:val="5"/>
          <w:sz w:val="24"/>
          <w:szCs w:val="24"/>
          <w:lang w:eastAsia="en-GB"/>
        </w:rPr>
        <w:t xml:space="preserve">a </w:t>
      </w:r>
      <w:r w:rsidRPr="00D765D3">
        <w:rPr>
          <w:rFonts w:cs="Arial"/>
          <w:noProof/>
          <w:spacing w:val="5"/>
          <w:sz w:val="24"/>
          <w:szCs w:val="24"/>
          <w:lang w:eastAsia="en-GB"/>
        </w:rPr>
        <w:t xml:space="preserve">need for </w:t>
      </w:r>
      <w:r>
        <w:rPr>
          <w:rFonts w:cs="Arial"/>
          <w:noProof/>
          <w:spacing w:val="5"/>
          <w:sz w:val="24"/>
          <w:szCs w:val="24"/>
          <w:lang w:eastAsia="en-GB"/>
        </w:rPr>
        <w:t>earlier</w:t>
      </w:r>
      <w:r w:rsidRPr="00D765D3">
        <w:rPr>
          <w:rFonts w:cs="Arial"/>
          <w:noProof/>
          <w:spacing w:val="5"/>
          <w:sz w:val="24"/>
          <w:szCs w:val="24"/>
          <w:lang w:eastAsia="en-GB"/>
        </w:rPr>
        <w:t xml:space="preserve"> identification </w:t>
      </w:r>
      <w:r>
        <w:rPr>
          <w:rFonts w:cs="Arial"/>
          <w:noProof/>
          <w:spacing w:val="5"/>
          <w:sz w:val="24"/>
          <w:szCs w:val="24"/>
          <w:lang w:eastAsia="en-GB"/>
        </w:rPr>
        <w:t xml:space="preserve">of AMD </w:t>
      </w:r>
      <w:r w:rsidRPr="00D765D3">
        <w:rPr>
          <w:rFonts w:cs="Arial"/>
          <w:noProof/>
          <w:spacing w:val="5"/>
          <w:sz w:val="24"/>
          <w:szCs w:val="24"/>
          <w:lang w:eastAsia="en-GB"/>
        </w:rPr>
        <w:t xml:space="preserve">among </w:t>
      </w:r>
      <w:r>
        <w:rPr>
          <w:rFonts w:cs="Arial"/>
          <w:noProof/>
          <w:spacing w:val="5"/>
          <w:sz w:val="24"/>
          <w:szCs w:val="24"/>
          <w:lang w:eastAsia="en-GB"/>
        </w:rPr>
        <w:t>more deprived populations.</w:t>
      </w:r>
    </w:p>
    <w:p w14:paraId="715D08F0" w14:textId="77777777" w:rsidR="00D96156" w:rsidRDefault="00D96156" w:rsidP="00D34244">
      <w:pPr>
        <w:spacing w:after="0" w:line="480" w:lineRule="auto"/>
        <w:ind w:right="-1"/>
        <w:rPr>
          <w:rFonts w:cs="Arial"/>
          <w:noProof/>
          <w:spacing w:val="5"/>
          <w:sz w:val="24"/>
          <w:szCs w:val="24"/>
          <w:lang w:eastAsia="en-GB"/>
        </w:rPr>
      </w:pPr>
    </w:p>
    <w:p w14:paraId="76A7CC22" w14:textId="2184C4E6" w:rsidR="00433485" w:rsidRDefault="00433485" w:rsidP="00D34244">
      <w:pPr>
        <w:spacing w:after="0" w:line="480" w:lineRule="auto"/>
        <w:ind w:right="-1"/>
        <w:rPr>
          <w:rFonts w:cs="Arial"/>
          <w:noProof/>
          <w:spacing w:val="5"/>
          <w:lang w:eastAsia="en-GB"/>
        </w:rPr>
      </w:pPr>
    </w:p>
    <w:p w14:paraId="7D825DFA" w14:textId="77777777" w:rsidR="00433485" w:rsidRDefault="00433485" w:rsidP="00D34244">
      <w:pPr>
        <w:spacing w:after="0" w:line="480" w:lineRule="auto"/>
        <w:ind w:right="-1"/>
        <w:rPr>
          <w:rFonts w:cs="Arial"/>
          <w:noProof/>
          <w:spacing w:val="5"/>
          <w:lang w:eastAsia="en-GB"/>
        </w:rPr>
      </w:pPr>
    </w:p>
    <w:p w14:paraId="05D332D2" w14:textId="51AAD330" w:rsidR="0078101E" w:rsidRPr="0078101E" w:rsidRDefault="00C6554A" w:rsidP="00D34244">
      <w:pPr>
        <w:spacing w:line="480" w:lineRule="auto"/>
        <w:jc w:val="right"/>
        <w:rPr>
          <w:sz w:val="24"/>
          <w:szCs w:val="24"/>
        </w:rPr>
      </w:pPr>
      <w:r w:rsidRPr="005F6BAA">
        <w:rPr>
          <w:sz w:val="24"/>
          <w:szCs w:val="24"/>
        </w:rPr>
        <w:br w:type="page"/>
      </w:r>
    </w:p>
    <w:p w14:paraId="38940476" w14:textId="77777777" w:rsidR="0068441A" w:rsidRPr="00D765D3" w:rsidRDefault="0068441A" w:rsidP="00D34244">
      <w:pPr>
        <w:pStyle w:val="Heading1"/>
        <w:spacing w:line="480" w:lineRule="auto"/>
        <w:rPr>
          <w:sz w:val="24"/>
          <w:szCs w:val="24"/>
        </w:rPr>
      </w:pPr>
      <w:r w:rsidRPr="00D765D3">
        <w:rPr>
          <w:sz w:val="24"/>
          <w:szCs w:val="24"/>
        </w:rPr>
        <w:lastRenderedPageBreak/>
        <w:t>List of Abbreviations</w:t>
      </w:r>
    </w:p>
    <w:p w14:paraId="1E0D138C" w14:textId="77777777" w:rsidR="0068441A" w:rsidRPr="00D765D3" w:rsidRDefault="0068441A" w:rsidP="00D34244">
      <w:pPr>
        <w:spacing w:line="480" w:lineRule="auto"/>
        <w:rPr>
          <w:b/>
          <w:sz w:val="24"/>
          <w:szCs w:val="24"/>
        </w:rPr>
      </w:pPr>
    </w:p>
    <w:tbl>
      <w:tblPr>
        <w:tblStyle w:val="TableGrid"/>
        <w:tblW w:w="0" w:type="auto"/>
        <w:tblLook w:val="04A0" w:firstRow="1" w:lastRow="0" w:firstColumn="1" w:lastColumn="0" w:noHBand="0" w:noVBand="1"/>
      </w:tblPr>
      <w:tblGrid>
        <w:gridCol w:w="4697"/>
        <w:gridCol w:w="4697"/>
      </w:tblGrid>
      <w:tr w:rsidR="003C2C74" w:rsidRPr="00D765D3" w14:paraId="68CACEB2" w14:textId="77777777" w:rsidTr="003C2C74">
        <w:tc>
          <w:tcPr>
            <w:tcW w:w="4697" w:type="dxa"/>
          </w:tcPr>
          <w:p w14:paraId="274988F4" w14:textId="7EF00A53" w:rsidR="003C2C74" w:rsidRPr="00D765D3" w:rsidRDefault="003C2C74" w:rsidP="00D34244">
            <w:pPr>
              <w:spacing w:line="480" w:lineRule="auto"/>
              <w:rPr>
                <w:sz w:val="24"/>
                <w:szCs w:val="24"/>
              </w:rPr>
            </w:pPr>
            <w:r w:rsidRPr="00D765D3">
              <w:rPr>
                <w:sz w:val="24"/>
                <w:szCs w:val="24"/>
              </w:rPr>
              <w:t>AMD</w:t>
            </w:r>
          </w:p>
        </w:tc>
        <w:tc>
          <w:tcPr>
            <w:tcW w:w="4697" w:type="dxa"/>
          </w:tcPr>
          <w:p w14:paraId="4B17BD6D" w14:textId="091361CC" w:rsidR="003C2C74" w:rsidRPr="00D765D3" w:rsidRDefault="003C2C74" w:rsidP="00D34244">
            <w:pPr>
              <w:spacing w:line="480" w:lineRule="auto"/>
              <w:rPr>
                <w:sz w:val="24"/>
                <w:szCs w:val="24"/>
              </w:rPr>
            </w:pPr>
            <w:r w:rsidRPr="00D765D3">
              <w:rPr>
                <w:sz w:val="24"/>
                <w:szCs w:val="24"/>
              </w:rPr>
              <w:t>Age related Macular Degeneration</w:t>
            </w:r>
          </w:p>
        </w:tc>
      </w:tr>
      <w:tr w:rsidR="003C2C74" w:rsidRPr="00D765D3" w14:paraId="52CA3B6D" w14:textId="77777777" w:rsidTr="003C2C74">
        <w:tc>
          <w:tcPr>
            <w:tcW w:w="4697" w:type="dxa"/>
          </w:tcPr>
          <w:p w14:paraId="4768632C" w14:textId="2AC638FF" w:rsidR="003C2C74" w:rsidRPr="00D765D3" w:rsidRDefault="003C2C74" w:rsidP="00D34244">
            <w:pPr>
              <w:spacing w:line="480" w:lineRule="auto"/>
              <w:rPr>
                <w:sz w:val="24"/>
                <w:szCs w:val="24"/>
              </w:rPr>
            </w:pPr>
            <w:r w:rsidRPr="00D765D3">
              <w:rPr>
                <w:sz w:val="24"/>
                <w:szCs w:val="24"/>
              </w:rPr>
              <w:t>IMD</w:t>
            </w:r>
          </w:p>
        </w:tc>
        <w:tc>
          <w:tcPr>
            <w:tcW w:w="4697" w:type="dxa"/>
          </w:tcPr>
          <w:p w14:paraId="0AB16707" w14:textId="67AFF8EE" w:rsidR="003C2C74" w:rsidRPr="00D765D3" w:rsidRDefault="003C2C74" w:rsidP="00D34244">
            <w:pPr>
              <w:spacing w:line="480" w:lineRule="auto"/>
              <w:rPr>
                <w:sz w:val="24"/>
                <w:szCs w:val="24"/>
              </w:rPr>
            </w:pPr>
            <w:r w:rsidRPr="00D765D3">
              <w:rPr>
                <w:sz w:val="24"/>
                <w:szCs w:val="24"/>
              </w:rPr>
              <w:t>Index of Multiple Deprivation</w:t>
            </w:r>
          </w:p>
        </w:tc>
      </w:tr>
      <w:tr w:rsidR="003C2C74" w:rsidRPr="00D765D3" w14:paraId="0B5F3A3C" w14:textId="77777777" w:rsidTr="003C2C74">
        <w:tc>
          <w:tcPr>
            <w:tcW w:w="4697" w:type="dxa"/>
          </w:tcPr>
          <w:p w14:paraId="0DB52DFB" w14:textId="75AC6AB4" w:rsidR="003C2C74" w:rsidRPr="00D765D3" w:rsidRDefault="003C2C74" w:rsidP="00D34244">
            <w:pPr>
              <w:spacing w:line="480" w:lineRule="auto"/>
              <w:rPr>
                <w:sz w:val="24"/>
                <w:szCs w:val="24"/>
              </w:rPr>
            </w:pPr>
            <w:r w:rsidRPr="00D765D3">
              <w:rPr>
                <w:sz w:val="24"/>
                <w:szCs w:val="24"/>
              </w:rPr>
              <w:t>SES</w:t>
            </w:r>
          </w:p>
        </w:tc>
        <w:tc>
          <w:tcPr>
            <w:tcW w:w="4697" w:type="dxa"/>
          </w:tcPr>
          <w:p w14:paraId="7AB1A04A" w14:textId="72866D34" w:rsidR="003C2C74" w:rsidRPr="00D765D3" w:rsidRDefault="003C2C74" w:rsidP="00D34244">
            <w:pPr>
              <w:spacing w:line="480" w:lineRule="auto"/>
              <w:rPr>
                <w:sz w:val="24"/>
                <w:szCs w:val="24"/>
              </w:rPr>
            </w:pPr>
            <w:r w:rsidRPr="00D765D3">
              <w:rPr>
                <w:sz w:val="24"/>
                <w:szCs w:val="24"/>
              </w:rPr>
              <w:t>Socio-economic Status</w:t>
            </w:r>
          </w:p>
        </w:tc>
      </w:tr>
      <w:tr w:rsidR="003C2C74" w:rsidRPr="00D765D3" w14:paraId="5A00116F" w14:textId="77777777" w:rsidTr="003C2C74">
        <w:tc>
          <w:tcPr>
            <w:tcW w:w="4697" w:type="dxa"/>
          </w:tcPr>
          <w:p w14:paraId="5F49D34E" w14:textId="273889D0" w:rsidR="003C2C74" w:rsidRPr="00D765D3" w:rsidRDefault="003C2C74" w:rsidP="00D34244">
            <w:pPr>
              <w:spacing w:line="480" w:lineRule="auto"/>
              <w:rPr>
                <w:sz w:val="24"/>
                <w:szCs w:val="24"/>
              </w:rPr>
            </w:pPr>
            <w:r w:rsidRPr="00D765D3">
              <w:rPr>
                <w:sz w:val="24"/>
                <w:szCs w:val="24"/>
              </w:rPr>
              <w:t>BVA</w:t>
            </w:r>
          </w:p>
        </w:tc>
        <w:tc>
          <w:tcPr>
            <w:tcW w:w="4697" w:type="dxa"/>
          </w:tcPr>
          <w:p w14:paraId="2E3C4A6D" w14:textId="583900EC" w:rsidR="003C2C74" w:rsidRPr="00D765D3" w:rsidRDefault="003C2C74" w:rsidP="00D34244">
            <w:pPr>
              <w:spacing w:line="480" w:lineRule="auto"/>
              <w:rPr>
                <w:sz w:val="24"/>
                <w:szCs w:val="24"/>
              </w:rPr>
            </w:pPr>
            <w:r w:rsidRPr="00D765D3">
              <w:rPr>
                <w:sz w:val="24"/>
                <w:szCs w:val="24"/>
              </w:rPr>
              <w:t>Baseline Visual Acuity</w:t>
            </w:r>
          </w:p>
        </w:tc>
      </w:tr>
      <w:tr w:rsidR="003C2C74" w:rsidRPr="00D765D3" w14:paraId="532FBC2F" w14:textId="77777777" w:rsidTr="003C2C74">
        <w:tc>
          <w:tcPr>
            <w:tcW w:w="4697" w:type="dxa"/>
          </w:tcPr>
          <w:p w14:paraId="07669B24" w14:textId="48956AE1" w:rsidR="003C2C74" w:rsidRPr="00D765D3" w:rsidRDefault="00A275CB" w:rsidP="00D34244">
            <w:pPr>
              <w:spacing w:line="480" w:lineRule="auto"/>
              <w:rPr>
                <w:sz w:val="24"/>
                <w:szCs w:val="24"/>
              </w:rPr>
            </w:pPr>
            <w:r w:rsidRPr="00D765D3">
              <w:rPr>
                <w:sz w:val="24"/>
                <w:szCs w:val="24"/>
              </w:rPr>
              <w:t>VA</w:t>
            </w:r>
          </w:p>
        </w:tc>
        <w:tc>
          <w:tcPr>
            <w:tcW w:w="4697" w:type="dxa"/>
          </w:tcPr>
          <w:p w14:paraId="065A59B2" w14:textId="79FF6AD9" w:rsidR="003C2C74" w:rsidRPr="00D765D3" w:rsidRDefault="00A275CB" w:rsidP="00D34244">
            <w:pPr>
              <w:spacing w:line="480" w:lineRule="auto"/>
              <w:rPr>
                <w:sz w:val="24"/>
                <w:szCs w:val="24"/>
              </w:rPr>
            </w:pPr>
            <w:r w:rsidRPr="00D765D3">
              <w:rPr>
                <w:sz w:val="24"/>
                <w:szCs w:val="24"/>
              </w:rPr>
              <w:t>Visual Acuity</w:t>
            </w:r>
          </w:p>
        </w:tc>
      </w:tr>
      <w:tr w:rsidR="00D602CF" w:rsidRPr="00D765D3" w14:paraId="5BBE0D99" w14:textId="77777777" w:rsidTr="003C2C74">
        <w:tc>
          <w:tcPr>
            <w:tcW w:w="4697" w:type="dxa"/>
          </w:tcPr>
          <w:p w14:paraId="4135239B" w14:textId="78187F0D" w:rsidR="00D602CF" w:rsidRPr="00D765D3" w:rsidRDefault="00D602CF" w:rsidP="00D34244">
            <w:pPr>
              <w:spacing w:line="480" w:lineRule="auto"/>
              <w:rPr>
                <w:sz w:val="24"/>
                <w:szCs w:val="24"/>
              </w:rPr>
            </w:pPr>
            <w:r w:rsidRPr="00D765D3">
              <w:rPr>
                <w:sz w:val="24"/>
                <w:szCs w:val="24"/>
              </w:rPr>
              <w:t>SEU</w:t>
            </w:r>
          </w:p>
        </w:tc>
        <w:tc>
          <w:tcPr>
            <w:tcW w:w="4697" w:type="dxa"/>
          </w:tcPr>
          <w:p w14:paraId="2EA3C4B5" w14:textId="1CE93B80" w:rsidR="00D602CF" w:rsidRPr="00D765D3" w:rsidRDefault="00D602CF" w:rsidP="00D34244">
            <w:pPr>
              <w:spacing w:line="480" w:lineRule="auto"/>
              <w:rPr>
                <w:sz w:val="24"/>
                <w:szCs w:val="24"/>
              </w:rPr>
            </w:pPr>
            <w:r w:rsidRPr="00D765D3">
              <w:rPr>
                <w:rFonts w:cs="Arial"/>
                <w:sz w:val="24"/>
                <w:szCs w:val="24"/>
              </w:rPr>
              <w:t>Southampton Eye Unit</w:t>
            </w:r>
          </w:p>
        </w:tc>
      </w:tr>
    </w:tbl>
    <w:p w14:paraId="792C21A0" w14:textId="77777777" w:rsidR="00D765D3" w:rsidRPr="006D0F8F" w:rsidRDefault="00D765D3" w:rsidP="00D34244">
      <w:pPr>
        <w:widowControl w:val="0"/>
        <w:tabs>
          <w:tab w:val="left" w:pos="198"/>
        </w:tabs>
        <w:spacing w:after="0" w:line="480" w:lineRule="auto"/>
        <w:rPr>
          <w:rFonts w:asciiTheme="minorHAnsi" w:hAnsiTheme="minorHAnsi" w:cs="Arial"/>
          <w:b/>
          <w:noProof/>
          <w:spacing w:val="4"/>
          <w:lang w:val="en-GB" w:eastAsia="en-GB"/>
        </w:rPr>
      </w:pPr>
    </w:p>
    <w:p w14:paraId="55099E7B" w14:textId="77777777" w:rsidR="0068441A" w:rsidRDefault="0068441A" w:rsidP="00D34244">
      <w:pPr>
        <w:spacing w:line="480" w:lineRule="auto"/>
        <w:rPr>
          <w:rFonts w:cs="Arial"/>
          <w:noProof/>
          <w:spacing w:val="4"/>
          <w:sz w:val="20"/>
          <w:szCs w:val="20"/>
          <w:lang w:val="en-GB" w:eastAsia="en-GB"/>
        </w:rPr>
      </w:pPr>
    </w:p>
    <w:p w14:paraId="67A3B7ED" w14:textId="14F40FCE" w:rsidR="0068441A" w:rsidRPr="00D765D3" w:rsidRDefault="0068441A" w:rsidP="00D34244">
      <w:pPr>
        <w:pStyle w:val="Heading1"/>
        <w:spacing w:line="480" w:lineRule="auto"/>
        <w:rPr>
          <w:sz w:val="24"/>
          <w:szCs w:val="24"/>
        </w:rPr>
      </w:pPr>
      <w:r w:rsidRPr="00D765D3">
        <w:rPr>
          <w:sz w:val="24"/>
          <w:szCs w:val="24"/>
        </w:rPr>
        <w:t>Introduction</w:t>
      </w:r>
    </w:p>
    <w:p w14:paraId="720F0AB4" w14:textId="77777777" w:rsidR="0068441A" w:rsidRPr="00D765D3" w:rsidRDefault="0068441A" w:rsidP="00D34244">
      <w:pPr>
        <w:spacing w:line="480" w:lineRule="auto"/>
        <w:rPr>
          <w:sz w:val="24"/>
          <w:szCs w:val="24"/>
        </w:rPr>
      </w:pPr>
    </w:p>
    <w:p w14:paraId="0C0C2F2A" w14:textId="7F83473F" w:rsidR="00EF13CC" w:rsidRPr="00D765D3" w:rsidRDefault="00A96352" w:rsidP="00D34244">
      <w:pPr>
        <w:spacing w:line="480" w:lineRule="auto"/>
        <w:rPr>
          <w:rFonts w:cs="Arial"/>
          <w:sz w:val="24"/>
          <w:szCs w:val="24"/>
        </w:rPr>
      </w:pPr>
      <w:bookmarkStart w:id="1" w:name="_Hlk505684194"/>
      <w:r w:rsidRPr="00D765D3">
        <w:rPr>
          <w:rFonts w:cs="Arial"/>
          <w:noProof/>
          <w:spacing w:val="4"/>
          <w:sz w:val="24"/>
          <w:szCs w:val="24"/>
          <w:lang w:val="en-GB" w:eastAsia="en-GB"/>
        </w:rPr>
        <w:t>In UK, there are approximately 1.8 million people living with substantial sight loss, of which 16.7%</w:t>
      </w:r>
      <w:r w:rsidRPr="00D765D3">
        <w:rPr>
          <w:rFonts w:cs="Arial"/>
          <w:sz w:val="24"/>
          <w:szCs w:val="24"/>
        </w:rPr>
        <w:t xml:space="preserve"> are due to age related macular degeneration</w:t>
      </w:r>
      <w:r w:rsidR="007160FC">
        <w:rPr>
          <w:rFonts w:cs="Arial"/>
          <w:sz w:val="24"/>
          <w:szCs w:val="24"/>
        </w:rPr>
        <w:t xml:space="preserve"> </w:t>
      </w:r>
      <w:r w:rsidRPr="00D765D3">
        <w:rPr>
          <w:rFonts w:cs="Arial"/>
          <w:sz w:val="24"/>
          <w:szCs w:val="24"/>
        </w:rPr>
        <w:t>(AMD)</w:t>
      </w:r>
      <w:r w:rsidRPr="00D765D3">
        <w:rPr>
          <w:rFonts w:cs="Arial"/>
          <w:sz w:val="24"/>
          <w:szCs w:val="24"/>
        </w:rPr>
        <w:fldChar w:fldCharType="begin" w:fldLock="1"/>
      </w:r>
      <w:r w:rsidR="00157587">
        <w:rPr>
          <w:rFonts w:cs="Arial"/>
          <w:sz w:val="24"/>
          <w:szCs w:val="24"/>
        </w:rPr>
        <w:instrText>ADDIN CSL_CITATION { "citationItems" : [ { "id" : "ITEM-1", "itemData" : { "author" : [ { "dropping-particle" : "", "family" : "Access Economics", "given" : "", "non-dropping-particle" : "", "parse-names" : false, "suffix" : "" } ], "id" : "ITEM-1", "issued" : { "date-parts" : [ [ "2009" ] ] }, "title" : "Future cost of sight loss UK (1): Economic impact of partial sight and blindness in the UK adult population", "type" : "report" }, "uris" : [ "http://www.mendeley.com/documents/?uuid=4bd370ec-c62c-4f26-85b9-5c76a0ccf57d" ] } ], "mendeley" : { "formattedCitation" : "&lt;sup&gt;1&lt;/sup&gt;", "plainTextFormattedCitation" : "1", "previouslyFormattedCitation" : "&lt;sup&gt;1&lt;/sup&gt;" }, "properties" : { "noteIndex" : 0 }, "schema" : "https://github.com/citation-style-language/schema/raw/master/csl-citation.json" }</w:instrText>
      </w:r>
      <w:r w:rsidRPr="00D765D3">
        <w:rPr>
          <w:rFonts w:cs="Arial"/>
          <w:sz w:val="24"/>
          <w:szCs w:val="24"/>
        </w:rPr>
        <w:fldChar w:fldCharType="separate"/>
      </w:r>
      <w:r w:rsidRPr="00D765D3">
        <w:rPr>
          <w:rFonts w:cs="Arial"/>
          <w:noProof/>
          <w:sz w:val="24"/>
          <w:szCs w:val="24"/>
          <w:vertAlign w:val="superscript"/>
        </w:rPr>
        <w:t>1</w:t>
      </w:r>
      <w:r w:rsidRPr="00D765D3">
        <w:rPr>
          <w:rFonts w:cs="Arial"/>
          <w:sz w:val="24"/>
          <w:szCs w:val="24"/>
        </w:rPr>
        <w:fldChar w:fldCharType="end"/>
      </w:r>
      <w:r w:rsidRPr="00D765D3">
        <w:rPr>
          <w:rFonts w:cs="Arial"/>
          <w:sz w:val="24"/>
          <w:szCs w:val="24"/>
        </w:rPr>
        <w:t>. There are around 70000 newly diagnosed cases of late (dry and wet) AMD every year</w:t>
      </w:r>
      <w:r w:rsidR="00AE488B">
        <w:rPr>
          <w:rFonts w:cs="Arial"/>
          <w:sz w:val="24"/>
          <w:szCs w:val="24"/>
        </w:rPr>
        <w:t xml:space="preserve"> in UK</w:t>
      </w:r>
      <w:r w:rsidRPr="00D765D3">
        <w:rPr>
          <w:rFonts w:cs="Arial"/>
          <w:sz w:val="24"/>
          <w:szCs w:val="24"/>
        </w:rPr>
        <w:fldChar w:fldCharType="begin" w:fldLock="1"/>
      </w:r>
      <w:r w:rsidRPr="00D765D3">
        <w:rPr>
          <w:rFonts w:cs="Arial"/>
          <w:sz w:val="24"/>
          <w:szCs w:val="24"/>
        </w:rPr>
        <w:instrText>ADDIN CSL_CITATION { "citationItems" : [ { "id" : "ITEM-1", "itemData" : { "DOI" : "10.1136/bjophthalmol-2011-301109", "ISSN" : "0007-1161", "author" : [ { "dropping-particle" : "", "family" : "Owen", "given" : "C G", "non-dropping-particle" : "", "parse-names" : false, "suffix" : "" }, { "dropping-particle" : "", "family" : "Jarrar", "given" : "Z", "non-dropping-particle" : "", "parse-names" : false, "suffix" : "" }, { "dropping-particle" : "", "family" : "Wormald", "given" : "R", "non-dropping-particle" : "", "parse-names" : false, "suffix" : "" }, { "dropping-particle" : "", "family" : "Cook", "given" : "D G", "non-dropping-particle" : "", "parse-names" : false, "suffix" : "" }, { "dropping-particle" : "", "family" : "Fletcher", "given" : "A E", "non-dropping-particle" : "", "parse-names" : false, "suffix" : "" }, { "dropping-particle" : "", "family" : "Rudnicka", "given" : "A R", "non-dropping-particle" : "", "parse-names" : false, "suffix" : "" } ], "container-title" : "Br J Ophthalmol", "id" : "ITEM-1", "issue" : "5", "issued" : { "date-parts" : [ [ "2012" ] ] }, "page" : "752-756", "title" : "The estimated prevalence and incidence of late stage age related macular degeneration in the UK", "type" : "article-journal", "volume" : "96" }, "uris" : [ "http://www.mendeley.com/documents/?uuid=2b0e3a79-7f09-4bc2-92b8-9b1cfc7af70a" ] } ], "mendeley" : { "formattedCitation" : "&lt;sup&gt;2&lt;/sup&gt;", "plainTextFormattedCitation" : "2", "previouslyFormattedCitation" : "&lt;sup&gt;2&lt;/sup&gt;" }, "properties" : { "noteIndex" : 0 }, "schema" : "https://github.com/citation-style-language/schema/raw/master/csl-citation.json" }</w:instrText>
      </w:r>
      <w:r w:rsidRPr="00D765D3">
        <w:rPr>
          <w:rFonts w:cs="Arial"/>
          <w:sz w:val="24"/>
          <w:szCs w:val="24"/>
        </w:rPr>
        <w:fldChar w:fldCharType="separate"/>
      </w:r>
      <w:r w:rsidRPr="00D765D3">
        <w:rPr>
          <w:rFonts w:cs="Arial"/>
          <w:noProof/>
          <w:sz w:val="24"/>
          <w:szCs w:val="24"/>
          <w:vertAlign w:val="superscript"/>
        </w:rPr>
        <w:t>2</w:t>
      </w:r>
      <w:r w:rsidRPr="00D765D3">
        <w:rPr>
          <w:rFonts w:cs="Arial"/>
          <w:sz w:val="24"/>
          <w:szCs w:val="24"/>
        </w:rPr>
        <w:fldChar w:fldCharType="end"/>
      </w:r>
      <w:r w:rsidRPr="00D765D3">
        <w:rPr>
          <w:rFonts w:cs="Arial"/>
          <w:sz w:val="24"/>
          <w:szCs w:val="24"/>
        </w:rPr>
        <w:t>. Older age is the most important determinant of AMD</w:t>
      </w:r>
      <w:r w:rsidRPr="00D765D3">
        <w:rPr>
          <w:rFonts w:cs="Arial"/>
          <w:sz w:val="24"/>
          <w:szCs w:val="24"/>
        </w:rPr>
        <w:fldChar w:fldCharType="begin" w:fldLock="1"/>
      </w:r>
      <w:r w:rsidRPr="00D765D3">
        <w:rPr>
          <w:rFonts w:cs="Arial"/>
          <w:sz w:val="24"/>
          <w:szCs w:val="24"/>
        </w:rPr>
        <w:instrText>ADDIN CSL_CITATION { "citationItems" : [ { "id" : "ITEM-1", "itemData" : { "DOI" : "10.1186/1471-2415-10-31", "ISSN" : "1471-2415", "author" : [ { "dropping-particle" : "", "family" : "Chakravarthy", "given" : "U", "non-dropping-particle" : "", "parse-names" : false, "suffix" : "" }, { "dropping-particle" : "", "family" : "Wong", "given" : "T Y", "non-dropping-particle" : "", "parse-names" : false, "suffix" : "" }, { "dropping-particle" : "", "family" : "Fletcher", "given" : "A", "non-dropping-particle" : "", "parse-names" : false, "suffix" : "" }, { "dropping-particle" : "", "family" : "Piault", "given" : "E", "non-dropping-particle" : "", "parse-names" : false, "suffix" : "" }, { "dropping-particle" : "", "family" : "Evans", "given" : "C", "non-dropping-particle" : "", "parse-names" : false, "suffix" : "" }, { "dropping-particle" : "", "family" : "Zlateva", "given" : "G", "non-dropping-particle" : "", "parse-names" : false, "suffix" : "" }, { "dropping-particle" : "", "family" : "Buggage", "given" : "R", "non-dropping-particle" : "", "parse-names" : false, "suffix" : "" }, { "dropping-particle" : "", "family" : "Pleil", "given" : "A", "non-dropping-particle" : "", "parse-names" : false, "suffix" : "" }, { "dropping-particle" : "", "family" : "Mitchell", "given" : "P", "non-dropping-particle" : "", "parse-names" : false, "suffix" : "" } ], "container-title" : "BMC Ophthalmol", "id" : "ITEM-1", "issued" : { "date-parts" : [ [ "2010" ] ] }, "page" : "31", "title" : "Clinical risk factors for age-related macular degeneration: a systematic review and meta-analysis", "type" : "article-journal", "volume" : "10" }, "uris" : [ "http://www.mendeley.com/documents/?uuid=f316921e-f522-4bba-a795-85ae0d4d6956" ] } ], "mendeley" : { "formattedCitation" : "&lt;sup&gt;3&lt;/sup&gt;", "plainTextFormattedCitation" : "3", "previouslyFormattedCitation" : "&lt;sup&gt;3&lt;/sup&gt;" }, "properties" : { "noteIndex" : 0 }, "schema" : "https://github.com/citation-style-language/schema/raw/master/csl-citation.json" }</w:instrText>
      </w:r>
      <w:r w:rsidRPr="00D765D3">
        <w:rPr>
          <w:rFonts w:cs="Arial"/>
          <w:sz w:val="24"/>
          <w:szCs w:val="24"/>
        </w:rPr>
        <w:fldChar w:fldCharType="separate"/>
      </w:r>
      <w:r w:rsidRPr="00D765D3">
        <w:rPr>
          <w:rFonts w:cs="Arial"/>
          <w:noProof/>
          <w:sz w:val="24"/>
          <w:szCs w:val="24"/>
          <w:vertAlign w:val="superscript"/>
        </w:rPr>
        <w:t>3</w:t>
      </w:r>
      <w:r w:rsidRPr="00D765D3">
        <w:rPr>
          <w:rFonts w:cs="Arial"/>
          <w:sz w:val="24"/>
          <w:szCs w:val="24"/>
        </w:rPr>
        <w:fldChar w:fldCharType="end"/>
      </w:r>
      <w:r w:rsidRPr="00D765D3">
        <w:rPr>
          <w:rFonts w:cs="Arial"/>
          <w:sz w:val="24"/>
          <w:szCs w:val="24"/>
        </w:rPr>
        <w:t xml:space="preserve">. </w:t>
      </w:r>
      <w:r w:rsidR="00626FF5">
        <w:rPr>
          <w:rFonts w:cs="Arial"/>
          <w:sz w:val="24"/>
          <w:szCs w:val="24"/>
        </w:rPr>
        <w:t>In addition, there are other modifiable risk factors</w:t>
      </w:r>
      <w:r w:rsidR="005F239D">
        <w:rPr>
          <w:rFonts w:cs="Arial"/>
          <w:sz w:val="24"/>
          <w:szCs w:val="24"/>
        </w:rPr>
        <w:t>,</w:t>
      </w:r>
      <w:r w:rsidR="00626FF5">
        <w:rPr>
          <w:rFonts w:cs="Arial"/>
          <w:sz w:val="24"/>
          <w:szCs w:val="24"/>
        </w:rPr>
        <w:t xml:space="preserve"> </w:t>
      </w:r>
      <w:r w:rsidR="00777B6E">
        <w:rPr>
          <w:rFonts w:cs="Arial"/>
          <w:sz w:val="24"/>
          <w:szCs w:val="24"/>
        </w:rPr>
        <w:t>particularly</w:t>
      </w:r>
      <w:r w:rsidR="00626FF5">
        <w:rPr>
          <w:rFonts w:cs="Arial"/>
          <w:sz w:val="24"/>
          <w:szCs w:val="24"/>
        </w:rPr>
        <w:t xml:space="preserve"> smoking</w:t>
      </w:r>
      <w:r w:rsidR="00626FF5">
        <w:rPr>
          <w:rFonts w:cs="Arial"/>
          <w:sz w:val="24"/>
          <w:szCs w:val="24"/>
        </w:rPr>
        <w:fldChar w:fldCharType="begin" w:fldLock="1"/>
      </w:r>
      <w:r w:rsidR="002D42B4">
        <w:rPr>
          <w:rFonts w:cs="Arial"/>
          <w:sz w:val="24"/>
          <w:szCs w:val="24"/>
        </w:rPr>
        <w:instrText>ADDIN CSL_CITATION { "citationItems" : [ { "id" : "ITEM-1", "itemData" : { "DOI" : "10.1186/1471-2415-10-31", "ISSN" : "1471-2415", "author" : [ { "dropping-particle" : "", "family" : "Chakravarthy", "given" : "U", "non-dropping-particle" : "", "parse-names" : false, "suffix" : "" }, { "dropping-particle" : "", "family" : "Wong", "given" : "T Y", "non-dropping-particle" : "", "parse-names" : false, "suffix" : "" }, { "dropping-particle" : "", "family" : "Fletcher", "given" : "A", "non-dropping-particle" : "", "parse-names" : false, "suffix" : "" }, { "dropping-particle" : "", "family" : "Piault", "given" : "E", "non-dropping-particle" : "", "parse-names" : false, "suffix" : "" }, { "dropping-particle" : "", "family" : "Evans", "given" : "C", "non-dropping-particle" : "", "parse-names" : false, "suffix" : "" }, { "dropping-particle" : "", "family" : "Zlateva", "given" : "G", "non-dropping-particle" : "", "parse-names" : false, "suffix" : "" }, { "dropping-particle" : "", "family" : "Buggage", "given" : "R", "non-dropping-particle" : "", "parse-names" : false, "suffix" : "" }, { "dropping-particle" : "", "family" : "Pleil", "given" : "A", "non-dropping-particle" : "", "parse-names" : false, "suffix" : "" }, { "dropping-particle" : "", "family" : "Mitchell", "given" : "P", "non-dropping-particle" : "", "parse-names" : false, "suffix" : "" } ], "container-title" : "BMC Ophthalmol", "id" : "ITEM-1", "issued" : { "date-parts" : [ [ "2010" ] ] }, "page" : "31", "title" : "Clinical risk factors for age-related macular degeneration: a systematic review and meta-analysis", "type" : "article-journal", "volume" : "10" }, "uris" : [ "http://www.mendeley.com/documents/?uuid=f316921e-f522-4bba-a795-85ae0d4d6956" ] } ], "mendeley" : { "formattedCitation" : "&lt;sup&gt;3&lt;/sup&gt;", "plainTextFormattedCitation" : "3", "previouslyFormattedCitation" : "&lt;sup&gt;3&lt;/sup&gt;" }, "properties" : { "noteIndex" : 0 }, "schema" : "https://github.com/citation-style-language/schema/raw/master/csl-citation.json" }</w:instrText>
      </w:r>
      <w:r w:rsidR="00626FF5">
        <w:rPr>
          <w:rFonts w:cs="Arial"/>
          <w:sz w:val="24"/>
          <w:szCs w:val="24"/>
        </w:rPr>
        <w:fldChar w:fldCharType="separate"/>
      </w:r>
      <w:r w:rsidR="00626FF5" w:rsidRPr="00626FF5">
        <w:rPr>
          <w:rFonts w:cs="Arial"/>
          <w:noProof/>
          <w:sz w:val="24"/>
          <w:szCs w:val="24"/>
          <w:vertAlign w:val="superscript"/>
        </w:rPr>
        <w:t>3</w:t>
      </w:r>
      <w:r w:rsidR="00626FF5">
        <w:rPr>
          <w:rFonts w:cs="Arial"/>
          <w:sz w:val="24"/>
          <w:szCs w:val="24"/>
        </w:rPr>
        <w:fldChar w:fldCharType="end"/>
      </w:r>
      <w:r w:rsidR="00626FF5">
        <w:rPr>
          <w:rFonts w:cs="Arial"/>
          <w:sz w:val="24"/>
          <w:szCs w:val="24"/>
        </w:rPr>
        <w:t xml:space="preserve">. </w:t>
      </w:r>
      <w:r w:rsidRPr="00D765D3">
        <w:rPr>
          <w:rFonts w:cs="Arial"/>
          <w:sz w:val="24"/>
          <w:szCs w:val="24"/>
        </w:rPr>
        <w:t>Due to</w:t>
      </w:r>
      <w:r w:rsidR="003F6891">
        <w:rPr>
          <w:rFonts w:cs="Arial"/>
          <w:sz w:val="24"/>
          <w:szCs w:val="24"/>
        </w:rPr>
        <w:t xml:space="preserve"> </w:t>
      </w:r>
      <w:r w:rsidR="00626FF5">
        <w:rPr>
          <w:rFonts w:cs="Arial"/>
          <w:sz w:val="24"/>
          <w:szCs w:val="24"/>
        </w:rPr>
        <w:t>these determinant factors</w:t>
      </w:r>
      <w:r w:rsidRPr="00D765D3">
        <w:rPr>
          <w:rFonts w:cs="Arial"/>
          <w:sz w:val="24"/>
          <w:szCs w:val="24"/>
        </w:rPr>
        <w:t>, both incidence and prevalence are likely to rise globally</w:t>
      </w:r>
      <w:r w:rsidRPr="00D765D3">
        <w:rPr>
          <w:rFonts w:cs="Arial"/>
          <w:sz w:val="24"/>
          <w:szCs w:val="24"/>
        </w:rPr>
        <w:fldChar w:fldCharType="begin" w:fldLock="1"/>
      </w:r>
      <w:r w:rsidRPr="00D765D3">
        <w:rPr>
          <w:rFonts w:cs="Arial"/>
          <w:sz w:val="24"/>
          <w:szCs w:val="24"/>
        </w:rPr>
        <w:instrText>ADDIN CSL_CITATION { "citationItems" : [ { "id" : "ITEM-1", "itemData" : { "URL" : "https://www.ons.gov.uk/peoplepopulationandcommunity/populationandmigration/populationprojections/bulletins/nationalpopulationprojections/2015-10-29", "accessed" : { "date-parts" : [ [ "2017", "10", "10" ] ] }, "id" : "ITEM-1", "issued" : { "date-parts" : [ [ "0" ] ] }, "title" : "National Population Projections - Office for National Statistics", "type" : "webpage" }, "uris" : [ "http://www.mendeley.com/documents/?uuid=7bbd2236-b977-38b5-abda-47bacd1ae91b" ] } ], "mendeley" : { "formattedCitation" : "&lt;sup&gt;4&lt;/sup&gt;", "plainTextFormattedCitation" : "4", "previouslyFormattedCitation" : "&lt;sup&gt;4&lt;/sup&gt;" }, "properties" : { "noteIndex" : 0 }, "schema" : "https://github.com/citation-style-language/schema/raw/master/csl-citation.json" }</w:instrText>
      </w:r>
      <w:r w:rsidRPr="00D765D3">
        <w:rPr>
          <w:rFonts w:cs="Arial"/>
          <w:sz w:val="24"/>
          <w:szCs w:val="24"/>
        </w:rPr>
        <w:fldChar w:fldCharType="separate"/>
      </w:r>
      <w:r w:rsidRPr="00D765D3">
        <w:rPr>
          <w:rFonts w:cs="Arial"/>
          <w:noProof/>
          <w:sz w:val="24"/>
          <w:szCs w:val="24"/>
          <w:vertAlign w:val="superscript"/>
        </w:rPr>
        <w:t>4</w:t>
      </w:r>
      <w:r w:rsidRPr="00D765D3">
        <w:rPr>
          <w:rFonts w:cs="Arial"/>
          <w:sz w:val="24"/>
          <w:szCs w:val="24"/>
        </w:rPr>
        <w:fldChar w:fldCharType="end"/>
      </w:r>
      <w:r w:rsidRPr="00D765D3">
        <w:rPr>
          <w:rFonts w:cs="Arial"/>
          <w:sz w:val="24"/>
          <w:szCs w:val="24"/>
        </w:rPr>
        <w:t xml:space="preserve"> </w:t>
      </w:r>
      <w:r w:rsidRPr="00D765D3">
        <w:rPr>
          <w:rFonts w:cs="Arial"/>
          <w:sz w:val="24"/>
          <w:szCs w:val="24"/>
        </w:rPr>
        <w:fldChar w:fldCharType="begin" w:fldLock="1"/>
      </w:r>
      <w:r w:rsidR="00505D4D">
        <w:rPr>
          <w:rFonts w:cs="Arial"/>
          <w:sz w:val="24"/>
          <w:szCs w:val="24"/>
        </w:rPr>
        <w:instrText>ADDIN CSL_CITATION { "citationItems" : [ { "id" : "ITEM-1", "itemData" : { "DOI" : "10.1016/s2214-109x(13)70145-1", "ISSN" : "2214-109x", "author" : [ { "dropping-particle" : "", "family" : "Wong", "given" : "W L", "non-dropping-particle" : "", "parse-names" : false, "suffix" : "" }, { "dropping-particle" : "", "family" : "Su", "given" : "X", "non-dropping-particle" : "", "parse-names" : false, "suffix" : "" }, { "dropping-particle" : "", "family" : "Li", "given" : "X", "non-dropping-particle" : "", "parse-names" : false, "suffix" : "" }, { "dropping-particle" : "", "family" : "Cheung", "given" : "C M", "non-dropping-particle" : "", "parse-names" : false, "suffix" : "" }, { "dropping-particle" : "", "family" : "Klein", "given" : "R", "non-dropping-particle" : "", "parse-names" : false, "suffix" : "" }, { "dropping-particle" : "", "family" : "Cheng", "given" : "C Y", "non-dropping-particle" : "", "parse-names" : false, "suffix" : "" }, { "dropping-particle" : "", "family" : "Wong", "given" : "T Y", "non-dropping-particle" : "", "parse-names" : false, "suffix" : "" } ], "container-title" : "Lancet Glob Health", "id" : "ITEM-1", "issue" : "2", "issued" : { "date-parts" : [ [ "2014" ] ] }, "page" : "106-16", "title" : "Global prevalence of age-related macular degeneration and disease burden projection for 2020 and 2040: a systematic review and meta-analysis", "type" : "article-journal", "volume" : "2" }, "uris" : [ "http://www.mendeley.com/documents/?uuid=c1a6d8a0-676d-4f1e-bc8c-683d2875f711" ] } ], "mendeley" : { "formattedCitation" : "&lt;sup&gt;5&lt;/sup&gt;", "plainTextFormattedCitation" : "5", "previouslyFormattedCitation" : "&lt;sup&gt;5&lt;/sup&gt;" }, "properties" : { "noteIndex" : 0 }, "schema" : "https://github.com/citation-style-language/schema/raw/master/csl-citation.json" }</w:instrText>
      </w:r>
      <w:r w:rsidRPr="00D765D3">
        <w:rPr>
          <w:rFonts w:cs="Arial"/>
          <w:sz w:val="24"/>
          <w:szCs w:val="24"/>
        </w:rPr>
        <w:fldChar w:fldCharType="separate"/>
      </w:r>
      <w:r w:rsidRPr="00D765D3">
        <w:rPr>
          <w:rFonts w:cs="Arial"/>
          <w:noProof/>
          <w:sz w:val="24"/>
          <w:szCs w:val="24"/>
          <w:vertAlign w:val="superscript"/>
        </w:rPr>
        <w:t>5</w:t>
      </w:r>
      <w:r w:rsidRPr="00D765D3">
        <w:rPr>
          <w:rFonts w:cs="Arial"/>
          <w:sz w:val="24"/>
          <w:szCs w:val="24"/>
        </w:rPr>
        <w:fldChar w:fldCharType="end"/>
      </w:r>
      <w:r w:rsidRPr="00D765D3">
        <w:rPr>
          <w:rFonts w:cs="Arial"/>
          <w:sz w:val="24"/>
          <w:szCs w:val="24"/>
        </w:rPr>
        <w:t xml:space="preserve">. </w:t>
      </w:r>
      <w:r w:rsidR="00ED27E7" w:rsidRPr="00D765D3">
        <w:rPr>
          <w:rFonts w:cs="Arial"/>
          <w:sz w:val="24"/>
          <w:szCs w:val="24"/>
        </w:rPr>
        <w:t>AMD is the biggest single cause of sight loss in UK</w:t>
      </w:r>
      <w:r w:rsidR="00ED27E7" w:rsidRPr="00D765D3">
        <w:rPr>
          <w:rFonts w:cs="Arial"/>
          <w:sz w:val="24"/>
          <w:szCs w:val="24"/>
        </w:rPr>
        <w:fldChar w:fldCharType="begin" w:fldLock="1"/>
      </w:r>
      <w:r w:rsidR="00157587">
        <w:rPr>
          <w:rFonts w:cs="Arial"/>
          <w:sz w:val="24"/>
          <w:szCs w:val="24"/>
        </w:rPr>
        <w:instrText>ADDIN CSL_CITATION { "citationItems" : [ { "id" : "ITEM-1", "itemData" : { "author" : [ { "dropping-particle" : "", "family" : "Access Economics", "given" : "", "non-dropping-particle" : "", "parse-names" : false, "suffix" : "" } ], "id" : "ITEM-1", "issued" : { "date-parts" : [ [ "2009" ] ] }, "title" : "Future cost of sight loss UK (1): Economic impact of partial sight and blindness in the UK adult population", "type" : "report" }, "uris" : [ "http://www.mendeley.com/documents/?uuid=4bd370ec-c62c-4f26-85b9-5c76a0ccf57d" ] } ], "mendeley" : { "formattedCitation" : "&lt;sup&gt;1&lt;/sup&gt;", "plainTextFormattedCitation" : "1", "previouslyFormattedCitation" : "&lt;sup&gt;1&lt;/sup&gt;"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1</w:t>
      </w:r>
      <w:r w:rsidR="00ED27E7" w:rsidRPr="00D765D3">
        <w:rPr>
          <w:rFonts w:cs="Arial"/>
          <w:sz w:val="24"/>
          <w:szCs w:val="24"/>
        </w:rPr>
        <w:fldChar w:fldCharType="end"/>
      </w:r>
      <w:r w:rsidR="00ED27E7" w:rsidRPr="00D765D3">
        <w:rPr>
          <w:rFonts w:cs="Arial"/>
          <w:sz w:val="24"/>
          <w:szCs w:val="24"/>
        </w:rPr>
        <w:t>. Along with sight loss, AMD impact includes depression, social isolation, falls, increased cost due to assistive needs and home support</w:t>
      </w:r>
      <w:r w:rsidR="00ED27E7" w:rsidRPr="00D765D3">
        <w:rPr>
          <w:rFonts w:cs="Arial"/>
          <w:sz w:val="24"/>
          <w:szCs w:val="24"/>
        </w:rPr>
        <w:fldChar w:fldCharType="begin" w:fldLock="1"/>
      </w:r>
      <w:r w:rsidR="00ED27E7" w:rsidRPr="00D765D3">
        <w:rPr>
          <w:rFonts w:cs="Arial"/>
          <w:sz w:val="24"/>
          <w:szCs w:val="24"/>
        </w:rPr>
        <w:instrText>ADDIN CSL_CITATION { "citationItems" : [ { "id" : "ITEM-1", "itemData" : { "author" : [ { "dropping-particle" : "", "family" : "Macular Society", "given" : "", "non-dropping-particle" : "", "parse-names" : false, "suffix" : "" } ], "id" : "ITEM-1", "issued" : { "date-parts" : [ [ "2016" ] ] }, "title" : "Age-related macular degeneration: collaborating to find a cure", "type" : "article-journal" }, "uris" : [ "http://www.mendeley.com/documents/?uuid=54a530fa-dcc9-3cc5-9efc-eb7f317cb714" ] } ], "mendeley" : { "formattedCitation" : "&lt;sup&gt;6&lt;/sup&gt;", "plainTextFormattedCitation" : "6", "previouslyFormattedCitation" : "&lt;sup&gt;6&lt;/sup&gt;"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6</w:t>
      </w:r>
      <w:r w:rsidR="00ED27E7" w:rsidRPr="00D765D3">
        <w:rPr>
          <w:rFonts w:cs="Arial"/>
          <w:sz w:val="24"/>
          <w:szCs w:val="24"/>
        </w:rPr>
        <w:fldChar w:fldCharType="end"/>
      </w:r>
      <w:r w:rsidR="00ED27E7" w:rsidRPr="00D765D3">
        <w:rPr>
          <w:rFonts w:cs="Arial"/>
          <w:sz w:val="24"/>
          <w:szCs w:val="24"/>
        </w:rPr>
        <w:t xml:space="preserve"> </w:t>
      </w:r>
      <w:r w:rsidR="00ED27E7" w:rsidRPr="00D765D3">
        <w:rPr>
          <w:rFonts w:cs="Arial"/>
          <w:sz w:val="24"/>
          <w:szCs w:val="24"/>
        </w:rPr>
        <w:fldChar w:fldCharType="begin" w:fldLock="1"/>
      </w:r>
      <w:r w:rsidR="009030EB">
        <w:rPr>
          <w:rFonts w:cs="Arial"/>
          <w:sz w:val="24"/>
          <w:szCs w:val="24"/>
        </w:rPr>
        <w:instrText>ADDIN CSL_CITATION { "citationItems" : [ { "id" : "ITEM-1", "itemData" : { "URL" : "http://www.rnib.org.uk/sites/default/files/Circumstances_sight_loss_report.pdf", "accessed" : { "date-parts" : [ [ "2017", "11", "11" ] ] }, "author" : [ { "dropping-particle" : "", "family" : "McManus", "given" : "Sally", "non-dropping-particle" : "", "parse-names" : false, "suffix" : "" }, { "dropping-particle" : "", "family" : "Lord", "given" : "Chris", "non-dropping-particle" : "", "parse-names" : false, "suffix" : "" } ], "container-title" : "National Centre for Social Research", "id" : "ITEM-1", "issued" : { "date-parts" : [ [ "2012" ] ] }, "title" : "Circumstances of people with sight loss. Secondary analysis of Understanding. Society the Life and Opportunities", "type" : "webpage" }, "uris" : [ "http://www.mendeley.com/documents/?uuid=2bed41f6-3558-4fbe-b783-19bc537b2e27" ] } ], "mendeley" : { "formattedCitation" : "&lt;sup&gt;7&lt;/sup&gt;", "plainTextFormattedCitation" : "7", "previouslyFormattedCitation" : "&lt;sup&gt;7&lt;/sup&gt;"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7</w:t>
      </w:r>
      <w:r w:rsidR="00ED27E7" w:rsidRPr="00D765D3">
        <w:rPr>
          <w:rFonts w:cs="Arial"/>
          <w:sz w:val="24"/>
          <w:szCs w:val="24"/>
        </w:rPr>
        <w:fldChar w:fldCharType="end"/>
      </w:r>
      <w:r w:rsidR="00ED27E7" w:rsidRPr="00D765D3">
        <w:rPr>
          <w:rFonts w:cs="Arial"/>
          <w:sz w:val="24"/>
          <w:szCs w:val="24"/>
        </w:rPr>
        <w:t xml:space="preserve"> </w:t>
      </w:r>
      <w:r w:rsidR="00ED27E7" w:rsidRPr="00D765D3">
        <w:rPr>
          <w:rFonts w:cs="Arial"/>
          <w:sz w:val="24"/>
          <w:szCs w:val="24"/>
        </w:rPr>
        <w:fldChar w:fldCharType="begin" w:fldLock="1"/>
      </w:r>
      <w:r w:rsidR="00107CAF">
        <w:rPr>
          <w:rFonts w:cs="Arial"/>
          <w:sz w:val="24"/>
          <w:szCs w:val="24"/>
        </w:rPr>
        <w:instrText>ADDIN CSL_CITATION { "citationItems" : [ { "id" : "ITEM-1", "itemData" : { "ISSN" : "0007-1161 (Print) 0007-1161", "author" : [ { "dropping-particle" : "", "family" : "Owen", "given" : "C G", "non-dropping-particle" : "", "parse-names" : false, "suffix" : "" }, { "dropping-particle" : "", "family" : "Fletcher", "given" : "A E", "non-dropping-particle" : "", "parse-names" : false, "suffix" : "" }, { "dropping-particle" : "", "family" : "Donoghue", "given" : "M", "non-dropping-particle" : "", "parse-names" : false, "suffix" : "" }, { "dropping-particle" : "", "family" : "Rudnicka", "given" : "A R", "non-dropping-particle" : "", "parse-names" : false, "suffix" : "" } ], "container-title" : "Br J Ophthalmol", "id" : "ITEM-1", "issue" : "3", "issued" : { "date-parts" : [ [ "2003" ] ] }, "page" : "312-317", "title" : "How big is the burden of visual loss caused by age related macular degeneration in the United Kingdom?", "type" : "article-journal", "volume" : "87" }, "uris" : [ "http://www.mendeley.com/documents/?uuid=0c7d98a3-3dd0-48df-9bbc-c0b903b68b5e" ] } ], "mendeley" : { "formattedCitation" : "&lt;sup&gt;8&lt;/sup&gt;", "plainTextFormattedCitation" : "8", "previouslyFormattedCitation" : "&lt;sup&gt;8&lt;/sup&gt;"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8</w:t>
      </w:r>
      <w:r w:rsidR="00ED27E7" w:rsidRPr="00D765D3">
        <w:rPr>
          <w:rFonts w:cs="Arial"/>
          <w:sz w:val="24"/>
          <w:szCs w:val="24"/>
        </w:rPr>
        <w:fldChar w:fldCharType="end"/>
      </w:r>
      <w:r w:rsidR="00ED27E7" w:rsidRPr="00D765D3">
        <w:rPr>
          <w:rFonts w:cs="Arial"/>
          <w:sz w:val="24"/>
          <w:szCs w:val="24"/>
        </w:rPr>
        <w:t xml:space="preserve"> </w:t>
      </w:r>
      <w:r w:rsidR="00ED27E7" w:rsidRPr="00D765D3">
        <w:rPr>
          <w:rFonts w:cs="Arial"/>
          <w:sz w:val="24"/>
          <w:szCs w:val="24"/>
        </w:rPr>
        <w:fldChar w:fldCharType="begin" w:fldLock="1"/>
      </w:r>
      <w:r w:rsidR="00107CAF">
        <w:rPr>
          <w:rFonts w:cs="Arial"/>
          <w:sz w:val="24"/>
          <w:szCs w:val="24"/>
        </w:rPr>
        <w:instrText>ADDIN CSL_CITATION { "citationItems" : [ { "id" : "ITEM-1", "itemData" : { "author" : [ { "dropping-particle" : "", "family" : "Scuffham", "given" : "PA", "non-dropping-particle" : "", "parse-names" : false, "suffix" : "" }, { "dropping-particle" : "", "family" : "Legood", "given" : "R", "non-dropping-particle" : "", "parse-names" : false, "suffix" : "" }, { "dropping-particle" : "", "family" : "Wilson", "given" : "E", "non-dropping-particle" : "", "parse-names" : false, "suffix" : "" }, { "dropping-particle" : "", "family" : "Kennedy-Martin", "given" : "T", "non-dropping-particle" : "", "parse-names" : false, "suffix" : "" } ], "container-title" : "Visual Impairment Research", "id" : "ITEM-1", "issued" : { "date-parts" : [ [ "2002" ] ] }, "page" : "1-14", "title" : "Incidence and Cost of Injurious Falls Associated with Visual Impairment", "type" : "article-journal", "volume" : "4" }, "uris" : [ "http://www.mendeley.com/documents/?uuid=ae705264-0923-4cd6-a13d-cee7b57bb8ba" ] } ], "mendeley" : { "formattedCitation" : "&lt;sup&gt;9&lt;/sup&gt;", "plainTextFormattedCitation" : "9", "previouslyFormattedCitation" : "&lt;sup&gt;9&lt;/sup&gt;"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9</w:t>
      </w:r>
      <w:r w:rsidR="00ED27E7" w:rsidRPr="00D765D3">
        <w:rPr>
          <w:rFonts w:cs="Arial"/>
          <w:sz w:val="24"/>
          <w:szCs w:val="24"/>
        </w:rPr>
        <w:fldChar w:fldCharType="end"/>
      </w:r>
      <w:r w:rsidR="00ED27E7" w:rsidRPr="00D765D3">
        <w:rPr>
          <w:rFonts w:cs="Arial"/>
          <w:sz w:val="24"/>
          <w:szCs w:val="24"/>
        </w:rPr>
        <w:t xml:space="preserve">. The disease adversely impacts quality of life and creates </w:t>
      </w:r>
      <w:r w:rsidR="00ED27E7">
        <w:rPr>
          <w:rFonts w:cs="Arial"/>
          <w:sz w:val="24"/>
          <w:szCs w:val="24"/>
        </w:rPr>
        <w:t xml:space="preserve">a </w:t>
      </w:r>
      <w:r w:rsidR="00ED27E7" w:rsidRPr="00D765D3">
        <w:rPr>
          <w:rFonts w:cs="Arial"/>
          <w:sz w:val="24"/>
          <w:szCs w:val="24"/>
        </w:rPr>
        <w:t>cost burden</w:t>
      </w:r>
      <w:r w:rsidR="00ED27E7" w:rsidRPr="00D765D3">
        <w:rPr>
          <w:rFonts w:cs="Arial"/>
          <w:sz w:val="24"/>
          <w:szCs w:val="24"/>
        </w:rPr>
        <w:fldChar w:fldCharType="begin" w:fldLock="1"/>
      </w:r>
      <w:r w:rsidR="00107CAF">
        <w:rPr>
          <w:rFonts w:cs="Arial"/>
          <w:sz w:val="24"/>
          <w:szCs w:val="24"/>
        </w:rPr>
        <w:instrText>ADDIN CSL_CITATION { "citationItems" : [ { "id" : "ITEM-1", "itemData" : { "author" : [ { "dropping-particle" : "", "family" : "Lotery", "given" : "Andrew", "non-dropping-particle" : "", "parse-names" : false, "suffix" : "" }, { "dropping-particle" : "", "family" : "Xu", "given" : "Xiao", "non-dropping-particle" : "", "parse-names" : false, "suffix" : "" }, { "dropping-particle" : "", "family" : "Zlatava", "given" : "Gergana", "non-dropping-particle" : "", "parse-names" : false, "suffix" : "" }, { "dropping-particle" : "", "family" : "Loftus", "given" : "Jane", "non-dropping-particle" : "", "parse-names" : false, "suffix" : "" } ], "container-title" : "British Journal of Ophthalmology", "id" : "ITEM-1", "issued" : { "date-parts" : [ [ "2007" ] ] }, "page" : "1303-07", "title" : "Burden of illness, visual impairment and health resource utilisation of patients with neovascular age-related macular degeneration", "type" : "article-journal", "volume" : "91" }, "uris" : [ "http://www.mendeley.com/documents/?uuid=3bba7a4f-6889-43e2-8ce1-ad874adb3409" ] } ], "mendeley" : { "formattedCitation" : "&lt;sup&gt;10&lt;/sup&gt;", "plainTextFormattedCitation" : "10", "previouslyFormattedCitation" : "&lt;sup&gt;10&lt;/sup&gt;" }, "properties" : { "noteIndex" : 0 }, "schema" : "https://github.com/citation-style-language/schema/raw/master/csl-citation.json" }</w:instrText>
      </w:r>
      <w:r w:rsidR="00ED27E7" w:rsidRPr="00D765D3">
        <w:rPr>
          <w:rFonts w:cs="Arial"/>
          <w:sz w:val="24"/>
          <w:szCs w:val="24"/>
        </w:rPr>
        <w:fldChar w:fldCharType="separate"/>
      </w:r>
      <w:r w:rsidR="00ED27E7" w:rsidRPr="00D765D3">
        <w:rPr>
          <w:rFonts w:cs="Arial"/>
          <w:noProof/>
          <w:sz w:val="24"/>
          <w:szCs w:val="24"/>
          <w:vertAlign w:val="superscript"/>
        </w:rPr>
        <w:t>10</w:t>
      </w:r>
      <w:r w:rsidR="00ED27E7" w:rsidRPr="00D765D3">
        <w:rPr>
          <w:rFonts w:cs="Arial"/>
          <w:sz w:val="24"/>
          <w:szCs w:val="24"/>
        </w:rPr>
        <w:fldChar w:fldCharType="end"/>
      </w:r>
      <w:r w:rsidR="00ED27E7" w:rsidRPr="00D765D3">
        <w:rPr>
          <w:rFonts w:cs="Arial"/>
          <w:sz w:val="24"/>
          <w:szCs w:val="24"/>
        </w:rPr>
        <w:t>.</w:t>
      </w:r>
      <w:r w:rsidR="002B3870">
        <w:rPr>
          <w:rFonts w:cs="Arial"/>
          <w:sz w:val="24"/>
          <w:szCs w:val="24"/>
        </w:rPr>
        <w:t xml:space="preserve"> </w:t>
      </w:r>
      <w:r w:rsidR="00F33F5D">
        <w:rPr>
          <w:rFonts w:cs="Arial"/>
          <w:sz w:val="24"/>
          <w:szCs w:val="24"/>
        </w:rPr>
        <w:t xml:space="preserve">In </w:t>
      </w:r>
      <w:r w:rsidR="0048586F">
        <w:rPr>
          <w:rFonts w:cs="Arial"/>
          <w:sz w:val="24"/>
          <w:szCs w:val="24"/>
        </w:rPr>
        <w:t>neovascular</w:t>
      </w:r>
      <w:r w:rsidR="0023436D">
        <w:rPr>
          <w:rFonts w:cs="Arial"/>
          <w:sz w:val="24"/>
          <w:szCs w:val="24"/>
        </w:rPr>
        <w:t xml:space="preserve"> AMD, r</w:t>
      </w:r>
      <w:r w:rsidR="00A72A3E">
        <w:rPr>
          <w:rFonts w:cs="Arial"/>
          <w:sz w:val="24"/>
          <w:szCs w:val="24"/>
        </w:rPr>
        <w:t xml:space="preserve">apid treatment with intravitreal injection of anti-VEGF monoclonal antibodies such as aflibercept, </w:t>
      </w:r>
      <w:r w:rsidR="00A72A3E">
        <w:rPr>
          <w:rFonts w:cs="Arial"/>
          <w:sz w:val="24"/>
          <w:szCs w:val="24"/>
        </w:rPr>
        <w:lastRenderedPageBreak/>
        <w:t>ranibizumab or bevacizumab can prevent further vision loss and in some cases reverse vision loss</w:t>
      </w:r>
      <w:r w:rsidR="007F6932">
        <w:rPr>
          <w:rFonts w:cs="Arial"/>
          <w:sz w:val="24"/>
          <w:szCs w:val="24"/>
        </w:rPr>
        <w:fldChar w:fldCharType="begin" w:fldLock="1"/>
      </w:r>
      <w:r w:rsidR="009F72CF">
        <w:rPr>
          <w:rFonts w:cs="Arial"/>
          <w:sz w:val="24"/>
          <w:szCs w:val="24"/>
        </w:rPr>
        <w:instrText>ADDIN CSL_CITATION { "citationItems" : [ { "id" : "ITEM-1", "itemData" : { "DOI" : "10.2147/OPTH.S92627", "ISSN" : "1177-5483", "PMID" : "26834453", "abstract" : "PURPOSE AURA was an international, retrospective, observational study that monitored the real-life use and effectiveness of ranibizumab injections in patients with neovascular age-related macular degeneration (nAMD). This paper reports the findings from the UK. METHODS Patients who started treatment with ranibizumab between January 1, 2009, and August 31, 2009, and had documented follow-up to the end of their treatment and/or monitoring or until August 31, 2011, were retrospectively monitored; the diagnosis and subsequent decision to treat was made by the patient's own physician. Assessments included the change in visual acuity (standardized letter count) during the first and second years after start of ranibizumab therapy and resource utilization. RESULTS Four hundred and ten patients from 13 UK centers were analyzed. The mean (standard deviation [SD]) letter score at baseline was 55.0 (17.8). The mean (SD) change in visual acuity from baseline was +6.0 (15.4) letters at year 1 and +4.1 (16.9) at year 2. Most of the patients (86.6%) completed a 3-month loading phase; the visual improvements were numerically higher in these patients. Over 2 years, the mean (SD) number of clinic visits and injections was 18.4 (5.0) and 9.0 (4.7), respectively. Resource use and visual acuity gains were greater than those observed in the global population, which included other countries enrolled in AURA (Canada, France, Germany, Ireland, Italy, the Netherlands, and Venezuela). When patients were stratified according to severity of nAMD (based on letter count at baseline), the mean change in visual acuity score at years 1 and 2 was also higher for the UK than for the global population across all subgroups. CONCLUSION Monitoring and treatment rates were high in the UK, resulting in better visual acuity outcomes compared with other included countries. This suggests that translation of clinical study outcomes into real-life settings is achievable, but at the expense of higher resource utilization than is currently the norm in most developed countries.", "author" : [ { "dropping-particle" : "", "family" : "Sivaprasad", "given" : "Sobha", "non-dropping-particle" : "", "parse-names" : false, "suffix" : "" }, { "dropping-particle" : "", "family" : "Hykin", "given" : "Philip", "non-dropping-particle" : "", "parse-names" : false, "suffix" : "" }, { "dropping-particle" : "", "family" : "Chakravarthy", "given" : "Usha", "non-dropping-particle" : "", "parse-names" : false, "suffix" : "" }, { "dropping-particle" : "", "family" : "Lotery", "given" : "Andrew", "non-dropping-particle" : "", "parse-names" : false, "suffix" : "" }, { "dropping-particle" : "", "family" : "McKibbin", "given" : "Martin", "non-dropping-particle" : "", "parse-names" : false, "suffix" : "" }, { "dropping-particle" : "", "family" : "Napier", "given" : "Jackie", "non-dropping-particle" : "", "parse-names" : false, "suffix" : "" } ], "container-title" : "Clinical Ophthalmology", "id" : "ITEM-1", "issued" : { "date-parts" : [ [ "2016" ] ] }, "page" : "87-96", "title" : "A retrospective study of the real-life utilization and effectiveness of ranibizumab therapy for neovascular age-related macular degeneration in the UK", "type" : "article-journal", "volume" : "10" }, "uris" : [ "http://www.mendeley.com/documents/?uuid=7891187e-6e84-3210-9217-ff26fe4d6c92" ] } ], "mendeley" : { "formattedCitation" : "&lt;sup&gt;11&lt;/sup&gt;", "plainTextFormattedCitation" : "11", "previouslyFormattedCitation" : "&lt;sup&gt;11&lt;/sup&gt;" }, "properties" : { "noteIndex" : 0 }, "schema" : "https://github.com/citation-style-language/schema/raw/master/csl-citation.json" }</w:instrText>
      </w:r>
      <w:r w:rsidR="007F6932">
        <w:rPr>
          <w:rFonts w:cs="Arial"/>
          <w:sz w:val="24"/>
          <w:szCs w:val="24"/>
        </w:rPr>
        <w:fldChar w:fldCharType="separate"/>
      </w:r>
      <w:r w:rsidR="00603A93" w:rsidRPr="00603A93">
        <w:rPr>
          <w:rFonts w:cs="Arial"/>
          <w:noProof/>
          <w:sz w:val="24"/>
          <w:szCs w:val="24"/>
          <w:vertAlign w:val="superscript"/>
        </w:rPr>
        <w:t>11</w:t>
      </w:r>
      <w:r w:rsidR="007F6932">
        <w:rPr>
          <w:rFonts w:cs="Arial"/>
          <w:sz w:val="24"/>
          <w:szCs w:val="24"/>
        </w:rPr>
        <w:fldChar w:fldCharType="end"/>
      </w:r>
      <w:r w:rsidR="00A72A3E">
        <w:rPr>
          <w:rFonts w:cs="Arial"/>
          <w:sz w:val="24"/>
          <w:szCs w:val="24"/>
        </w:rPr>
        <w:t xml:space="preserve">. </w:t>
      </w:r>
      <w:r w:rsidR="00E868ED">
        <w:rPr>
          <w:rFonts w:cs="Arial"/>
          <w:sz w:val="24"/>
          <w:szCs w:val="24"/>
        </w:rPr>
        <w:t>However,</w:t>
      </w:r>
      <w:r w:rsidR="00A72A3E">
        <w:rPr>
          <w:rFonts w:cs="Arial"/>
          <w:sz w:val="24"/>
          <w:szCs w:val="24"/>
        </w:rPr>
        <w:t xml:space="preserve"> delays in treatment can lead to permanent visual loss. </w:t>
      </w:r>
      <w:r w:rsidRPr="00D765D3">
        <w:rPr>
          <w:rFonts w:cs="Arial"/>
          <w:sz w:val="24"/>
          <w:szCs w:val="24"/>
        </w:rPr>
        <w:t xml:space="preserve">Early identification of risk factors of AMD combined with advances in treatment has meant that AMD is </w:t>
      </w:r>
      <w:r w:rsidR="00980B5C">
        <w:rPr>
          <w:rFonts w:cs="Arial"/>
          <w:sz w:val="24"/>
          <w:szCs w:val="24"/>
        </w:rPr>
        <w:t>included in UK as a key public health indicator</w:t>
      </w:r>
      <w:r w:rsidRPr="00D765D3">
        <w:rPr>
          <w:rFonts w:cs="Arial"/>
          <w:sz w:val="24"/>
          <w:szCs w:val="24"/>
        </w:rPr>
        <w:fldChar w:fldCharType="begin" w:fldLock="1"/>
      </w:r>
      <w:r w:rsidR="009F72CF">
        <w:rPr>
          <w:rFonts w:cs="Arial"/>
          <w:sz w:val="24"/>
          <w:szCs w:val="24"/>
        </w:rPr>
        <w:instrText>ADDIN CSL_CITATION { "citationItems" : [ { "id" : "ITEM-1", "itemData" : { "URL" : "https://www.rnib.org.uk/sites/default/files/Sight_loss_a public_health_priority_PT_1401.docx", "accessed" : { "date-parts" : [ [ "2017", "12", "23" ] ] }, "author" : [ { "dropping-particle" : "", "family" : "Ashton", "given" : "John R.", "non-dropping-particle" : "", "parse-names" : false, "suffix" : "" } ], "id" : "ITEM-1", "issued" : { "date-parts" : [ [ "2009" ] ] }, "title" : "Sight loss: A public health priority", "type" : "webpage" }, "uris" : [ "http://www.mendeley.com/documents/?uuid=c9d2974a-67e0-4ae9-83c0-689a13eca85f" ] } ], "mendeley" : { "formattedCitation" : "&lt;sup&gt;12&lt;/sup&gt;", "plainTextFormattedCitation" : "12", "previouslyFormattedCitation" : "&lt;sup&gt;12&lt;/sup&gt;" }, "properties" : { "noteIndex" : 0 }, "schema" : "https://github.com/citation-style-language/schema/raw/master/csl-citation.json" }</w:instrText>
      </w:r>
      <w:r w:rsidRPr="00D765D3">
        <w:rPr>
          <w:rFonts w:cs="Arial"/>
          <w:sz w:val="24"/>
          <w:szCs w:val="24"/>
        </w:rPr>
        <w:fldChar w:fldCharType="separate"/>
      </w:r>
      <w:r w:rsidR="00603A93" w:rsidRPr="00603A93">
        <w:rPr>
          <w:rFonts w:cs="Arial"/>
          <w:noProof/>
          <w:sz w:val="24"/>
          <w:szCs w:val="24"/>
          <w:vertAlign w:val="superscript"/>
        </w:rPr>
        <w:t>12</w:t>
      </w:r>
      <w:r w:rsidRPr="00D765D3">
        <w:rPr>
          <w:rFonts w:cs="Arial"/>
          <w:sz w:val="24"/>
          <w:szCs w:val="24"/>
        </w:rPr>
        <w:fldChar w:fldCharType="end"/>
      </w:r>
      <w:r w:rsidRPr="00D765D3">
        <w:rPr>
          <w:rFonts w:cs="Arial"/>
          <w:sz w:val="24"/>
          <w:szCs w:val="24"/>
        </w:rPr>
        <w:t xml:space="preserve">. </w:t>
      </w:r>
      <w:r w:rsidR="00406344">
        <w:rPr>
          <w:rFonts w:cs="Arial"/>
          <w:sz w:val="24"/>
          <w:szCs w:val="24"/>
        </w:rPr>
        <w:t>Smoking</w:t>
      </w:r>
      <w:r w:rsidR="00351C89">
        <w:rPr>
          <w:rFonts w:cs="Arial"/>
          <w:sz w:val="24"/>
          <w:szCs w:val="24"/>
        </w:rPr>
        <w:t>,</w:t>
      </w:r>
      <w:r w:rsidR="00406344">
        <w:rPr>
          <w:rFonts w:cs="Arial"/>
          <w:sz w:val="24"/>
          <w:szCs w:val="24"/>
        </w:rPr>
        <w:t xml:space="preserve"> </w:t>
      </w:r>
      <w:r w:rsidR="00351C89">
        <w:rPr>
          <w:rFonts w:cs="Arial"/>
          <w:sz w:val="24"/>
          <w:szCs w:val="24"/>
        </w:rPr>
        <w:t>a</w:t>
      </w:r>
      <w:r w:rsidR="00EF13CC">
        <w:rPr>
          <w:rFonts w:cs="Arial"/>
          <w:sz w:val="24"/>
          <w:szCs w:val="24"/>
        </w:rPr>
        <w:t xml:space="preserve"> risk factor for late AMD</w:t>
      </w:r>
      <w:r w:rsidR="00351C89">
        <w:rPr>
          <w:rFonts w:cs="Arial"/>
          <w:sz w:val="24"/>
          <w:szCs w:val="24"/>
        </w:rPr>
        <w:t>,</w:t>
      </w:r>
      <w:r w:rsidR="00EF13CC">
        <w:rPr>
          <w:rFonts w:cs="Arial"/>
          <w:sz w:val="24"/>
          <w:szCs w:val="24"/>
        </w:rPr>
        <w:t xml:space="preserve"> </w:t>
      </w:r>
      <w:r w:rsidR="00406344">
        <w:rPr>
          <w:rFonts w:cs="Arial"/>
          <w:sz w:val="24"/>
          <w:szCs w:val="24"/>
        </w:rPr>
        <w:t>is also</w:t>
      </w:r>
      <w:r w:rsidR="00EF13CC">
        <w:rPr>
          <w:rFonts w:cs="Arial"/>
          <w:sz w:val="24"/>
          <w:szCs w:val="24"/>
        </w:rPr>
        <w:t xml:space="preserve"> associated with lower </w:t>
      </w:r>
      <w:r w:rsidR="00BC21DC">
        <w:rPr>
          <w:sz w:val="24"/>
          <w:szCs w:val="24"/>
        </w:rPr>
        <w:t>socioecono</w:t>
      </w:r>
      <w:r w:rsidR="00E868ED">
        <w:rPr>
          <w:sz w:val="24"/>
          <w:szCs w:val="24"/>
        </w:rPr>
        <w:t>mic status</w:t>
      </w:r>
      <w:r w:rsidR="00BC21DC">
        <w:rPr>
          <w:sz w:val="24"/>
          <w:szCs w:val="24"/>
        </w:rPr>
        <w:t>(</w:t>
      </w:r>
      <w:r w:rsidR="00EF13CC">
        <w:rPr>
          <w:rFonts w:cs="Arial"/>
          <w:sz w:val="24"/>
          <w:szCs w:val="24"/>
        </w:rPr>
        <w:t>SES</w:t>
      </w:r>
      <w:r w:rsidR="00BC21DC">
        <w:rPr>
          <w:rFonts w:cs="Arial"/>
          <w:sz w:val="24"/>
          <w:szCs w:val="24"/>
        </w:rPr>
        <w:t>)</w:t>
      </w:r>
      <w:r w:rsidR="00EF13CC">
        <w:rPr>
          <w:rFonts w:cs="Arial"/>
          <w:sz w:val="24"/>
          <w:szCs w:val="24"/>
        </w:rPr>
        <w:t>.</w:t>
      </w:r>
      <w:r w:rsidR="0056241F">
        <w:rPr>
          <w:rFonts w:cs="Arial"/>
          <w:sz w:val="24"/>
          <w:szCs w:val="24"/>
        </w:rPr>
        <w:fldChar w:fldCharType="begin" w:fldLock="1"/>
      </w:r>
      <w:r w:rsidR="009F72CF">
        <w:rPr>
          <w:rFonts w:cs="Arial"/>
          <w:sz w:val="24"/>
          <w:szCs w:val="24"/>
        </w:rPr>
        <w:instrText>ADDIN CSL_CITATION { "citationItems" : [ { "id" : "ITEM-1", "itemData" : { "DOI" : "10.1111/j.1749-6632.2011.06202.x", "ISSN" : "00778923", "PMID" : "22092035", "abstract" : "Smoking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 "author" : [ { "dropping-particle" : "", "family" : "Hiscock", "given" : "Rosemary", "non-dropping-particle" : "", "parse-names" : false, "suffix" : "" }, { "dropping-particle" : "", "family" : "Bauld", "given" : "Linda", "non-dropping-particle" : "", "parse-names" : false, "suffix" : "" }, { "dropping-particle" : "", "family" : "Amos", "given" : "Amanda", "non-dropping-particle" : "", "parse-names" : false, "suffix" : "" }, { "dropping-particle" : "", "family" : "Fidler", "given" : "Jennifer A.", "non-dropping-particle" : "", "parse-names" : false, "suffix" : "" }, { "dropping-particle" : "", "family" : "Munaf\u00f2", "given" : "Marcus", "non-dropping-particle" : "", "parse-names" : false, "suffix" : "" } ], "container-title" : "Annals of the New York Academy of Sciences", "id" : "ITEM-1", "issue" : "1", "issued" : { "date-parts" : [ [ "2012", "2" ] ] }, "page" : "107-123", "title" : "Socioeconomic status and smoking: a review", "type" : "article-journal", "volume" : "1248" }, "uris" : [ "http://www.mendeley.com/documents/?uuid=d99842a7-64b2-3d10-8942-2490c2a1a328" ] } ], "mendeley" : { "formattedCitation" : "&lt;sup&gt;13&lt;/sup&gt;", "plainTextFormattedCitation" : "13", "previouslyFormattedCitation" : "&lt;sup&gt;13&lt;/sup&gt;" }, "properties" : { "noteIndex" : 0 }, "schema" : "https://github.com/citation-style-language/schema/raw/master/csl-citation.json" }</w:instrText>
      </w:r>
      <w:r w:rsidR="0056241F">
        <w:rPr>
          <w:rFonts w:cs="Arial"/>
          <w:sz w:val="24"/>
          <w:szCs w:val="24"/>
        </w:rPr>
        <w:fldChar w:fldCharType="separate"/>
      </w:r>
      <w:r w:rsidR="00603A93" w:rsidRPr="00603A93">
        <w:rPr>
          <w:rFonts w:cs="Arial"/>
          <w:noProof/>
          <w:sz w:val="24"/>
          <w:szCs w:val="24"/>
          <w:vertAlign w:val="superscript"/>
        </w:rPr>
        <w:t>13</w:t>
      </w:r>
      <w:r w:rsidR="0056241F">
        <w:rPr>
          <w:rFonts w:cs="Arial"/>
          <w:sz w:val="24"/>
          <w:szCs w:val="24"/>
        </w:rPr>
        <w:fldChar w:fldCharType="end"/>
      </w:r>
    </w:p>
    <w:p w14:paraId="630D6524" w14:textId="421B28A6" w:rsidR="009A708B" w:rsidRPr="00D765D3" w:rsidRDefault="00A96352" w:rsidP="00D34244">
      <w:pPr>
        <w:spacing w:line="480" w:lineRule="auto"/>
        <w:rPr>
          <w:rFonts w:cs="Arial"/>
          <w:noProof/>
          <w:sz w:val="24"/>
          <w:szCs w:val="24"/>
          <w:vertAlign w:val="superscript"/>
        </w:rPr>
      </w:pPr>
      <w:r w:rsidRPr="00D765D3">
        <w:rPr>
          <w:sz w:val="24"/>
          <w:szCs w:val="24"/>
        </w:rPr>
        <w:t>Little is known about the association of SES and AMD</w:t>
      </w:r>
      <w:r w:rsidR="008C462A">
        <w:rPr>
          <w:sz w:val="24"/>
          <w:szCs w:val="24"/>
        </w:rPr>
        <w:t xml:space="preserve"> or the effect of distance from hospital as a proxy for access to treatment</w:t>
      </w:r>
      <w:r w:rsidRPr="00D765D3">
        <w:rPr>
          <w:sz w:val="24"/>
          <w:szCs w:val="24"/>
        </w:rPr>
        <w:t xml:space="preserve">. </w:t>
      </w:r>
      <w:r w:rsidR="00A72A3E">
        <w:rPr>
          <w:sz w:val="24"/>
          <w:szCs w:val="24"/>
        </w:rPr>
        <w:t>O</w:t>
      </w:r>
      <w:r w:rsidRPr="00D765D3">
        <w:rPr>
          <w:sz w:val="24"/>
          <w:szCs w:val="24"/>
        </w:rPr>
        <w:t>ne study conducted in Birmingham</w:t>
      </w:r>
      <w:r w:rsidR="001209ED">
        <w:rPr>
          <w:sz w:val="24"/>
          <w:szCs w:val="24"/>
        </w:rPr>
        <w:t>, UK</w:t>
      </w:r>
      <w:r w:rsidRPr="00D765D3">
        <w:rPr>
          <w:sz w:val="24"/>
          <w:szCs w:val="24"/>
        </w:rPr>
        <w:t xml:space="preserve"> suggested that people living in most deprived areas </w:t>
      </w:r>
      <w:r w:rsidR="00A72A3E">
        <w:rPr>
          <w:sz w:val="24"/>
          <w:szCs w:val="24"/>
        </w:rPr>
        <w:t xml:space="preserve">had </w:t>
      </w:r>
      <w:r w:rsidRPr="00D765D3">
        <w:rPr>
          <w:sz w:val="24"/>
          <w:szCs w:val="24"/>
        </w:rPr>
        <w:t xml:space="preserve">more severe visual outcomes in AMD whereas another study in Norfolk </w:t>
      </w:r>
      <w:r w:rsidR="00A72A3E">
        <w:rPr>
          <w:sz w:val="24"/>
          <w:szCs w:val="24"/>
        </w:rPr>
        <w:t>demonstrated</w:t>
      </w:r>
      <w:r w:rsidR="00A72A3E" w:rsidRPr="00D765D3">
        <w:rPr>
          <w:sz w:val="24"/>
          <w:szCs w:val="24"/>
        </w:rPr>
        <w:t xml:space="preserve"> </w:t>
      </w:r>
      <w:r w:rsidRPr="00D765D3">
        <w:rPr>
          <w:sz w:val="24"/>
          <w:szCs w:val="24"/>
        </w:rPr>
        <w:t xml:space="preserve">the </w:t>
      </w:r>
      <w:r w:rsidR="001209ED">
        <w:rPr>
          <w:sz w:val="24"/>
          <w:szCs w:val="24"/>
        </w:rPr>
        <w:t>association of AMD with  people</w:t>
      </w:r>
      <w:r w:rsidRPr="00D765D3">
        <w:rPr>
          <w:sz w:val="24"/>
          <w:szCs w:val="24"/>
        </w:rPr>
        <w:t xml:space="preserve"> </w:t>
      </w:r>
      <w:r w:rsidR="00A72A3E">
        <w:rPr>
          <w:sz w:val="24"/>
          <w:szCs w:val="24"/>
        </w:rPr>
        <w:t xml:space="preserve">living in </w:t>
      </w:r>
      <w:r w:rsidRPr="00D765D3">
        <w:rPr>
          <w:sz w:val="24"/>
          <w:szCs w:val="24"/>
        </w:rPr>
        <w:t>affluent area</w:t>
      </w:r>
      <w:r w:rsidR="00E868ED">
        <w:rPr>
          <w:sz w:val="24"/>
          <w:szCs w:val="24"/>
        </w:rPr>
        <w:t>s</w:t>
      </w:r>
      <w:r w:rsidRPr="00D765D3">
        <w:rPr>
          <w:rFonts w:cs="Arial"/>
          <w:noProof/>
          <w:sz w:val="24"/>
          <w:szCs w:val="24"/>
          <w:vertAlign w:val="superscript"/>
        </w:rPr>
        <w:fldChar w:fldCharType="begin" w:fldLock="1"/>
      </w:r>
      <w:r w:rsidR="009F72CF">
        <w:rPr>
          <w:rFonts w:cs="Arial"/>
          <w:noProof/>
          <w:sz w:val="24"/>
          <w:szCs w:val="24"/>
          <w:vertAlign w:val="superscript"/>
        </w:rPr>
        <w:instrText>ADDIN CSL_CITATION { "citationItems" : [ { "id" : "ITEM-1", "itemData" : { "ISSN" : "00071161", "author" : [ { "dropping-particle" : "", "family" : "Sharma", "given" : "H E", "non-dropping-particle" : "", "parse-names" : false, "suffix" : "" }, { "dropping-particle" : "", "family" : "Mathewson", "given" : "P A", "non-dropping-particle" : "", "parse-names" : false, "suffix" : "" }, { "dropping-particle" : "", "family" : "Lane", "given" : "M", "non-dropping-particle" : "", "parse-names" : false, "suffix" : "" }, { "dropping-particle" : "", "family" : "Shah", "given" : "P", "non-dropping-particle" : "", "parse-names" : false, "suffix" : "" }, { "dropping-particle" : "", "family" : "Glover", "given" : "N", "non-dropping-particle" : "", "parse-names" : false, "suffix" : "" }, { "dropping-particle" : "", "family" : "Palmer", "given" : "H", "non-dropping-particle" : "", "parse-names" : false, "suffix" : "" }, { "dropping-particle" : "", "family" : "Haque", "given" : "M S", "non-dropping-particle" : "", "parse-names" : false, "suffix" : "" }, { "dropping-particle" : "", "family" : "Denniston", "given" : "A K", "non-dropping-particle" : "", "parse-names" : false, "suffix" : "" }, { "dropping-particle" : "", "family" : "Tsaloumas", "given" : "M D", "non-dropping-particle" : "", "parse-names" : false, "suffix" : "" } ], "container-title" : "BRITISH JOURNAL OF OPHTHALMOLOGY", "id" : "ITEM-1", "issue" : "12", "issued" : { "date-parts" : [ [ "2014" ] ] }, "page" : "1625-1628", "title" : "The role of social deprivation in severe neovascular age-related macular degeneration", "type" : "article-journal", "volume" : "98" }, "uris" : [ "http://www.mendeley.com/documents/?uuid=8fe36f41-64e2-4fe3-96b8-9c9870cf76bf" ] } ], "mendeley" : { "formattedCitation" : "&lt;sup&gt;14&lt;/sup&gt;", "plainTextFormattedCitation" : "14", "previouslyFormattedCitation" : "&lt;sup&gt;14&lt;/sup&gt;" }, "properties" : { "noteIndex" : 0 }, "schema" : "https://github.com/citation-style-language/schema/raw/master/csl-citation.json" }</w:instrText>
      </w:r>
      <w:r w:rsidRPr="00D765D3">
        <w:rPr>
          <w:rFonts w:cs="Arial"/>
          <w:noProof/>
          <w:sz w:val="24"/>
          <w:szCs w:val="24"/>
          <w:vertAlign w:val="superscript"/>
        </w:rPr>
        <w:fldChar w:fldCharType="separate"/>
      </w:r>
      <w:r w:rsidR="00603A93" w:rsidRPr="00603A93">
        <w:rPr>
          <w:rFonts w:cs="Arial"/>
          <w:noProof/>
          <w:sz w:val="24"/>
          <w:szCs w:val="24"/>
          <w:vertAlign w:val="superscript"/>
        </w:rPr>
        <w:t>14</w:t>
      </w:r>
      <w:r w:rsidRPr="00D765D3">
        <w:rPr>
          <w:rFonts w:cs="Arial"/>
          <w:noProof/>
          <w:sz w:val="24"/>
          <w:szCs w:val="24"/>
          <w:vertAlign w:val="superscript"/>
        </w:rPr>
        <w:fldChar w:fldCharType="end"/>
      </w:r>
      <w:r w:rsidRPr="00D765D3">
        <w:rPr>
          <w:rFonts w:cs="Arial"/>
          <w:noProof/>
          <w:sz w:val="24"/>
          <w:szCs w:val="24"/>
          <w:vertAlign w:val="superscript"/>
        </w:rPr>
        <w:t xml:space="preserve"> </w:t>
      </w:r>
      <w:r w:rsidRPr="00D765D3">
        <w:rPr>
          <w:rFonts w:cs="Arial"/>
          <w:noProof/>
          <w:sz w:val="24"/>
          <w:szCs w:val="24"/>
          <w:vertAlign w:val="superscript"/>
        </w:rPr>
        <w:fldChar w:fldCharType="begin" w:fldLock="1"/>
      </w:r>
      <w:r w:rsidR="009F72CF">
        <w:rPr>
          <w:rFonts w:cs="Arial"/>
          <w:noProof/>
          <w:sz w:val="24"/>
          <w:szCs w:val="24"/>
          <w:vertAlign w:val="superscript"/>
        </w:rPr>
        <w:instrText>ADDIN CSL_CITATION { "citationItems" : [ { "id" : "ITEM-1", "itemData" : { "author" : [ { "dropping-particle" : "", "family" : "Yip", "given" : "J L", "non-dropping-particle" : "", "parse-names" : false, "suffix" : "" }, { "dropping-particle" : "", "family" : "Khawaja", "given" : "A P", "non-dropping-particle" : "", "parse-names" : false, "suffix" : "" }, { "dropping-particle" : "", "family" : "Chan", "given" : "M P", "non-dropping-particle" : "", "parse-names" : false, "suffix" : "" }, { "dropping-particle" : "", "family" : "Broadway", "given" : "D C", "non-dropping-particle" : "", "parse-names" : false, "suffix" : "" }, { "dropping-particle" : "", "family" : "Peto", "given" : "T", "non-dropping-particle" : "", "parse-names" : false, "suffix" : "" }, { "dropping-particle" : "", "family" : "Luben", "given" : "R", "non-dropping-particle" : "", "parse-names" : false, "suffix" : "" }, { "dropping-particle" : "", "family" : "Hayat", "given" : "S", "non-dropping-particle" : "", "parse-names" : false, "suffix" : "" }, { "dropping-particle" : "", "family" : "Bhaniani", "given" : "A", "non-dropping-particle" : "", "parse-names" : false, "suffix" : "" }, { "dropping-particle" : "", "family" : "Wareham", "given" : "N", "non-dropping-particle" : "", "parse-names" : false, "suffix" : "" }, { "dropping-particle" : "", "family" : "Foster", "given" : "P J", "non-dropping-particle" : "", "parse-names" : false, "suffix" : "" }, { "dropping-particle" : "", "family" : "Khaw", "given" : "K T", "non-dropping-particle" : "", "parse-names" : false, "suffix" : "" } ], "container-title" : "Public Health", "id" : "ITEM-1", "issue" : "2", "issued" : { "date-parts" : [ [ "0" ] ] }, "page" : "103-109", "title" : "Area deprivation and age related macular degeneration in the EPIC-Norfolk Eye Study", "type" : "article-journal", "volume" : "129" }, "uris" : [ "http://www.mendeley.com/documents/?uuid=5d45e26b-735e-407a-80a7-6a0955ccb935" ] } ], "mendeley" : { "formattedCitation" : "&lt;sup&gt;15&lt;/sup&gt;", "plainTextFormattedCitation" : "15", "previouslyFormattedCitation" : "&lt;sup&gt;15&lt;/sup&gt;" }, "properties" : { "noteIndex" : 0 }, "schema" : "https://github.com/citation-style-language/schema/raw/master/csl-citation.json" }</w:instrText>
      </w:r>
      <w:r w:rsidRPr="00D765D3">
        <w:rPr>
          <w:rFonts w:cs="Arial"/>
          <w:noProof/>
          <w:sz w:val="24"/>
          <w:szCs w:val="24"/>
          <w:vertAlign w:val="superscript"/>
        </w:rPr>
        <w:fldChar w:fldCharType="separate"/>
      </w:r>
      <w:r w:rsidR="00603A93" w:rsidRPr="00603A93">
        <w:rPr>
          <w:rFonts w:cs="Arial"/>
          <w:noProof/>
          <w:sz w:val="24"/>
          <w:szCs w:val="24"/>
          <w:vertAlign w:val="superscript"/>
        </w:rPr>
        <w:t>15</w:t>
      </w:r>
      <w:r w:rsidRPr="00D765D3">
        <w:rPr>
          <w:rFonts w:cs="Arial"/>
          <w:noProof/>
          <w:sz w:val="24"/>
          <w:szCs w:val="24"/>
          <w:vertAlign w:val="superscript"/>
        </w:rPr>
        <w:fldChar w:fldCharType="end"/>
      </w:r>
      <w:r w:rsidRPr="00D765D3">
        <w:rPr>
          <w:sz w:val="24"/>
          <w:szCs w:val="24"/>
        </w:rPr>
        <w:t xml:space="preserve">. However, other studies in Australia and UK have </w:t>
      </w:r>
      <w:r w:rsidR="008C462A">
        <w:rPr>
          <w:sz w:val="24"/>
          <w:szCs w:val="24"/>
        </w:rPr>
        <w:t>shown</w:t>
      </w:r>
      <w:r w:rsidR="008C462A" w:rsidRPr="00D765D3">
        <w:rPr>
          <w:sz w:val="24"/>
          <w:szCs w:val="24"/>
        </w:rPr>
        <w:t xml:space="preserve"> </w:t>
      </w:r>
      <w:r w:rsidRPr="00D765D3">
        <w:rPr>
          <w:sz w:val="24"/>
          <w:szCs w:val="24"/>
        </w:rPr>
        <w:t>no association between SES and AMD</w:t>
      </w:r>
      <w:r w:rsidRPr="00D765D3">
        <w:rPr>
          <w:rFonts w:cs="Arial"/>
          <w:noProof/>
          <w:sz w:val="24"/>
          <w:szCs w:val="24"/>
          <w:vertAlign w:val="superscript"/>
        </w:rPr>
        <w:fldChar w:fldCharType="begin" w:fldLock="1"/>
      </w:r>
      <w:r w:rsidR="009F72CF">
        <w:rPr>
          <w:rFonts w:cs="Arial"/>
          <w:noProof/>
          <w:sz w:val="24"/>
          <w:szCs w:val="24"/>
          <w:vertAlign w:val="superscript"/>
        </w:rPr>
        <w:instrText>ADDIN CSL_CITATION { "citationItems" : [ { "id" : "ITEM-1", "itemData" : { "DOI" : "10.1136/bjo.2008.147231", "ISSN" : "1468-2079", "author" : [ { "dropping-particle" : "", "family" : "Acharya", "given" : "N", "non-dropping-particle" : "", "parse-names" : false, "suffix" : "" }, { "dropping-particle" : "", "family" : "Lois", "given" : "N", "non-dropping-particle" : "", "parse-names" : false, "suffix" : "" }, { "dropping-particle" : "", "family" : "Townend", "given" : "J", "non-dropping-particle" : "", "parse-names" : false, "suffix" : "" }, { "dropping-particle" : "", "family" : "Zaher", "given" : "S", "non-dropping-particle" : "", "parse-names" : false, "suffix" : "" }, { "dropping-particle" : "", "family" : "Gallagher", "given" : "M", "non-dropping-particle" : "", "parse-names" : false, "suffix" : "" }, { "dropping-particle" : "", "family" : "Gavin", "given" : "M", "non-dropping-particle" : "", "parse-names" : false, "suffix" : "" } ], "container-title" : "The British Journal Of Ophthalmology", "id" : "ITEM-1", "issue" : "5", "issued" : { "date-parts" : [ [ "2009" ] ] }, "page" : "627-629", "title" : "Socio-economic deprivation and visual acuity at presentation in exudative age-related macular degeneration", "type" : "article-journal", "volume" : "93" }, "uris" : [ "http://www.mendeley.com/documents/?uuid=bef2eabf-ed16-414b-bfa1-33d51425a25b" ] } ], "mendeley" : { "formattedCitation" : "&lt;sup&gt;16&lt;/sup&gt;", "plainTextFormattedCitation" : "16", "previouslyFormattedCitation" : "&lt;sup&gt;16&lt;/sup&gt;" }, "properties" : { "noteIndex" : 0 }, "schema" : "https://github.com/citation-style-language/schema/raw/master/csl-citation.json" }</w:instrText>
      </w:r>
      <w:r w:rsidRPr="00D765D3">
        <w:rPr>
          <w:rFonts w:cs="Arial"/>
          <w:noProof/>
          <w:sz w:val="24"/>
          <w:szCs w:val="24"/>
          <w:vertAlign w:val="superscript"/>
        </w:rPr>
        <w:fldChar w:fldCharType="separate"/>
      </w:r>
      <w:r w:rsidR="00603A93" w:rsidRPr="00603A93">
        <w:rPr>
          <w:rFonts w:cs="Arial"/>
          <w:noProof/>
          <w:sz w:val="24"/>
          <w:szCs w:val="24"/>
          <w:vertAlign w:val="superscript"/>
        </w:rPr>
        <w:t>16</w:t>
      </w:r>
      <w:r w:rsidRPr="00D765D3">
        <w:rPr>
          <w:rFonts w:cs="Arial"/>
          <w:noProof/>
          <w:sz w:val="24"/>
          <w:szCs w:val="24"/>
          <w:vertAlign w:val="superscript"/>
        </w:rPr>
        <w:fldChar w:fldCharType="end"/>
      </w:r>
      <w:r w:rsidRPr="00D765D3">
        <w:rPr>
          <w:rFonts w:cs="Arial"/>
          <w:noProof/>
          <w:sz w:val="24"/>
          <w:szCs w:val="24"/>
          <w:vertAlign w:val="superscript"/>
        </w:rPr>
        <w:t xml:space="preserve"> </w:t>
      </w:r>
      <w:r w:rsidRPr="00D765D3">
        <w:rPr>
          <w:rFonts w:cs="Arial"/>
          <w:noProof/>
          <w:sz w:val="24"/>
          <w:szCs w:val="24"/>
          <w:vertAlign w:val="superscript"/>
        </w:rPr>
        <w:fldChar w:fldCharType="begin" w:fldLock="1"/>
      </w:r>
      <w:r w:rsidR="009F72CF">
        <w:rPr>
          <w:rFonts w:cs="Arial"/>
          <w:noProof/>
          <w:sz w:val="24"/>
          <w:szCs w:val="24"/>
          <w:vertAlign w:val="superscript"/>
        </w:rPr>
        <w:instrText>ADDIN CSL_CITATION { "citationItems" : [ { "id" : "ITEM-1", "itemData" : { "ISSN" : "01616420", "author" : [ { "dropping-particle" : "", "family" : "Attebo", "given" : "K", "non-dropping-particle" : "", "parse-names" : false, "suffix" : "" }, { "dropping-particle" : "", "family" : "Mitchell", "given" : "P", "non-dropping-particle" : "", "parse-names" : false, "suffix" : "" }, { "dropping-particle" : "", "family" : "Smith", "given" : "W", "non-dropping-particle" : "", "parse-names" : false, "suffix" : "" } ], "container-title" : "OPHTHALMOLOGY", "id" : "ITEM-1", "issue" : "3", "issued" : { "date-parts" : [ [ "1996" ] ] }, "page" : "357-364", "title" : "Visual acuity and the causes of visual loss in Australia - The blue mountains eye study", "type" : "article-journal", "volume" : "103" }, "uris" : [ "http://www.mendeley.com/documents/?uuid=74def545-bfec-46a6-9499-5b71fb67bf12" ] } ], "mendeley" : { "formattedCitation" : "&lt;sup&gt;17&lt;/sup&gt;", "plainTextFormattedCitation" : "17", "previouslyFormattedCitation" : "&lt;sup&gt;17&lt;/sup&gt;" }, "properties" : { "noteIndex" : 0 }, "schema" : "https://github.com/citation-style-language/schema/raw/master/csl-citation.json" }</w:instrText>
      </w:r>
      <w:r w:rsidRPr="00D765D3">
        <w:rPr>
          <w:rFonts w:cs="Arial"/>
          <w:noProof/>
          <w:sz w:val="24"/>
          <w:szCs w:val="24"/>
          <w:vertAlign w:val="superscript"/>
        </w:rPr>
        <w:fldChar w:fldCharType="separate"/>
      </w:r>
      <w:r w:rsidR="00603A93" w:rsidRPr="00603A93">
        <w:rPr>
          <w:rFonts w:cs="Arial"/>
          <w:noProof/>
          <w:sz w:val="24"/>
          <w:szCs w:val="24"/>
          <w:vertAlign w:val="superscript"/>
        </w:rPr>
        <w:t>17</w:t>
      </w:r>
      <w:r w:rsidRPr="00D765D3">
        <w:rPr>
          <w:rFonts w:cs="Arial"/>
          <w:noProof/>
          <w:sz w:val="24"/>
          <w:szCs w:val="24"/>
          <w:vertAlign w:val="superscript"/>
        </w:rPr>
        <w:fldChar w:fldCharType="end"/>
      </w:r>
      <w:r w:rsidR="00761308">
        <w:rPr>
          <w:rFonts w:cs="Arial"/>
          <w:noProof/>
          <w:sz w:val="24"/>
          <w:szCs w:val="24"/>
          <w:vertAlign w:val="superscript"/>
        </w:rPr>
        <w:t>.</w:t>
      </w:r>
      <w:r w:rsidR="00E868ED">
        <w:rPr>
          <w:rFonts w:cs="Arial"/>
          <w:noProof/>
          <w:sz w:val="24"/>
          <w:szCs w:val="24"/>
          <w:vertAlign w:val="superscript"/>
        </w:rPr>
        <w:t xml:space="preserve"> </w:t>
      </w:r>
      <w:r w:rsidR="00E868ED">
        <w:rPr>
          <w:sz w:val="24"/>
          <w:szCs w:val="24"/>
        </w:rPr>
        <w:t>Studies</w:t>
      </w:r>
      <w:r w:rsidR="00761308">
        <w:rPr>
          <w:sz w:val="24"/>
          <w:szCs w:val="24"/>
        </w:rPr>
        <w:t xml:space="preserve"> conducted in France and Turkey</w:t>
      </w:r>
      <w:r w:rsidR="00B2640F">
        <w:rPr>
          <w:sz w:val="24"/>
          <w:szCs w:val="24"/>
        </w:rPr>
        <w:t xml:space="preserve"> showed </w:t>
      </w:r>
      <w:r w:rsidR="00761308" w:rsidRPr="00D765D3">
        <w:rPr>
          <w:rFonts w:cs="Arial"/>
          <w:sz w:val="24"/>
          <w:szCs w:val="24"/>
        </w:rPr>
        <w:t xml:space="preserve">a positive association </w:t>
      </w:r>
      <w:r w:rsidR="004208E6">
        <w:rPr>
          <w:rFonts w:cs="Arial"/>
          <w:sz w:val="24"/>
          <w:szCs w:val="24"/>
        </w:rPr>
        <w:t>of</w:t>
      </w:r>
      <w:r w:rsidR="00761308" w:rsidRPr="00D765D3">
        <w:rPr>
          <w:rFonts w:cs="Arial"/>
          <w:sz w:val="24"/>
          <w:szCs w:val="24"/>
        </w:rPr>
        <w:t xml:space="preserve"> greater distance with increased number of loss of treatment follow-ups</w:t>
      </w:r>
      <w:r w:rsidR="00761308">
        <w:rPr>
          <w:rFonts w:cs="Arial"/>
          <w:sz w:val="24"/>
          <w:szCs w:val="24"/>
        </w:rPr>
        <w:t xml:space="preserve"> of </w:t>
      </w:r>
      <w:r w:rsidR="00B2640F">
        <w:rPr>
          <w:rFonts w:cs="Arial"/>
          <w:sz w:val="24"/>
          <w:szCs w:val="24"/>
        </w:rPr>
        <w:t>A</w:t>
      </w:r>
      <w:r w:rsidR="004208E6">
        <w:rPr>
          <w:rFonts w:cs="Arial"/>
          <w:sz w:val="24"/>
          <w:szCs w:val="24"/>
        </w:rPr>
        <w:t xml:space="preserve">MD whereas in a Polish study </w:t>
      </w:r>
      <w:r w:rsidR="004208E6" w:rsidRPr="00D765D3">
        <w:rPr>
          <w:rFonts w:cs="Arial"/>
          <w:sz w:val="24"/>
          <w:szCs w:val="24"/>
        </w:rPr>
        <w:t>place of residence had no effect on treatment pathway of AMD</w:t>
      </w:r>
      <w:r w:rsidR="004208E6"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"Boulanger-Scemama", "given" : "E", "non-dropping-particle" : "", "parse-names" : false, "suffix" : "" }, { "dropping-particle" : "", "family" : "Querques", "given" : "G", "non-dropping-particle" : "", "parse-names" : false, "suffix" : "" }, { "dropping-particle" : "", "family" : "About", "given" : "F", "non-dropping-particle" : "", "parse-names" : false, "suffix" : "" }, { "dropping-particle" : "", "family" : "Puche", "given" : "N", "non-dropping-particle" : "", "parse-names" : false, "suffix" : "" }, { "dropping-particle" : "", "family" : "Srour", "given" : "M", "non-dropping-particle" : "", "parse-names" : false, "suffix" : "" }, { "dropping-particle" : "", "family" : "Mane", "given" : "V", "non-dropping-particle" : "", "parse-names" : false, "suffix" : "" }, { "dropping-particle" : "", "family" : "Massamba", "given" : "N", "non-dropping-particle" : "", "parse-names" : false, "suffix" : "" }, { "dropping-particle" : "", "family" : "Canoui-Poitrine", "given" : "F", "non-dropping-particle" : "", "parse-names" : false, "suffix" : "" }, { "dropping-particle" : "", "family" : "Souied", "given" : "E H", "non-dropping-particle" : "", "parse-names" : false, "suffix" : "" } ], "container-title" : "Journal Francais d Opthalmologie", "id" : "ITEM-1", "issue" : "7", "issued" : { "date-parts" : [ [ "0" ] ] }, "page" : "620-627", "title" : "Ranibizumab for exudative age-related macular degeneration: A five year study of adherence to follow-up in a real-life setting", "type" : "article-journal", "volume" : "38" }, "uris" : [ "http://www.mendeley.com/documents/?uuid=84606668-f5d4-49a5-902a-7d22a32aac00" ] } ], "mendeley" : { "formattedCitation" : "&lt;sup&gt;18&lt;/sup&gt;", "plainTextFormattedCitation" : "18", "previouslyFormattedCitation" : "&lt;sup&gt;18&lt;/sup&gt;" }, "properties" : { "noteIndex" : 0 }, "schema" : "https://github.com/citation-style-language/schema/raw/master/csl-citation.json" }</w:instrText>
      </w:r>
      <w:r w:rsidR="004208E6" w:rsidRPr="00D765D3">
        <w:rPr>
          <w:rFonts w:cs="Arial"/>
          <w:sz w:val="24"/>
          <w:szCs w:val="24"/>
        </w:rPr>
        <w:fldChar w:fldCharType="separate"/>
      </w:r>
      <w:r w:rsidR="00603A93" w:rsidRPr="00603A93">
        <w:rPr>
          <w:rFonts w:cs="Arial"/>
          <w:noProof/>
          <w:sz w:val="24"/>
          <w:szCs w:val="24"/>
          <w:vertAlign w:val="superscript"/>
        </w:rPr>
        <w:t>18</w:t>
      </w:r>
      <w:r w:rsidR="004208E6" w:rsidRPr="00D765D3">
        <w:rPr>
          <w:rFonts w:cs="Arial"/>
          <w:sz w:val="24"/>
          <w:szCs w:val="24"/>
        </w:rPr>
        <w:fldChar w:fldCharType="end"/>
      </w:r>
      <w:r w:rsidR="004208E6" w:rsidRPr="00D765D3">
        <w:rPr>
          <w:rFonts w:cs="Arial"/>
          <w:sz w:val="24"/>
          <w:szCs w:val="24"/>
        </w:rPr>
        <w:t xml:space="preserve"> </w:t>
      </w:r>
      <w:r w:rsidR="004208E6" w:rsidRPr="00D765D3">
        <w:rPr>
          <w:rFonts w:cs="Arial"/>
          <w:sz w:val="24"/>
          <w:szCs w:val="24"/>
        </w:rPr>
        <w:fldChar w:fldCharType="begin" w:fldLock="1"/>
      </w:r>
      <w:r w:rsidR="009F72CF">
        <w:rPr>
          <w:rFonts w:cs="Arial"/>
          <w:sz w:val="24"/>
          <w:szCs w:val="24"/>
        </w:rPr>
        <w:instrText>ADDIN CSL_CITATION { "citationItems" : [ { "id" : "ITEM-1", "itemData" : { "DOI" : "10.4274/tjo.28003", "ISSN" : "13000659", "PMID" : "28845324", "abstract" : "OBJECTIVES To determine factors influencing compliance in patients with neovascular age-related macular degeneration (n-AMD) undergoing intravitreal anti-vascular endothelial growth factor (VEGF) therapy. MATERIALS AND METHODS The files of n-AMD patients recommended treatment with ranibizumab were reviewed retrospectively. The treatment regimen was 3 consecutive monthly injections followed by monthly follow-up with intravitreal injections as needed (pro re nata, PRN). Demographic and ocular characteristics were recorded. The patients were categorized into 2 groups: full compliance to treatment, or incomplete loading schedule and/or irregular maintenance treatment. All patients were interviewed by phone about factors affecting continuation of treatment. RESULTS Mean age of the 314 patients (160 female, 154 male) included in the study was 71.6\u00b19.1 years. A total of 246 patients (78.3%) could complete 3 consecutive injections at 1-month intervals after the start of treatment; 57 patients (18.2%) did not attend monthly follow-up during the 1-year follow-up period following the 3 consecutive monthly injections. Overall, 39.8% of the patients were not able to fully comply with the ranibizumab treatment by PRN regimen for 1 year. Better visual acuity at baseline, smaller lesion size, living closer to the hospital, higher education and sociocultural level, and better financial status were determined as factors affecting patient compliance. The most frequent reasons to discontinue treatment were fear of injection, disbelief in the benefit of the treatment, financial limitations, continuation of treatment at another center, and comorbid systemic diseases. CONCLUSION Patient compliance and success rates of anti-VEGF therapy may be increased by determining the factors affecting patient compliance and raising awareness about n-AMD among patients and their relatives.", "author" : [ { "dropping-particle" : "", "family" : "Polat", "given" : "Onur", "non-dropping-particle" : "", "parse-names" : false, "suffix" : "" }, { "dropping-particle" : "", "family" : "\u0130nan", "given" : "Sibel", "non-dropping-particle" : "", "parse-names" : false, "suffix" : "" }, { "dropping-particle" : "", "family" : "\u00d6zcan", "given" : "Serkan", "non-dropping-particle" : "", "parse-names" : false, "suffix" : "" }, { "dropping-particle" : "", "family" : "Do\u011fan", "given" : "Mustafa", "non-dropping-particle" : "", "parse-names" : false, "suffix" : "" }, { "dropping-particle" : "", "family" : "K\u00fcsbeci", "given" : "Tuncay", "non-dropping-particle" : "", "parse-names" : false, "suffix" : "" }, { "dropping-particle" : "", "family" : "Yava\u015f", "given" : "G\u00fcliz Fatma", "non-dropping-particle" : "", "parse-names" : false, "suffix" : "" }, { "dropping-particle" : "", "family" : "\u0130nan", "given" : "\u00dcmit \u00dcbeyt", "non-dropping-particle" : "", "parse-names" : false, "suffix" : "" } ], "container-title" : "T\u00fcrk Oftalmoloji Dergisi", "id" : "ITEM-1", "issue" : "4", "issued" : { "date-parts" : [ [ "2017", "8", "9" ] ] }, "page" : "205-210", "title" : "Factors Affecting Compliance to Intravitreal Anti-Vascular Endothelial Growth Factor Therapy in Patients with Age-Related Macular Degeneration", "type" : "article-journal", "volume" : "47" }, "uris" : [ "http://www.mendeley.com/documents/?uuid=b349a565-6a27-3657-83e7-b7cb18eccfcc" ] } ], "mendeley" : { "formattedCitation" : "&lt;sup&gt;19&lt;/sup&gt;", "plainTextFormattedCitation" : "19", "previouslyFormattedCitation" : "&lt;sup&gt;19&lt;/sup&gt;" }, "properties" : { "noteIndex" : 0 }, "schema" : "https://github.com/citation-style-language/schema/raw/master/csl-citation.json" }</w:instrText>
      </w:r>
      <w:r w:rsidR="004208E6" w:rsidRPr="00D765D3">
        <w:rPr>
          <w:rFonts w:cs="Arial"/>
          <w:sz w:val="24"/>
          <w:szCs w:val="24"/>
        </w:rPr>
        <w:fldChar w:fldCharType="separate"/>
      </w:r>
      <w:r w:rsidR="00603A93" w:rsidRPr="00603A93">
        <w:rPr>
          <w:rFonts w:cs="Arial"/>
          <w:noProof/>
          <w:sz w:val="24"/>
          <w:szCs w:val="24"/>
          <w:vertAlign w:val="superscript"/>
        </w:rPr>
        <w:t>19</w:t>
      </w:r>
      <w:r w:rsidR="004208E6" w:rsidRPr="00D765D3">
        <w:rPr>
          <w:rFonts w:cs="Arial"/>
          <w:sz w:val="24"/>
          <w:szCs w:val="24"/>
        </w:rPr>
        <w:fldChar w:fldCharType="end"/>
      </w:r>
      <w:r w:rsidR="004208E6" w:rsidRPr="00D765D3">
        <w:rPr>
          <w:rFonts w:cs="Arial"/>
          <w:sz w:val="24"/>
          <w:szCs w:val="24"/>
        </w:rPr>
        <w:t xml:space="preserve"> </w:t>
      </w:r>
      <w:r w:rsidR="004208E6" w:rsidRPr="00D765D3">
        <w:rPr>
          <w:rFonts w:cs="Arial"/>
          <w:sz w:val="24"/>
          <w:szCs w:val="24"/>
        </w:rPr>
        <w:fldChar w:fldCharType="begin" w:fldLock="1"/>
      </w:r>
      <w:r w:rsidR="009F72CF">
        <w:rPr>
          <w:rFonts w:cs="Arial"/>
          <w:sz w:val="24"/>
          <w:szCs w:val="24"/>
        </w:rPr>
        <w:instrText>ADDIN CSL_CITATION { "citationItems" : [ { "id" : "ITEM-1", "itemData" : { "ISSN" : "1898-2263", "PMID" : "24364443", "abstract" : "OBJECTIVE Evaluation of the demographic profile of patients from south-eastern Poland treated due to wet age-related macular degeneration. MATERIAL AND METHODS Data concerning 201 patients were analyzed (133 F/ 68 M), aged from 50 -91, (mean age 76 \u00b1 8.6), with the wet form of age-related macular degeneration treated by intravitreal injections of vascular endothelial growth factor inhibiting drugs. The significance of the relationships between variables was investigated by means of chi-square test for independence. The differences between the empirical and theoretical sample distribution was examined by means of chi-square goodness-of-fit test. The significance level was set at p=0.05. RESULTS Analysis did not show any significant differences in the access to treatment with intravitreal injections of vascular endothelial growth factor inhibitors between the rural and urban patients. Urban males and females living in the rural areas received treatment statistically more often (p=0.05). No significant differences were observed with respect to either the waiting time for a visit in a specialist outpatient department, nor the duration of waiting for treatment. Patients from the rural and urban areas presented a similar degree of visual impairment, evidencing the advancement of the pathological process. CONCLUSIONS Place of residence has no effect on obtaining treatment by patients. The lack of significant differences in treatment between the rural and urban inhabitants may indicate a sufficient level of ophthalmological care in the area of south-eastern Poland. An improvement in the awareness of hazards resulting from inadequate diet and life style could exert a positive effect on the state of health of rural and urban inhabitants. At the same time, knowledge of the disease and risk of blindness related with this disease would increase alertness among rural and urban inhabitants, and in consequence, accelerate an early diagnosis and implementation of an effective treatment.", "author" : [ { "dropping-particle" : "", "family" : "Latalska", "given" : "Ma\u0142gorzata", "non-dropping-particle" : "", "parse-names" : false, "suffix" : "" }, { "dropping-particle" : "", "family" : "Matysik-Wo\u017aniak", "given" : "Anna", "non-dropping-particle" : "", "parse-names" : false, "suffix" : "" }, { "dropping-particle" : "", "family" : "Bylina", "given" : "Jerzy", "non-dropping-particle" : "", "parse-names" : false, "suffix" : "" }, { "dropping-particle" : "", "family" : "Latalski", "given" : "Micha\u0142", "non-dropping-particle" : "", "parse-names" : false, "suffix" : "" }, { "dropping-particle" : "", "family" : "Rejdak", "given" : "Robert", "non-dropping-particle" : "", "parse-names" : false, "suffix" : "" }, { "dropping-particle" : "", "family" : "Mackiewicz", "given" : "Jerzy", "non-dropping-particle" : "", "parse-names" : false, "suffix" : "" }, { "dropping-particle" : "", "family" : "Jarosz", "given" : "Miros\u0142aw J", "non-dropping-particle" : "", "parse-names" : false, "suffix" : "" } ], "container-title" : "Annals of agricultural and environmental medicine : AAEM", "id" : "ITEM-1", "issue" : "4", "issued" : { "date-parts" : [ [ "2013" ] ] }, "page" : "726-30", "title" : "Wet age-related macular degeneration (wet AMD) in rural and urban inhabitants in south-eastern Poland.", "type" : "article-journal", "volume" : "20" }, "uris" : [ "http://www.mendeley.com/documents/?uuid=6b6caf3f-b8dc-32f4-985d-abedf3e23d47" ] } ], "mendeley" : { "formattedCitation" : "&lt;sup&gt;20&lt;/sup&gt;", "plainTextFormattedCitation" : "20", "previouslyFormattedCitation" : "&lt;sup&gt;20&lt;/sup&gt;" }, "properties" : { "noteIndex" : 0 }, "schema" : "https://github.com/citation-style-language/schema/raw/master/csl-citation.json" }</w:instrText>
      </w:r>
      <w:r w:rsidR="004208E6" w:rsidRPr="00D765D3">
        <w:rPr>
          <w:rFonts w:cs="Arial"/>
          <w:sz w:val="24"/>
          <w:szCs w:val="24"/>
        </w:rPr>
        <w:fldChar w:fldCharType="separate"/>
      </w:r>
      <w:r w:rsidR="00603A93" w:rsidRPr="00603A93">
        <w:rPr>
          <w:rFonts w:cs="Arial"/>
          <w:noProof/>
          <w:sz w:val="24"/>
          <w:szCs w:val="24"/>
          <w:vertAlign w:val="superscript"/>
        </w:rPr>
        <w:t>20</w:t>
      </w:r>
      <w:r w:rsidR="004208E6" w:rsidRPr="00D765D3">
        <w:rPr>
          <w:rFonts w:cs="Arial"/>
          <w:sz w:val="24"/>
          <w:szCs w:val="24"/>
        </w:rPr>
        <w:fldChar w:fldCharType="end"/>
      </w:r>
      <w:r w:rsidR="00761308">
        <w:rPr>
          <w:rFonts w:cs="Arial"/>
          <w:sz w:val="24"/>
          <w:szCs w:val="24"/>
        </w:rPr>
        <w:t>.</w:t>
      </w:r>
      <w:r w:rsidR="00185D0E">
        <w:rPr>
          <w:rFonts w:cs="Arial"/>
          <w:sz w:val="24"/>
          <w:szCs w:val="24"/>
        </w:rPr>
        <w:t xml:space="preserve"> Although </w:t>
      </w:r>
      <w:r w:rsidR="00B6490E">
        <w:rPr>
          <w:rFonts w:cs="Arial"/>
          <w:sz w:val="24"/>
          <w:szCs w:val="24"/>
        </w:rPr>
        <w:t>a</w:t>
      </w:r>
      <w:r w:rsidR="00185D0E">
        <w:rPr>
          <w:rFonts w:cs="Arial"/>
          <w:sz w:val="24"/>
          <w:szCs w:val="24"/>
        </w:rPr>
        <w:t xml:space="preserve"> </w:t>
      </w:r>
      <w:r w:rsidR="00B6490E">
        <w:rPr>
          <w:rFonts w:cs="Arial"/>
          <w:sz w:val="24"/>
          <w:szCs w:val="24"/>
        </w:rPr>
        <w:t xml:space="preserve">systematic review by </w:t>
      </w:r>
      <w:r w:rsidR="00185D0E">
        <w:rPr>
          <w:rFonts w:cs="Arial"/>
          <w:sz w:val="24"/>
          <w:szCs w:val="24"/>
        </w:rPr>
        <w:t xml:space="preserve">Charlotte Kelly </w:t>
      </w:r>
      <w:r w:rsidR="003E1F3A">
        <w:rPr>
          <w:rFonts w:cs="Arial"/>
          <w:sz w:val="24"/>
          <w:szCs w:val="24"/>
        </w:rPr>
        <w:t>states that a relationship between travel time</w:t>
      </w:r>
      <w:r w:rsidR="007B7838">
        <w:rPr>
          <w:rFonts w:cs="Arial"/>
          <w:sz w:val="24"/>
          <w:szCs w:val="24"/>
        </w:rPr>
        <w:t>/distance</w:t>
      </w:r>
      <w:r w:rsidR="003E1F3A">
        <w:rPr>
          <w:rFonts w:cs="Arial"/>
          <w:sz w:val="24"/>
          <w:szCs w:val="24"/>
        </w:rPr>
        <w:t xml:space="preserve"> and worse health outcome</w:t>
      </w:r>
      <w:r w:rsidR="007B7838">
        <w:rPr>
          <w:rFonts w:cs="Arial"/>
          <w:sz w:val="24"/>
          <w:szCs w:val="24"/>
        </w:rPr>
        <w:t xml:space="preserve"> cannot be ruled out</w:t>
      </w:r>
      <w:r w:rsidR="003E1F3A">
        <w:rPr>
          <w:rFonts w:cs="Arial"/>
          <w:sz w:val="24"/>
          <w:szCs w:val="24"/>
        </w:rPr>
        <w:t xml:space="preserve">; </w:t>
      </w:r>
      <w:r w:rsidR="007B7838">
        <w:rPr>
          <w:rFonts w:cs="Arial"/>
          <w:sz w:val="24"/>
          <w:szCs w:val="24"/>
        </w:rPr>
        <w:t>as</w:t>
      </w:r>
      <w:r w:rsidR="00185D0E">
        <w:rPr>
          <w:rFonts w:cs="Arial"/>
          <w:sz w:val="24"/>
          <w:szCs w:val="24"/>
        </w:rPr>
        <w:t xml:space="preserve"> travel time is not available in our study, we have only considered travel distance</w:t>
      </w:r>
      <w:r w:rsidR="003E1F3A">
        <w:rPr>
          <w:rFonts w:cs="Arial"/>
          <w:sz w:val="24"/>
          <w:szCs w:val="24"/>
        </w:rPr>
        <w:t>.</w:t>
      </w:r>
      <w:r w:rsidR="003E1F3A">
        <w:rPr>
          <w:rFonts w:cs="Arial"/>
          <w:sz w:val="24"/>
          <w:szCs w:val="24"/>
        </w:rPr>
        <w:fldChar w:fldCharType="begin" w:fldLock="1"/>
      </w:r>
      <w:r w:rsidR="009F72CF">
        <w:rPr>
          <w:rFonts w:cs="Arial"/>
          <w:sz w:val="24"/>
          <w:szCs w:val="24"/>
        </w:rPr>
        <w:instrText>ADDIN CSL_CITATION { "citationItems" : [ { "id" : "ITEM-1", "itemData" : { "DOI" : "10.1136/bmjopen-2016", "abstract" : "Objectives: To investigate whether there is an association between differences in travel time/travel distance to healthcare services and patients' health outcomes and assimilate the methodologies used to measure this. Design: Systematic Review. We searched MEDLINE, Embase, Web of Science, Transport database, HMIC and EBM Reviews for studies up to 7 September 2016. Studies were excluded that included children (including maternity), emergency medical travel or countries classed as being in the global south. Settings: A wide range of settings within primary and secondary care (these were not restricted in the search). Results: 108 studies met the inclusion criteria. The results were mixed. 77% of the included studies identified evidence of a distance decay association, whereby patients living further away from healthcare facilities they needed to attend had worse health outcomes (eg, survival rates, length of stay in hospital and non-attendance at follow-up) than those who lived closer. 6 of the studies identified the reverse (a distance bias effect) whereby patients living at a greater distance had better health outcomes. The remaining 19 studies found no relationship. There was a large variation in the data available to the studies on the patients' geographical locations and the healthcare facilities attended, and the methods used to calculate travel times and distances were not consistent across studies. Conclusions: The review observed that a relationship between travelling further and having worse health outcomes cannot be ruled out and should be considered within the healthcare services location debate.", "author" : [ { "dropping-particle" : "", "family" : "Kelly", "given" : "Charlotte", "non-dropping-particle" : "", "parse-names" : false, "suffix" : "" }, { "dropping-particle" : "", "family" : "Hulme", "given" : "Claire", "non-dropping-particle" : "", "parse-names" : false, "suffix" : "" }, { "dropping-particle" : "", "family" : "Farragher", "given" : "Tracey", "non-dropping-particle" : "", "parse-names" : false, "suffix" : "" }, { "dropping-particle" : "", "family" : "Clarke", "given" : "Graham", "non-dropping-particle" : "", "parse-names" : false, "suffix" : "" } ], "container-title" : "BMJ Open", "id" : "ITEM-1", "issued" : { "date-parts" : [ [ "2016" ] ] }, "title" : "Are differences in travel time or distance to healthcare for adults in global north countries associated with an impact on health outcomes? A systematic review", "type" : "article-journal" }, "uris" : [ "http://www.mendeley.com/documents/?uuid=75dd23ab-57f2-38d7-8f69-110db4eb1666" ] } ], "mendeley" : { "formattedCitation" : "&lt;sup&gt;21&lt;/sup&gt;", "plainTextFormattedCitation" : "21", "previouslyFormattedCitation" : "&lt;sup&gt;22&lt;/sup&gt;" }, "properties" : { "noteIndex" : 0 }, "schema" : "https://github.com/citation-style-language/schema/raw/master/csl-citation.json" }</w:instrText>
      </w:r>
      <w:r w:rsidR="003E1F3A">
        <w:rPr>
          <w:rFonts w:cs="Arial"/>
          <w:sz w:val="24"/>
          <w:szCs w:val="24"/>
        </w:rPr>
        <w:fldChar w:fldCharType="separate"/>
      </w:r>
      <w:r w:rsidR="009F72CF" w:rsidRPr="009F72CF">
        <w:rPr>
          <w:rFonts w:cs="Arial"/>
          <w:noProof/>
          <w:sz w:val="24"/>
          <w:szCs w:val="24"/>
          <w:vertAlign w:val="superscript"/>
        </w:rPr>
        <w:t>21</w:t>
      </w:r>
      <w:r w:rsidR="003E1F3A">
        <w:rPr>
          <w:rFonts w:cs="Arial"/>
          <w:sz w:val="24"/>
          <w:szCs w:val="24"/>
        </w:rPr>
        <w:fldChar w:fldCharType="end"/>
      </w:r>
    </w:p>
    <w:p w14:paraId="03E69CB9" w14:textId="52E53B70" w:rsidR="00257DDC" w:rsidRPr="00D765D3" w:rsidRDefault="0048586F" w:rsidP="00D34244">
      <w:pPr>
        <w:spacing w:line="480" w:lineRule="auto"/>
        <w:rPr>
          <w:rFonts w:cs="Arial"/>
          <w:sz w:val="24"/>
          <w:szCs w:val="24"/>
        </w:rPr>
      </w:pPr>
      <w:r>
        <w:rPr>
          <w:rFonts w:cs="Arial"/>
          <w:sz w:val="24"/>
          <w:szCs w:val="24"/>
        </w:rPr>
        <w:t>In view of these conflicting prior studies, this study</w:t>
      </w:r>
      <w:r w:rsidR="00A96352" w:rsidRPr="00D765D3">
        <w:rPr>
          <w:rFonts w:cs="Arial"/>
          <w:sz w:val="24"/>
          <w:szCs w:val="24"/>
        </w:rPr>
        <w:t xml:space="preserve"> explore</w:t>
      </w:r>
      <w:r>
        <w:rPr>
          <w:rFonts w:cs="Arial"/>
          <w:sz w:val="24"/>
          <w:szCs w:val="24"/>
        </w:rPr>
        <w:t>d</w:t>
      </w:r>
      <w:r w:rsidR="00A96352" w:rsidRPr="00D765D3">
        <w:rPr>
          <w:rFonts w:cs="Arial"/>
          <w:sz w:val="24"/>
          <w:szCs w:val="24"/>
        </w:rPr>
        <w:t xml:space="preserve"> if there </w:t>
      </w:r>
      <w:r w:rsidR="00A72A3E">
        <w:rPr>
          <w:rFonts w:cs="Arial"/>
          <w:sz w:val="24"/>
          <w:szCs w:val="24"/>
        </w:rPr>
        <w:t>was an</w:t>
      </w:r>
      <w:r w:rsidR="00A96352" w:rsidRPr="00D765D3">
        <w:rPr>
          <w:rFonts w:cs="Arial"/>
          <w:sz w:val="24"/>
          <w:szCs w:val="24"/>
        </w:rPr>
        <w:t xml:space="preserve"> association between SES and severity of AMD </w:t>
      </w:r>
      <w:r w:rsidR="00DA0904">
        <w:rPr>
          <w:rFonts w:cs="Arial"/>
          <w:sz w:val="24"/>
          <w:szCs w:val="24"/>
        </w:rPr>
        <w:t xml:space="preserve">at presentation to hospital </w:t>
      </w:r>
      <w:r w:rsidR="008C462A">
        <w:rPr>
          <w:rFonts w:cs="Arial"/>
          <w:sz w:val="24"/>
          <w:szCs w:val="24"/>
        </w:rPr>
        <w:t>and whether</w:t>
      </w:r>
      <w:r w:rsidR="00DA0904">
        <w:rPr>
          <w:rFonts w:cs="Arial"/>
          <w:sz w:val="24"/>
          <w:szCs w:val="24"/>
        </w:rPr>
        <w:t xml:space="preserve"> SES and distance from hospital were associated with treatment completion and treatment outcome</w:t>
      </w:r>
      <w:r w:rsidR="00A96352" w:rsidRPr="00D765D3">
        <w:rPr>
          <w:rFonts w:cs="Arial"/>
          <w:sz w:val="24"/>
          <w:szCs w:val="24"/>
        </w:rPr>
        <w:t xml:space="preserve">. </w:t>
      </w:r>
      <w:bookmarkEnd w:id="1"/>
    </w:p>
    <w:p w14:paraId="4F111A66" w14:textId="38D29C5D" w:rsidR="004C0B98" w:rsidRPr="00D765D3" w:rsidRDefault="004C0B98" w:rsidP="00D34244">
      <w:pPr>
        <w:pStyle w:val="Heading1"/>
        <w:spacing w:line="480" w:lineRule="auto"/>
        <w:rPr>
          <w:sz w:val="24"/>
          <w:szCs w:val="24"/>
        </w:rPr>
      </w:pPr>
      <w:r w:rsidRPr="00D765D3">
        <w:rPr>
          <w:sz w:val="24"/>
          <w:szCs w:val="24"/>
        </w:rPr>
        <w:lastRenderedPageBreak/>
        <w:t>Methodology</w:t>
      </w:r>
    </w:p>
    <w:p w14:paraId="50BC5058" w14:textId="74B4D71E" w:rsidR="004C0B98" w:rsidRPr="00D765D3" w:rsidRDefault="004C0B98" w:rsidP="00D34244">
      <w:pPr>
        <w:widowControl w:val="0"/>
        <w:tabs>
          <w:tab w:val="left" w:pos="198"/>
        </w:tabs>
        <w:spacing w:after="0" w:line="480" w:lineRule="auto"/>
        <w:rPr>
          <w:rFonts w:cs="Arial"/>
          <w:b/>
          <w:noProof/>
          <w:spacing w:val="4"/>
          <w:sz w:val="24"/>
          <w:szCs w:val="24"/>
          <w:lang w:val="en-GB" w:eastAsia="en-GB"/>
        </w:rPr>
      </w:pPr>
    </w:p>
    <w:p w14:paraId="23774430" w14:textId="38E04190" w:rsidR="00927EA4" w:rsidRPr="00D765D3" w:rsidRDefault="00406344" w:rsidP="00927EA4">
      <w:pPr>
        <w:spacing w:line="480" w:lineRule="auto"/>
        <w:rPr>
          <w:rFonts w:cs="Arial"/>
          <w:sz w:val="24"/>
          <w:szCs w:val="24"/>
        </w:rPr>
      </w:pPr>
      <w:r>
        <w:rPr>
          <w:rFonts w:cs="Arial"/>
          <w:sz w:val="24"/>
          <w:szCs w:val="24"/>
        </w:rPr>
        <w:t xml:space="preserve">Patients </w:t>
      </w:r>
      <w:r w:rsidR="000E05C3">
        <w:rPr>
          <w:rFonts w:cs="Arial"/>
          <w:sz w:val="24"/>
          <w:szCs w:val="24"/>
        </w:rPr>
        <w:t xml:space="preserve">included in this </w:t>
      </w:r>
      <w:r w:rsidR="00A8485A">
        <w:rPr>
          <w:rFonts w:cs="Arial"/>
          <w:sz w:val="24"/>
          <w:szCs w:val="24"/>
        </w:rPr>
        <w:t xml:space="preserve">retrospective </w:t>
      </w:r>
      <w:r w:rsidR="000E05C3">
        <w:rPr>
          <w:rFonts w:cs="Arial"/>
          <w:sz w:val="24"/>
          <w:szCs w:val="24"/>
        </w:rPr>
        <w:t xml:space="preserve">cohort study </w:t>
      </w:r>
      <w:r>
        <w:rPr>
          <w:rFonts w:cs="Arial"/>
          <w:sz w:val="24"/>
          <w:szCs w:val="24"/>
        </w:rPr>
        <w:t>were treated</w:t>
      </w:r>
      <w:r w:rsidR="00A30E1F">
        <w:rPr>
          <w:rFonts w:cs="Arial"/>
          <w:sz w:val="24"/>
          <w:szCs w:val="24"/>
        </w:rPr>
        <w:t xml:space="preserve"> according to</w:t>
      </w:r>
      <w:r>
        <w:rPr>
          <w:rFonts w:cs="Arial"/>
          <w:sz w:val="24"/>
          <w:szCs w:val="24"/>
        </w:rPr>
        <w:t xml:space="preserve"> National Institute for Health and Care Excellence</w:t>
      </w:r>
      <w:r w:rsidR="00A30E1F">
        <w:rPr>
          <w:rFonts w:cs="Arial"/>
          <w:sz w:val="24"/>
          <w:szCs w:val="24"/>
        </w:rPr>
        <w:t xml:space="preserve"> </w:t>
      </w:r>
      <w:r>
        <w:rPr>
          <w:rFonts w:cs="Arial"/>
          <w:sz w:val="24"/>
          <w:szCs w:val="24"/>
        </w:rPr>
        <w:t>(</w:t>
      </w:r>
      <w:r w:rsidR="00A30E1F">
        <w:rPr>
          <w:rFonts w:cs="Arial"/>
          <w:sz w:val="24"/>
          <w:szCs w:val="24"/>
        </w:rPr>
        <w:t>NICE</w:t>
      </w:r>
      <w:r>
        <w:rPr>
          <w:rFonts w:cs="Arial"/>
          <w:sz w:val="24"/>
          <w:szCs w:val="24"/>
        </w:rPr>
        <w:t>)</w:t>
      </w:r>
      <w:r w:rsidR="00A30E1F">
        <w:rPr>
          <w:rFonts w:cs="Arial"/>
          <w:sz w:val="24"/>
          <w:szCs w:val="24"/>
        </w:rPr>
        <w:t xml:space="preserve"> guidance</w:t>
      </w:r>
      <w:r>
        <w:rPr>
          <w:rFonts w:cs="Arial"/>
          <w:sz w:val="24"/>
          <w:szCs w:val="24"/>
        </w:rPr>
        <w:t>.</w:t>
      </w:r>
      <w:r w:rsidR="0056241F">
        <w:rPr>
          <w:rFonts w:cs="Arial"/>
          <w:sz w:val="24"/>
          <w:szCs w:val="24"/>
        </w:rPr>
        <w:fldChar w:fldCharType="begin" w:fldLock="1"/>
      </w:r>
      <w:r w:rsidR="009F72CF">
        <w:rPr>
          <w:rFonts w:cs="Arial"/>
          <w:sz w:val="24"/>
          <w:szCs w:val="24"/>
        </w:rPr>
        <w:instrText>ADDIN CSL_CITATION { "citationItems" : [ { "id" : "ITEM-1", "itemData" : { "id" : "ITEM-1", "issued" : { "date-parts" : [ [ "0" ] ] }, "publisher" : "NICE", "title" : "Aflibercept solution for injection for treating wet age\u2011related macular degeneration | Guidance and guidelines | NICE", "type" : "article-journal" }, "uris" : [ "http://www.mendeley.com/documents/?uuid=0055818a-49fb-3d77-9b83-5d99334fd2bd" ] } ], "mendeley" : { "formattedCitation" : "&lt;sup&gt;22&lt;/sup&gt;", "plainTextFormattedCitation" : "22", "previouslyFormattedCitation" : "&lt;sup&gt;21&lt;/sup&gt;" }, "properties" : { "noteIndex" : 0 }, "schema" : "https://github.com/citation-style-language/schema/raw/master/csl-citation.json" }</w:instrText>
      </w:r>
      <w:r w:rsidR="0056241F">
        <w:rPr>
          <w:rFonts w:cs="Arial"/>
          <w:sz w:val="24"/>
          <w:szCs w:val="24"/>
        </w:rPr>
        <w:fldChar w:fldCharType="separate"/>
      </w:r>
      <w:r w:rsidR="009F72CF" w:rsidRPr="009F72CF">
        <w:rPr>
          <w:rFonts w:cs="Arial"/>
          <w:noProof/>
          <w:sz w:val="24"/>
          <w:szCs w:val="24"/>
          <w:vertAlign w:val="superscript"/>
        </w:rPr>
        <w:t>22</w:t>
      </w:r>
      <w:r w:rsidR="0056241F">
        <w:rPr>
          <w:rFonts w:cs="Arial"/>
          <w:sz w:val="24"/>
          <w:szCs w:val="24"/>
        </w:rPr>
        <w:fldChar w:fldCharType="end"/>
      </w:r>
      <w:r>
        <w:rPr>
          <w:rFonts w:cs="Arial"/>
          <w:sz w:val="24"/>
          <w:szCs w:val="24"/>
        </w:rPr>
        <w:t xml:space="preserve"> </w:t>
      </w:r>
      <w:r w:rsidR="0048586F">
        <w:rPr>
          <w:rFonts w:cs="Arial"/>
          <w:sz w:val="24"/>
          <w:szCs w:val="24"/>
        </w:rPr>
        <w:t>Neovascular</w:t>
      </w:r>
      <w:r w:rsidR="0048586F" w:rsidRPr="00D765D3">
        <w:rPr>
          <w:rFonts w:cs="Arial"/>
          <w:sz w:val="24"/>
          <w:szCs w:val="24"/>
        </w:rPr>
        <w:t xml:space="preserve"> </w:t>
      </w:r>
      <w:r w:rsidR="00931584" w:rsidRPr="00D765D3">
        <w:rPr>
          <w:rFonts w:cs="Arial"/>
          <w:sz w:val="24"/>
          <w:szCs w:val="24"/>
        </w:rPr>
        <w:t xml:space="preserve">AMD was diagnosed by ophthalmologists </w:t>
      </w:r>
      <w:r>
        <w:rPr>
          <w:rFonts w:cs="Arial"/>
          <w:sz w:val="24"/>
          <w:szCs w:val="24"/>
        </w:rPr>
        <w:t>based on c</w:t>
      </w:r>
      <w:r w:rsidR="00931584" w:rsidRPr="00D765D3">
        <w:rPr>
          <w:rFonts w:cs="Arial"/>
          <w:sz w:val="24"/>
          <w:szCs w:val="24"/>
        </w:rPr>
        <w:t xml:space="preserve">linical </w:t>
      </w:r>
      <w:r>
        <w:rPr>
          <w:rFonts w:cs="Arial"/>
          <w:sz w:val="24"/>
          <w:szCs w:val="24"/>
        </w:rPr>
        <w:t>assessment</w:t>
      </w:r>
      <w:r w:rsidR="006C4817">
        <w:rPr>
          <w:rFonts w:cs="Arial"/>
          <w:sz w:val="24"/>
          <w:szCs w:val="24"/>
        </w:rPr>
        <w:t>,</w:t>
      </w:r>
      <w:r>
        <w:rPr>
          <w:rFonts w:cs="Arial"/>
          <w:sz w:val="24"/>
          <w:szCs w:val="24"/>
        </w:rPr>
        <w:t xml:space="preserve"> f</w:t>
      </w:r>
      <w:r w:rsidR="00EF13CC" w:rsidRPr="00D765D3">
        <w:rPr>
          <w:rFonts w:cs="Arial"/>
          <w:sz w:val="24"/>
          <w:szCs w:val="24"/>
        </w:rPr>
        <w:t>luoresc</w:t>
      </w:r>
      <w:r w:rsidR="00EF13CC">
        <w:rPr>
          <w:rFonts w:cs="Arial"/>
          <w:sz w:val="24"/>
          <w:szCs w:val="24"/>
        </w:rPr>
        <w:t>ein</w:t>
      </w:r>
      <w:r w:rsidR="00EF13CC" w:rsidRPr="00D765D3">
        <w:rPr>
          <w:rFonts w:cs="Arial"/>
          <w:sz w:val="24"/>
          <w:szCs w:val="24"/>
        </w:rPr>
        <w:t xml:space="preserve"> </w:t>
      </w:r>
      <w:r w:rsidR="006C4817">
        <w:rPr>
          <w:rFonts w:cs="Arial"/>
          <w:sz w:val="24"/>
          <w:szCs w:val="24"/>
        </w:rPr>
        <w:t>a</w:t>
      </w:r>
      <w:r w:rsidR="006C4817" w:rsidRPr="00D765D3">
        <w:rPr>
          <w:rFonts w:cs="Arial"/>
          <w:sz w:val="24"/>
          <w:szCs w:val="24"/>
        </w:rPr>
        <w:t xml:space="preserve">ngiography </w:t>
      </w:r>
      <w:r w:rsidR="00931584" w:rsidRPr="00D765D3">
        <w:rPr>
          <w:rFonts w:cs="Arial"/>
          <w:sz w:val="24"/>
          <w:szCs w:val="24"/>
        </w:rPr>
        <w:t xml:space="preserve">and </w:t>
      </w:r>
      <w:r>
        <w:rPr>
          <w:rFonts w:cs="Arial"/>
          <w:sz w:val="24"/>
          <w:szCs w:val="24"/>
        </w:rPr>
        <w:t>o</w:t>
      </w:r>
      <w:r w:rsidR="00931584" w:rsidRPr="00D765D3">
        <w:rPr>
          <w:rFonts w:cs="Arial"/>
          <w:sz w:val="24"/>
          <w:szCs w:val="24"/>
        </w:rPr>
        <w:t xml:space="preserve">ptical </w:t>
      </w:r>
      <w:r>
        <w:rPr>
          <w:rFonts w:cs="Arial"/>
          <w:sz w:val="24"/>
          <w:szCs w:val="24"/>
        </w:rPr>
        <w:t>c</w:t>
      </w:r>
      <w:r w:rsidR="00931584" w:rsidRPr="00D765D3">
        <w:rPr>
          <w:rFonts w:cs="Arial"/>
          <w:sz w:val="24"/>
          <w:szCs w:val="24"/>
        </w:rPr>
        <w:t xml:space="preserve">oherence </w:t>
      </w:r>
      <w:r>
        <w:rPr>
          <w:rFonts w:cs="Arial"/>
          <w:sz w:val="24"/>
          <w:szCs w:val="24"/>
        </w:rPr>
        <w:t>t</w:t>
      </w:r>
      <w:r w:rsidR="00931584" w:rsidRPr="00D765D3">
        <w:rPr>
          <w:rFonts w:cs="Arial"/>
          <w:sz w:val="24"/>
          <w:szCs w:val="24"/>
        </w:rPr>
        <w:t>omography</w:t>
      </w:r>
      <w:r w:rsidR="002D42B4">
        <w:rPr>
          <w:rFonts w:cs="Arial"/>
          <w:sz w:val="24"/>
          <w:szCs w:val="24"/>
        </w:rPr>
        <w:fldChar w:fldCharType="begin" w:fldLock="1"/>
      </w:r>
      <w:r w:rsidR="009F72CF">
        <w:rPr>
          <w:rFonts w:cs="Arial"/>
          <w:sz w:val="24"/>
          <w:szCs w:val="24"/>
        </w:rPr>
        <w:instrText>ADDIN CSL_CITATION { "citationItems" : [ { "id" : "ITEM-1", "itemData" : { "abstract" : "Age-related macular degeneration 1 2 NICE guideline: short version 3 Draft for consultation, April 2017 4 This guideline covers diagnosing and managing age-related macular degeneration (AMD) in adults aged 18 and over. It aims to optimise service organisation and identification of risk factors, and improve diagnosis, management and review of this condition. It also aims to improve support and availability of information for people with AMD. Who is it for? \uf0b7 People with age-related macular degeneration, their families and carers \uf0b7 Healthcare professionals in primary and secondary care \uf0b7 Social care professionals \uf0b7 Commissioners and providers of ophthalmic and optometric services This version of the guideline contains the draft recommendations, context and recommendations for research. Information about how the guideline was developed is on the guideline's page on the NICE website. This includes the guideline committee's discussion and the evidence reviews (in the full guideline), the scope, and details of the committee and any declarations of interest. 5 DRAFT FOR CONSULTATION Age-related macular degeneration: NICE guideline short version DRAFT (February 2017)", "id" : "ITEM-1", "issued" : { "date-parts" : [ [ "0" ] ] }, "title" : "Age-related macular degeneration", "type" : "article-journal" }, "uris" : [ "http://www.mendeley.com/documents/?uuid=2e6ea84e-dd3e-39fa-893c-a8cabf8b395a" ] } ], "mendeley" : { "formattedCitation" : "&lt;sup&gt;23&lt;/sup&gt;", "plainTextFormattedCitation" : "23", "previouslyFormattedCitation" : "&lt;sup&gt;22&lt;/sup&gt;" }, "properties" : { "noteIndex" : 0 }, "schema" : "https://github.com/citation-style-language/schema/raw/master/csl-citation.json" }</w:instrText>
      </w:r>
      <w:r w:rsidR="002D42B4">
        <w:rPr>
          <w:rFonts w:cs="Arial"/>
          <w:sz w:val="24"/>
          <w:szCs w:val="24"/>
        </w:rPr>
        <w:fldChar w:fldCharType="separate"/>
      </w:r>
      <w:r w:rsidR="009F72CF" w:rsidRPr="009F72CF">
        <w:rPr>
          <w:rFonts w:cs="Arial"/>
          <w:noProof/>
          <w:sz w:val="24"/>
          <w:szCs w:val="24"/>
          <w:vertAlign w:val="superscript"/>
        </w:rPr>
        <w:t>23</w:t>
      </w:r>
      <w:r w:rsidR="002D42B4">
        <w:rPr>
          <w:rFonts w:cs="Arial"/>
          <w:sz w:val="24"/>
          <w:szCs w:val="24"/>
        </w:rPr>
        <w:fldChar w:fldCharType="end"/>
      </w:r>
      <w:r w:rsidR="00931584" w:rsidRPr="00D765D3">
        <w:rPr>
          <w:rFonts w:cs="Arial"/>
          <w:sz w:val="24"/>
          <w:szCs w:val="24"/>
        </w:rPr>
        <w:t>.</w:t>
      </w:r>
      <w:r w:rsidR="00927EA4">
        <w:rPr>
          <w:rFonts w:cs="Arial"/>
          <w:sz w:val="24"/>
          <w:szCs w:val="24"/>
        </w:rPr>
        <w:t xml:space="preserve"> Data from 756 1</w:t>
      </w:r>
      <w:r w:rsidR="00927EA4" w:rsidRPr="00927EA4">
        <w:rPr>
          <w:rFonts w:cs="Arial"/>
          <w:sz w:val="24"/>
          <w:szCs w:val="24"/>
          <w:vertAlign w:val="superscript"/>
        </w:rPr>
        <w:t>st</w:t>
      </w:r>
      <w:r w:rsidR="00927EA4">
        <w:rPr>
          <w:rFonts w:cs="Arial"/>
          <w:sz w:val="24"/>
          <w:szCs w:val="24"/>
        </w:rPr>
        <w:t xml:space="preserve"> treated eyes of 756 patients were included. </w:t>
      </w:r>
      <w:r w:rsidR="00927EA4" w:rsidRPr="003A2DCD">
        <w:rPr>
          <w:rFonts w:cs="Arial"/>
          <w:sz w:val="24"/>
          <w:szCs w:val="24"/>
        </w:rPr>
        <w:t xml:space="preserve">Only data from the 1st treated eyes with </w:t>
      </w:r>
      <w:r w:rsidR="00FD6681">
        <w:rPr>
          <w:rFonts w:cs="Arial"/>
          <w:sz w:val="24"/>
          <w:szCs w:val="24"/>
        </w:rPr>
        <w:t>neovascular</w:t>
      </w:r>
      <w:r w:rsidR="00FD6681" w:rsidRPr="00D765D3">
        <w:rPr>
          <w:rFonts w:cs="Arial"/>
          <w:sz w:val="24"/>
          <w:szCs w:val="24"/>
        </w:rPr>
        <w:t xml:space="preserve"> </w:t>
      </w:r>
      <w:r w:rsidR="00927EA4" w:rsidRPr="003A2DCD">
        <w:rPr>
          <w:rFonts w:cs="Arial"/>
          <w:sz w:val="24"/>
          <w:szCs w:val="24"/>
        </w:rPr>
        <w:t>AMD with aflibercept were analyzed in our retrospective cohort study.</w:t>
      </w:r>
      <w:r w:rsidR="00927EA4" w:rsidRPr="00927EA4">
        <w:rPr>
          <w:rFonts w:cs="Arial"/>
          <w:color w:val="FF0000"/>
          <w:sz w:val="24"/>
          <w:szCs w:val="24"/>
        </w:rPr>
        <w:t xml:space="preserve"> </w:t>
      </w:r>
    </w:p>
    <w:p w14:paraId="01DC54C8" w14:textId="2B8B81AC" w:rsidR="00931584" w:rsidRPr="00D765D3" w:rsidRDefault="00931584" w:rsidP="00D34244">
      <w:pPr>
        <w:spacing w:line="480" w:lineRule="auto"/>
        <w:rPr>
          <w:rFonts w:cs="Arial"/>
          <w:sz w:val="24"/>
          <w:szCs w:val="24"/>
        </w:rPr>
      </w:pPr>
    </w:p>
    <w:p w14:paraId="33F99DAF" w14:textId="6D32C807" w:rsidR="00927EA4" w:rsidRDefault="002B3564" w:rsidP="00927EA4">
      <w:pPr>
        <w:spacing w:line="480" w:lineRule="auto"/>
        <w:rPr>
          <w:rFonts w:cs="Arial"/>
          <w:sz w:val="24"/>
          <w:szCs w:val="24"/>
        </w:rPr>
      </w:pPr>
      <w:r w:rsidRPr="00D765D3">
        <w:rPr>
          <w:rFonts w:cs="Arial"/>
          <w:sz w:val="24"/>
          <w:szCs w:val="24"/>
        </w:rPr>
        <w:t>The target population for this study was wet AMD patients aged over 50 years who received</w:t>
      </w:r>
      <w:r w:rsidR="005D748C">
        <w:rPr>
          <w:rFonts w:cs="Arial"/>
          <w:sz w:val="24"/>
          <w:szCs w:val="24"/>
        </w:rPr>
        <w:t xml:space="preserve"> treatment by</w:t>
      </w:r>
      <w:r w:rsidRPr="00D765D3">
        <w:rPr>
          <w:rFonts w:cs="Arial"/>
          <w:sz w:val="24"/>
          <w:szCs w:val="24"/>
        </w:rPr>
        <w:t xml:space="preserve"> injection </w:t>
      </w:r>
      <w:r w:rsidR="005D748C">
        <w:rPr>
          <w:rFonts w:cs="Arial"/>
          <w:sz w:val="24"/>
          <w:szCs w:val="24"/>
        </w:rPr>
        <w:t>of a</w:t>
      </w:r>
      <w:r w:rsidRPr="00D765D3">
        <w:rPr>
          <w:rFonts w:cs="Arial"/>
          <w:sz w:val="24"/>
          <w:szCs w:val="24"/>
        </w:rPr>
        <w:t>flibercept</w:t>
      </w:r>
      <w:r w:rsidR="005D748C">
        <w:rPr>
          <w:rFonts w:cs="Arial"/>
          <w:sz w:val="24"/>
          <w:szCs w:val="24"/>
        </w:rPr>
        <w:t xml:space="preserve"> using a locally developed care pathway.</w:t>
      </w:r>
      <w:r w:rsidR="004463A9">
        <w:rPr>
          <w:rFonts w:cs="Arial"/>
          <w:sz w:val="24"/>
          <w:szCs w:val="24"/>
        </w:rPr>
        <w:fldChar w:fldCharType="begin" w:fldLock="1"/>
      </w:r>
      <w:r w:rsidR="009F72CF">
        <w:rPr>
          <w:rFonts w:cs="Arial"/>
          <w:sz w:val="24"/>
          <w:szCs w:val="24"/>
        </w:rPr>
        <w:instrText>ADDIN CSL_CITATION { "citationItems" : [ { "id" : "ITEM-1", "itemData" : { "DOI" : "10.1038/eye.2017.6", "ISSN" : "0950-222X", "PMID" : "28186507", "abstract" : "PurposeTo investigate 1-year visual and anatomic outcomes of intravitreal aflibercept for neovascular age-related macular degeneration (nAMD) given at a fixed 8-weekly interval.MethodsRetrospective, single-practice data analysis from an electronic medical record system of 255 eyes (223 patients) with treatment-na\u00efve nAMD receiving 8-weekly aflibercept.ResultsMean logarithm of the minimum angle of resolution best-corrected visual acuity (BCVA) improved from 0.66 at baseline to 0.50 at month 11 (P&lt;0.0001). Mean central retinal thickness (CRT) decreased from 311 \u03bcm at baseline to 211 \u03bcm at month 11 (P&lt;0.0001). Our mean VA gain of eight ETDRS letters was comparable to the VIEW 1 and VIEW 2 Trials' results at the end of year 1. After loading at month 5, mean BCVA was 0.48 (P&lt;0.0001), and mean CRT was 235 \u03bcm. At month 5, 143 eyes (56%) were inactive defined by the absence of macular haemorrhage and intraretinal fluid (IRF) and subretinal fluid (SRF) on optical coherence tomography, and 112 eyes (44%) remained active. At month 11, 136 eyes (53%) were inactive, and 119 eyes (47%) remained active. At month 11, 77% of inactive eyes after loading remained inactive, and 77% of the active eyes after loading remained active. At month 11, mean BCVA of the inactive group was 0.51, and mean BCVA of the active group was 0.48 (P=0.54).ConclusionsAflibercept administered by fixed dosing over 1 year improved VA and macular morphology in treatment-na\u00efve eyes. Active lesions at month 11 do not have worse VA outcomes compared with inactive lesions. The macular status after loading is a reliable indicator of disease activity at the end of year 1.", "author" : [ { "dropping-particle" : "", "family" : "Almuhtaseb", "given" : "H", "non-dropping-particle" : "", "parse-names" : false, "suffix" : "" }, { "dropping-particle" : "", "family" : "Kanavati", "given" : "S", "non-dropping-particle" : "", "parse-names" : false, "suffix" : "" }, { "dropping-particle" : "", "family" : "Rufai", "given" : "S R", "non-dropping-particle" : "", "parse-names" : false, "suffix" : "" }, { "dropping-particle" : "", "family" : "Lotery", "given" : "A J", "non-dropping-particle" : "", "parse-names" : false, "suffix" : "" } ], "container-title" : "Eye", "id" : "ITEM-1", "issue" : "6", "issued" : { "date-parts" : [ [ "2017" ] ] }, "page" : "878-883", "title" : "One-year real-world outcomes in patients receiving fixed-dosing aflibercept for neovascular age-related macular degeneration", "type" : "article-journal", "volume" : "31" }, "uris" : [ "http://www.mendeley.com/documents/?uuid=59061bf6-8424-37d7-bdf9-66feedda30e3" ] } ], "mendeley" : { "formattedCitation" : "&lt;sup&gt;24&lt;/sup&gt;", "plainTextFormattedCitation" : "24", "previouslyFormattedCitation" : "&lt;sup&gt;23&lt;/sup&gt;" }, "properties" : { "noteIndex" : 0 }, "schema" : "https://github.com/citation-style-language/schema/raw/master/csl-citation.json" }</w:instrText>
      </w:r>
      <w:r w:rsidR="004463A9">
        <w:rPr>
          <w:rFonts w:cs="Arial"/>
          <w:sz w:val="24"/>
          <w:szCs w:val="24"/>
        </w:rPr>
        <w:fldChar w:fldCharType="separate"/>
      </w:r>
      <w:r w:rsidR="009F72CF" w:rsidRPr="009F72CF">
        <w:rPr>
          <w:rFonts w:cs="Arial"/>
          <w:noProof/>
          <w:sz w:val="24"/>
          <w:szCs w:val="24"/>
          <w:vertAlign w:val="superscript"/>
        </w:rPr>
        <w:t>24</w:t>
      </w:r>
      <w:r w:rsidR="004463A9">
        <w:rPr>
          <w:rFonts w:cs="Arial"/>
          <w:sz w:val="24"/>
          <w:szCs w:val="24"/>
        </w:rPr>
        <w:fldChar w:fldCharType="end"/>
      </w:r>
      <w:r w:rsidRPr="00D765D3">
        <w:rPr>
          <w:rFonts w:cs="Arial"/>
          <w:sz w:val="24"/>
          <w:szCs w:val="24"/>
        </w:rPr>
        <w:t xml:space="preserve"> </w:t>
      </w:r>
      <w:r w:rsidR="00931584" w:rsidRPr="00D765D3">
        <w:rPr>
          <w:rFonts w:cs="Arial"/>
          <w:sz w:val="24"/>
          <w:szCs w:val="24"/>
        </w:rPr>
        <w:t>NICE guidelines were followed where</w:t>
      </w:r>
      <w:r w:rsidR="005D748C">
        <w:rPr>
          <w:rFonts w:cs="Arial"/>
          <w:sz w:val="24"/>
          <w:szCs w:val="24"/>
        </w:rPr>
        <w:t xml:space="preserve"> patients with best corrected </w:t>
      </w:r>
      <w:r w:rsidR="001A47A7">
        <w:rPr>
          <w:rFonts w:cs="Arial"/>
          <w:sz w:val="24"/>
          <w:szCs w:val="24"/>
        </w:rPr>
        <w:t>visual acuity (</w:t>
      </w:r>
      <w:r w:rsidR="00F057ED">
        <w:rPr>
          <w:rFonts w:cs="Arial"/>
          <w:sz w:val="24"/>
          <w:szCs w:val="24"/>
        </w:rPr>
        <w:t>VA</w:t>
      </w:r>
      <w:r w:rsidR="001A47A7">
        <w:rPr>
          <w:rFonts w:cs="Arial"/>
          <w:sz w:val="24"/>
          <w:szCs w:val="24"/>
        </w:rPr>
        <w:t>)</w:t>
      </w:r>
      <w:r w:rsidR="005D748C">
        <w:rPr>
          <w:rFonts w:cs="Arial"/>
          <w:sz w:val="24"/>
          <w:szCs w:val="24"/>
        </w:rPr>
        <w:t xml:space="preserve"> </w:t>
      </w:r>
      <w:r w:rsidR="00931584" w:rsidRPr="00D765D3">
        <w:rPr>
          <w:rFonts w:cs="Arial"/>
          <w:sz w:val="24"/>
          <w:szCs w:val="24"/>
        </w:rPr>
        <w:t xml:space="preserve">between </w:t>
      </w:r>
      <w:r w:rsidR="005E36B9">
        <w:rPr>
          <w:rFonts w:cs="Arial"/>
          <w:sz w:val="24"/>
          <w:szCs w:val="24"/>
        </w:rPr>
        <w:t>0.3</w:t>
      </w:r>
      <w:r w:rsidR="00931584" w:rsidRPr="00D765D3">
        <w:rPr>
          <w:rFonts w:cs="Arial"/>
          <w:sz w:val="24"/>
          <w:szCs w:val="24"/>
        </w:rPr>
        <w:t xml:space="preserve"> (</w:t>
      </w:r>
      <w:r w:rsidR="0023436D">
        <w:rPr>
          <w:rFonts w:cs="Arial"/>
          <w:sz w:val="24"/>
          <w:szCs w:val="24"/>
        </w:rPr>
        <w:t xml:space="preserve">70 ETDRS letters; </w:t>
      </w:r>
      <w:r w:rsidR="00931584" w:rsidRPr="00D765D3">
        <w:rPr>
          <w:rFonts w:cs="Arial"/>
          <w:sz w:val="24"/>
          <w:szCs w:val="24"/>
        </w:rPr>
        <w:t xml:space="preserve">mild visual impairment) and </w:t>
      </w:r>
      <w:r w:rsidR="005E36B9">
        <w:rPr>
          <w:rFonts w:cs="Arial"/>
          <w:sz w:val="24"/>
          <w:szCs w:val="24"/>
        </w:rPr>
        <w:t>1.2</w:t>
      </w:r>
      <w:r w:rsidR="00931584" w:rsidRPr="00D765D3">
        <w:rPr>
          <w:rFonts w:cs="Arial"/>
          <w:sz w:val="24"/>
          <w:szCs w:val="24"/>
        </w:rPr>
        <w:t xml:space="preserve"> (</w:t>
      </w:r>
      <w:r w:rsidR="0023436D">
        <w:rPr>
          <w:rFonts w:cs="Arial"/>
          <w:sz w:val="24"/>
          <w:szCs w:val="24"/>
        </w:rPr>
        <w:t xml:space="preserve">25 ETDRS letters; </w:t>
      </w:r>
      <w:r w:rsidR="00931584" w:rsidRPr="00D765D3">
        <w:rPr>
          <w:rFonts w:cs="Arial"/>
          <w:sz w:val="24"/>
          <w:szCs w:val="24"/>
        </w:rPr>
        <w:t>blindness) on</w:t>
      </w:r>
      <w:r w:rsidR="005D748C">
        <w:rPr>
          <w:rFonts w:cs="Arial"/>
          <w:sz w:val="24"/>
          <w:szCs w:val="24"/>
        </w:rPr>
        <w:t xml:space="preserve"> a</w:t>
      </w:r>
      <w:r w:rsidR="00931584" w:rsidRPr="00D765D3">
        <w:rPr>
          <w:rFonts w:cs="Arial"/>
          <w:sz w:val="24"/>
          <w:szCs w:val="24"/>
        </w:rPr>
        <w:t xml:space="preserve"> </w:t>
      </w:r>
      <w:proofErr w:type="spellStart"/>
      <w:r w:rsidR="006100FE">
        <w:rPr>
          <w:rFonts w:cs="Arial"/>
          <w:sz w:val="24"/>
          <w:szCs w:val="24"/>
        </w:rPr>
        <w:t>Logmar</w:t>
      </w:r>
      <w:proofErr w:type="spellEnd"/>
      <w:r w:rsidR="006100FE" w:rsidRPr="00D765D3">
        <w:rPr>
          <w:rFonts w:cs="Arial"/>
          <w:sz w:val="24"/>
          <w:szCs w:val="24"/>
        </w:rPr>
        <w:t xml:space="preserve"> </w:t>
      </w:r>
      <w:r w:rsidR="00931584" w:rsidRPr="00D765D3">
        <w:rPr>
          <w:rFonts w:cs="Arial"/>
          <w:sz w:val="24"/>
          <w:szCs w:val="24"/>
        </w:rPr>
        <w:t xml:space="preserve">Vision Chart </w:t>
      </w:r>
      <w:r w:rsidR="005D748C">
        <w:rPr>
          <w:rFonts w:cs="Arial"/>
          <w:sz w:val="24"/>
          <w:szCs w:val="24"/>
        </w:rPr>
        <w:t>were treated</w:t>
      </w:r>
      <w:r w:rsidR="00931584" w:rsidRPr="00D765D3">
        <w:rPr>
          <w:rFonts w:cs="Arial"/>
          <w:sz w:val="24"/>
          <w:szCs w:val="24"/>
        </w:rPr>
        <w:fldChar w:fldCharType="begin" w:fldLock="1"/>
      </w:r>
      <w:r w:rsidR="009F72CF">
        <w:rPr>
          <w:rFonts w:cs="Arial"/>
          <w:sz w:val="24"/>
          <w:szCs w:val="24"/>
        </w:rPr>
        <w:instrText>ADDIN CSL_CITATION { "citationItems" : [ { "id" : "ITEM-1", "itemData" : { "abstract" : "Age-related macular degeneration 1 2 NICE guideline: short version 3 Draft for consultation, April 2017 4 This guideline covers diagnosing and managing age-related macular degeneration (AMD) in adults aged 18 and over. It aims to optimise service organisation and identification of risk factors, and improve diagnosis, management and review of this condition. It also aims to improve support and availability of information for people with AMD. Who is it for? \uf0b7 People with age-related macular degeneration, their families and carers \uf0b7 Healthcare professionals in primary and secondary care \uf0b7 Social care professionals \uf0b7 Commissioners and providers of ophthalmic and optometric services This version of the guideline contains the draft recommendations, context and recommendations for research. Information about how the guideline was developed is on the guideline's page on the NICE website. This includes the guideline committee's discussion and the evidence reviews (in the full guideline), the scope, and details of the committee and any declarations of interest. 5 DRAFT FOR CONSULTATION Age-related macular degeneration: NICE guideline short version DRAFT (February 2017)", "id" : "ITEM-1", "issued" : { "date-parts" : [ [ "0" ] ] }, "title" : "Age-related macular degeneration", "type" : "article-journal" }, "uris" : [ "http://www.mendeley.com/documents/?uuid=2e6ea84e-dd3e-39fa-893c-a8cabf8b395a" ] } ], "mendeley" : { "formattedCitation" : "&lt;sup&gt;23&lt;/sup&gt;", "plainTextFormattedCitation" : "23", "previouslyFormattedCitation" : "&lt;sup&gt;22&lt;/sup&gt;" }, "properties" : { "noteIndex" : 0 }, "schema" : "https://github.com/citation-style-language/schema/raw/master/csl-citation.json" }</w:instrText>
      </w:r>
      <w:r w:rsidR="00931584" w:rsidRPr="00D765D3">
        <w:rPr>
          <w:rFonts w:cs="Arial"/>
          <w:sz w:val="24"/>
          <w:szCs w:val="24"/>
        </w:rPr>
        <w:fldChar w:fldCharType="separate"/>
      </w:r>
      <w:r w:rsidR="009F72CF" w:rsidRPr="009F72CF">
        <w:rPr>
          <w:rFonts w:cs="Arial"/>
          <w:noProof/>
          <w:sz w:val="24"/>
          <w:szCs w:val="24"/>
          <w:vertAlign w:val="superscript"/>
        </w:rPr>
        <w:t>23</w:t>
      </w:r>
      <w:r w:rsidR="00931584" w:rsidRPr="00D765D3">
        <w:rPr>
          <w:rFonts w:cs="Arial"/>
          <w:sz w:val="24"/>
          <w:szCs w:val="24"/>
        </w:rPr>
        <w:fldChar w:fldCharType="end"/>
      </w:r>
      <w:r w:rsidR="00931584" w:rsidRPr="00D765D3">
        <w:rPr>
          <w:rFonts w:cs="Arial"/>
          <w:sz w:val="24"/>
          <w:szCs w:val="24"/>
        </w:rPr>
        <w:t xml:space="preserve"> </w:t>
      </w:r>
      <w:r w:rsidR="00931584" w:rsidRPr="00D765D3">
        <w:rPr>
          <w:rFonts w:cs="Arial"/>
          <w:sz w:val="24"/>
          <w:szCs w:val="24"/>
        </w:rPr>
        <w:fldChar w:fldCharType="begin" w:fldLock="1"/>
      </w:r>
      <w:r w:rsidR="009F72CF">
        <w:rPr>
          <w:rFonts w:cs="Arial"/>
          <w:sz w:val="24"/>
          <w:szCs w:val="24"/>
        </w:rPr>
        <w:instrText>ADDIN CSL_CITATION { "citationItems" : [ { "id" : "ITEM-1", "itemData" : { "DOI" : "10.1186/1741-7015-4-7", "ISSN" : "1741-7015", "PMID" : "16539739", "abstract" : "BACKGROUND The existing definitions of visual impairment in the International Statistical Classification of Diseases are based on recommendations made over 30 years ago. New data and knowledge related to visual impairment that have accumulated over this period suggest that these definitions need to be revised. DISCUSSION Three major issues need to be addressed in the revision of these definitions. First, the existing definitions are based on best-corrected visual acuity, which exclude uncorrected refractive error as a cause of visual impairment, leading to substantial underestimation of the total visual impairment burden by about 38%. Second, the cut-off level of visual impairment to define blindness in the International Statistical Classification of Diseases is visual acuity less than 3/60 in the better eye, but with increasing human development the visual acuity requirements are also increasing, suggesting that a level less than 6/60 be used to define blindness. Third, the International Statistical Classification of Diseases uses the term 'low vision' for visual impairment level less than blindness, which causes confusion with the common use of this term for uncorrectable vision requiring aids or rehabilitation, suggesting that alternative terms such as moderate and mild visual impairment would be more appropriate for visual impairment less severe than blindness. We propose a revision of the definitions of visual impairment in the International Statistical Classification of Diseases that addresses these three issues. According to these revised definitions, the number of blind persons in the world defined as presenting visual acuity less than 6/60 in the better eye would be about 57 million as compared with the World Health Organization estimate of 37 million using the existing International Statistical Classification of Diseases definition of best-corrected visual acuity less than 3/60 in the better eye, and the number of persons in the world with moderate visual impairment defined as presenting visual acuity less than 6/18 to 6/60 in the better eye would be about 202 million as compared with the World Health Organization estimate of 124 million persons with low vision defined as best-corrected visual acuity less than 6/18 to 3/60 in the better eye. CONCLUSION Our suggested revision of the visual impairment definitions in the International Statistical Classification of Diseases takes into account advances in the understanding of visual impairment. Thi\u2026", "author" : [ { "dropping-particle" : "", "family" : "Dandona", "given" : "Lalit", "non-dropping-particle" : "", "parse-names" : false, "suffix" : "" }, { "dropping-particle" : "", "family" : "Dandona", "given" : "Rakhi", "non-dropping-particle" : "", "parse-names" : false, "suffix" : "" } ], "container-title" : "BMC Medicine", "id" : "ITEM-1", "issue" : "1", "issued" : { "date-parts" : [ [ "2006" ] ] }, "page" : "7", "title" : "Revision of visual impairment definitions in the International Statistical Classification of Diseases", "type" : "article-journal", "volume" : "4" }, "uris" : [ "http://www.mendeley.com/documents/?uuid=7afb8063-6bda-3f08-b2c2-bdcdeecdd7fd" ] } ], "mendeley" : { "formattedCitation" : "&lt;sup&gt;25&lt;/sup&gt;", "plainTextFormattedCitation" : "25", "previouslyFormattedCitation" : "&lt;sup&gt;24&lt;/sup&gt;" }, "properties" : { "noteIndex" : 0 }, "schema" : "https://github.com/citation-style-language/schema/raw/master/csl-citation.json" }</w:instrText>
      </w:r>
      <w:r w:rsidR="00931584" w:rsidRPr="00D765D3">
        <w:rPr>
          <w:rFonts w:cs="Arial"/>
          <w:sz w:val="24"/>
          <w:szCs w:val="24"/>
        </w:rPr>
        <w:fldChar w:fldCharType="separate"/>
      </w:r>
      <w:r w:rsidR="009F72CF" w:rsidRPr="009F72CF">
        <w:rPr>
          <w:rFonts w:cs="Arial"/>
          <w:noProof/>
          <w:sz w:val="24"/>
          <w:szCs w:val="24"/>
          <w:vertAlign w:val="superscript"/>
        </w:rPr>
        <w:t>25</w:t>
      </w:r>
      <w:r w:rsidR="00931584" w:rsidRPr="00D765D3">
        <w:rPr>
          <w:rFonts w:cs="Arial"/>
          <w:sz w:val="24"/>
          <w:szCs w:val="24"/>
        </w:rPr>
        <w:fldChar w:fldCharType="end"/>
      </w:r>
      <w:r w:rsidR="00931584" w:rsidRPr="00D765D3">
        <w:rPr>
          <w:rFonts w:cs="Arial"/>
          <w:sz w:val="24"/>
          <w:szCs w:val="24"/>
        </w:rPr>
        <w:t>.</w:t>
      </w:r>
      <w:r w:rsidR="00456920">
        <w:rPr>
          <w:rFonts w:cs="Arial"/>
          <w:sz w:val="24"/>
          <w:szCs w:val="24"/>
        </w:rPr>
        <w:t xml:space="preserve"> However, </w:t>
      </w:r>
      <w:r w:rsidR="00456920" w:rsidRPr="00456920">
        <w:rPr>
          <w:rFonts w:cs="Arial"/>
          <w:sz w:val="24"/>
          <w:szCs w:val="24"/>
        </w:rPr>
        <w:t>some patients were treated with vision outside these criteria for a variety of reasons</w:t>
      </w:r>
      <w:r w:rsidR="00456920">
        <w:rPr>
          <w:rFonts w:cs="Arial"/>
          <w:sz w:val="24"/>
          <w:szCs w:val="24"/>
        </w:rPr>
        <w:t xml:space="preserve"> </w:t>
      </w:r>
      <w:r w:rsidR="00456920" w:rsidRPr="00456920">
        <w:rPr>
          <w:rFonts w:cs="Arial"/>
          <w:sz w:val="24"/>
          <w:szCs w:val="24"/>
        </w:rPr>
        <w:t>including it being felt that there were other reasons other than their AMD causing reduced vision such as cataract or because they met NICE criteria at start of treatment and treatment was continued even if vision had deteriorated during treatment.</w:t>
      </w:r>
    </w:p>
    <w:p w14:paraId="6497F717" w14:textId="50309580" w:rsidR="00931584" w:rsidRPr="00D765D3" w:rsidRDefault="00DB1D5A" w:rsidP="00D34244">
      <w:pPr>
        <w:spacing w:line="480" w:lineRule="auto"/>
        <w:rPr>
          <w:rFonts w:cs="Arial"/>
          <w:sz w:val="24"/>
          <w:szCs w:val="24"/>
        </w:rPr>
      </w:pPr>
      <w:r>
        <w:rPr>
          <w:rFonts w:cs="Arial"/>
          <w:sz w:val="24"/>
          <w:szCs w:val="24"/>
        </w:rPr>
        <w:t xml:space="preserve">Secondary data analysis was conducted by using </w:t>
      </w:r>
      <w:r w:rsidR="00931584" w:rsidRPr="00D765D3">
        <w:rPr>
          <w:rFonts w:cs="Arial"/>
          <w:sz w:val="24"/>
          <w:szCs w:val="24"/>
        </w:rPr>
        <w:t xml:space="preserve">AMD patients identified from existing </w:t>
      </w:r>
      <w:r w:rsidR="00F73BFF">
        <w:rPr>
          <w:rFonts w:cs="Arial"/>
          <w:sz w:val="24"/>
          <w:szCs w:val="24"/>
        </w:rPr>
        <w:t xml:space="preserve">hospital </w:t>
      </w:r>
      <w:r w:rsidR="00931584" w:rsidRPr="00D765D3">
        <w:rPr>
          <w:rFonts w:cs="Arial"/>
          <w:sz w:val="24"/>
          <w:szCs w:val="24"/>
        </w:rPr>
        <w:t>patient records and postcode</w:t>
      </w:r>
      <w:r w:rsidR="00F73BFF">
        <w:rPr>
          <w:rFonts w:cs="Arial"/>
          <w:sz w:val="24"/>
          <w:szCs w:val="24"/>
        </w:rPr>
        <w:t>-</w:t>
      </w:r>
      <w:r w:rsidR="00931584" w:rsidRPr="00D765D3">
        <w:rPr>
          <w:rFonts w:cs="Arial"/>
          <w:sz w:val="24"/>
          <w:szCs w:val="24"/>
        </w:rPr>
        <w:t xml:space="preserve"> containing data was anonymized prior to analysis</w:t>
      </w:r>
      <w:r w:rsidR="002B3564" w:rsidRPr="00D765D3">
        <w:rPr>
          <w:rFonts w:cs="Arial"/>
          <w:sz w:val="24"/>
          <w:szCs w:val="24"/>
        </w:rPr>
        <w:t>. The</w:t>
      </w:r>
      <w:r w:rsidR="00931584" w:rsidRPr="00D765D3">
        <w:rPr>
          <w:rFonts w:cs="Arial"/>
          <w:sz w:val="24"/>
          <w:szCs w:val="24"/>
        </w:rPr>
        <w:t xml:space="preserve"> </w:t>
      </w:r>
      <w:r w:rsidR="00F73BFF">
        <w:rPr>
          <w:rFonts w:cs="Arial"/>
          <w:sz w:val="24"/>
          <w:szCs w:val="24"/>
        </w:rPr>
        <w:t xml:space="preserve">study population </w:t>
      </w:r>
      <w:r w:rsidR="00931584" w:rsidRPr="00D765D3">
        <w:rPr>
          <w:rFonts w:cs="Arial"/>
          <w:sz w:val="24"/>
          <w:szCs w:val="24"/>
        </w:rPr>
        <w:t>was purposive</w:t>
      </w:r>
      <w:r w:rsidR="00F73BFF">
        <w:rPr>
          <w:rFonts w:cs="Arial"/>
          <w:sz w:val="24"/>
          <w:szCs w:val="24"/>
        </w:rPr>
        <w:t>ly</w:t>
      </w:r>
      <w:r w:rsidR="00931584" w:rsidRPr="00D765D3">
        <w:rPr>
          <w:rFonts w:cs="Arial"/>
          <w:sz w:val="24"/>
          <w:szCs w:val="24"/>
        </w:rPr>
        <w:t xml:space="preserve"> sample</w:t>
      </w:r>
      <w:r w:rsidR="00F73BFF">
        <w:rPr>
          <w:rFonts w:cs="Arial"/>
          <w:sz w:val="24"/>
          <w:szCs w:val="24"/>
        </w:rPr>
        <w:t>d</w:t>
      </w:r>
      <w:r w:rsidR="00931584" w:rsidRPr="00D765D3">
        <w:rPr>
          <w:rFonts w:cs="Arial"/>
          <w:sz w:val="24"/>
          <w:szCs w:val="24"/>
        </w:rPr>
        <w:t xml:space="preserve"> </w:t>
      </w:r>
      <w:r w:rsidR="00F73BFF">
        <w:rPr>
          <w:rFonts w:cs="Arial"/>
          <w:sz w:val="24"/>
          <w:szCs w:val="24"/>
        </w:rPr>
        <w:t>as</w:t>
      </w:r>
      <w:r w:rsidR="00931584" w:rsidRPr="00D765D3">
        <w:rPr>
          <w:rFonts w:cs="Arial"/>
          <w:sz w:val="24"/>
          <w:szCs w:val="24"/>
        </w:rPr>
        <w:t xml:space="preserve"> all wet AMD patients who received their first injection </w:t>
      </w:r>
      <w:r w:rsidR="005D748C">
        <w:rPr>
          <w:rFonts w:cs="Arial"/>
          <w:sz w:val="24"/>
          <w:szCs w:val="24"/>
        </w:rPr>
        <w:t>of aflibercept</w:t>
      </w:r>
      <w:r w:rsidR="005D748C" w:rsidRPr="00D765D3">
        <w:rPr>
          <w:rFonts w:cs="Arial"/>
          <w:sz w:val="24"/>
          <w:szCs w:val="24"/>
        </w:rPr>
        <w:t xml:space="preserve"> </w:t>
      </w:r>
      <w:r w:rsidR="00931584" w:rsidRPr="00D765D3">
        <w:rPr>
          <w:rFonts w:cs="Arial"/>
          <w:sz w:val="24"/>
          <w:szCs w:val="24"/>
        </w:rPr>
        <w:t>between May 2013 and Jan 2017.</w:t>
      </w:r>
    </w:p>
    <w:p w14:paraId="53BF9AA2" w14:textId="537B517A" w:rsidR="00931584" w:rsidRDefault="00931584" w:rsidP="00D34244">
      <w:pPr>
        <w:spacing w:line="480" w:lineRule="auto"/>
      </w:pPr>
    </w:p>
    <w:p w14:paraId="76CBA9CF" w14:textId="77777777" w:rsidR="002B3564" w:rsidRPr="00D765D3" w:rsidRDefault="002B3564" w:rsidP="00D34244">
      <w:pPr>
        <w:spacing w:line="480" w:lineRule="auto"/>
        <w:rPr>
          <w:rFonts w:cs="Arial"/>
          <w:sz w:val="24"/>
          <w:szCs w:val="24"/>
        </w:rPr>
      </w:pPr>
      <w:r w:rsidRPr="00D765D3">
        <w:rPr>
          <w:rFonts w:cs="Arial"/>
          <w:sz w:val="24"/>
          <w:szCs w:val="24"/>
        </w:rPr>
        <w:t>Demographic information</w:t>
      </w:r>
    </w:p>
    <w:p w14:paraId="789C1BE7" w14:textId="5F012AB5" w:rsidR="00931584" w:rsidRPr="00D765D3" w:rsidRDefault="00931584" w:rsidP="00D34244">
      <w:pPr>
        <w:spacing w:line="480" w:lineRule="auto"/>
        <w:rPr>
          <w:rFonts w:cs="Arial"/>
          <w:sz w:val="24"/>
          <w:szCs w:val="24"/>
        </w:rPr>
      </w:pPr>
      <w:r w:rsidRPr="00D765D3">
        <w:rPr>
          <w:rFonts w:cs="Arial"/>
          <w:sz w:val="24"/>
          <w:szCs w:val="24"/>
        </w:rPr>
        <w:t xml:space="preserve">Age, </w:t>
      </w:r>
      <w:r w:rsidR="002177C9">
        <w:rPr>
          <w:rFonts w:cs="Arial"/>
          <w:sz w:val="24"/>
          <w:szCs w:val="24"/>
        </w:rPr>
        <w:t>sex</w:t>
      </w:r>
      <w:r w:rsidRPr="00D765D3">
        <w:rPr>
          <w:rFonts w:cs="Arial"/>
          <w:sz w:val="24"/>
          <w:szCs w:val="24"/>
        </w:rPr>
        <w:t xml:space="preserve">, ethnicity, current diabetic status and self-reported smoking </w:t>
      </w:r>
      <w:r w:rsidR="0088009B">
        <w:rPr>
          <w:rFonts w:cs="Arial"/>
          <w:sz w:val="24"/>
          <w:szCs w:val="24"/>
        </w:rPr>
        <w:t>was</w:t>
      </w:r>
      <w:r w:rsidR="00FB49DC" w:rsidRPr="00D765D3">
        <w:rPr>
          <w:rFonts w:cs="Arial"/>
          <w:sz w:val="24"/>
          <w:szCs w:val="24"/>
        </w:rPr>
        <w:t xml:space="preserve"> </w:t>
      </w:r>
      <w:r w:rsidRPr="00D765D3">
        <w:rPr>
          <w:rFonts w:cs="Arial"/>
          <w:sz w:val="24"/>
          <w:szCs w:val="24"/>
        </w:rPr>
        <w:t>identified from patient records.</w:t>
      </w:r>
      <w:r w:rsidR="002B3564" w:rsidRPr="00D765D3">
        <w:rPr>
          <w:rFonts w:cs="Arial"/>
          <w:sz w:val="24"/>
          <w:szCs w:val="24"/>
        </w:rPr>
        <w:t xml:space="preserve"> </w:t>
      </w:r>
      <w:r w:rsidRPr="00D765D3">
        <w:rPr>
          <w:rFonts w:cs="Arial"/>
          <w:sz w:val="24"/>
          <w:szCs w:val="24"/>
        </w:rPr>
        <w:t>Age</w:t>
      </w:r>
      <w:r w:rsidR="00C4102B" w:rsidRPr="00D765D3">
        <w:rPr>
          <w:rFonts w:cs="Arial"/>
          <w:sz w:val="24"/>
          <w:szCs w:val="24"/>
        </w:rPr>
        <w:t xml:space="preserve"> </w:t>
      </w:r>
      <w:r w:rsidR="00FB49DC">
        <w:rPr>
          <w:rFonts w:cs="Arial"/>
          <w:sz w:val="24"/>
          <w:szCs w:val="24"/>
        </w:rPr>
        <w:t>was categorized into two groups:</w:t>
      </w:r>
      <w:r w:rsidR="00D32F2E">
        <w:rPr>
          <w:rFonts w:cs="Arial"/>
          <w:sz w:val="24"/>
          <w:szCs w:val="24"/>
        </w:rPr>
        <w:t xml:space="preserve"> </w:t>
      </w:r>
      <w:r w:rsidRPr="00D765D3">
        <w:rPr>
          <w:rFonts w:cs="Arial"/>
          <w:sz w:val="24"/>
          <w:szCs w:val="24"/>
        </w:rPr>
        <w:t>Old</w:t>
      </w:r>
      <w:r w:rsidR="00FB49DC">
        <w:rPr>
          <w:rFonts w:cs="Arial"/>
          <w:sz w:val="24"/>
          <w:szCs w:val="24"/>
        </w:rPr>
        <w:t>er</w:t>
      </w:r>
      <w:r w:rsidRPr="00D765D3">
        <w:rPr>
          <w:rFonts w:cs="Arial"/>
          <w:sz w:val="24"/>
          <w:szCs w:val="24"/>
        </w:rPr>
        <w:t xml:space="preserve"> people</w:t>
      </w:r>
      <w:r w:rsidR="007A6FE3">
        <w:rPr>
          <w:rFonts w:cs="Arial"/>
          <w:sz w:val="24"/>
          <w:szCs w:val="24"/>
        </w:rPr>
        <w:t xml:space="preserve"> </w:t>
      </w:r>
      <w:r w:rsidR="00FB49DC">
        <w:rPr>
          <w:rFonts w:cs="Arial"/>
          <w:sz w:val="24"/>
          <w:szCs w:val="24"/>
        </w:rPr>
        <w:t>(</w:t>
      </w:r>
      <w:r w:rsidRPr="00D765D3">
        <w:rPr>
          <w:rFonts w:cs="Arial"/>
          <w:sz w:val="24"/>
          <w:szCs w:val="24"/>
        </w:rPr>
        <w:t>50 to 85 years</w:t>
      </w:r>
      <w:r w:rsidR="00FB49DC">
        <w:rPr>
          <w:rFonts w:cs="Arial"/>
          <w:sz w:val="24"/>
          <w:szCs w:val="24"/>
        </w:rPr>
        <w:t>) and</w:t>
      </w:r>
      <w:r w:rsidRPr="00D765D3">
        <w:rPr>
          <w:rFonts w:cs="Arial"/>
          <w:sz w:val="24"/>
          <w:szCs w:val="24"/>
        </w:rPr>
        <w:t xml:space="preserve"> oldest </w:t>
      </w:r>
      <w:r w:rsidR="000A2A20" w:rsidRPr="00D765D3">
        <w:rPr>
          <w:rFonts w:cs="Arial"/>
          <w:sz w:val="24"/>
          <w:szCs w:val="24"/>
        </w:rPr>
        <w:t>old (</w:t>
      </w:r>
      <w:r w:rsidRPr="00D765D3">
        <w:rPr>
          <w:rFonts w:cs="Arial"/>
          <w:sz w:val="24"/>
          <w:szCs w:val="24"/>
        </w:rPr>
        <w:t>&gt;85 years)</w:t>
      </w:r>
      <w:r w:rsidR="00FB49DC">
        <w:rPr>
          <w:rFonts w:cs="Arial"/>
          <w:sz w:val="24"/>
          <w:szCs w:val="24"/>
        </w:rPr>
        <w:t>.</w:t>
      </w:r>
      <w:r w:rsidR="00DB268A">
        <w:rPr>
          <w:rFonts w:cs="Arial"/>
          <w:sz w:val="24"/>
          <w:szCs w:val="24"/>
        </w:rPr>
        <w:t xml:space="preserve"> </w:t>
      </w:r>
      <w:r w:rsidR="00FB49DC">
        <w:rPr>
          <w:rFonts w:cs="Arial"/>
          <w:sz w:val="24"/>
          <w:szCs w:val="24"/>
        </w:rPr>
        <w:t>E</w:t>
      </w:r>
      <w:r w:rsidRPr="00D765D3">
        <w:rPr>
          <w:rFonts w:cs="Arial"/>
          <w:sz w:val="24"/>
          <w:szCs w:val="24"/>
        </w:rPr>
        <w:t xml:space="preserve">thnicity </w:t>
      </w:r>
      <w:r w:rsidR="00FB49DC">
        <w:rPr>
          <w:rFonts w:cs="Arial"/>
          <w:sz w:val="24"/>
          <w:szCs w:val="24"/>
        </w:rPr>
        <w:t>was categorized as</w:t>
      </w:r>
      <w:r w:rsidRPr="00D765D3">
        <w:rPr>
          <w:rFonts w:cs="Arial"/>
          <w:sz w:val="24"/>
          <w:szCs w:val="24"/>
        </w:rPr>
        <w:t xml:space="preserve"> British, </w:t>
      </w:r>
      <w:r w:rsidR="005C7931" w:rsidRPr="00D765D3">
        <w:rPr>
          <w:rFonts w:cs="Arial"/>
          <w:sz w:val="24"/>
          <w:szCs w:val="24"/>
        </w:rPr>
        <w:t>any</w:t>
      </w:r>
      <w:r w:rsidRPr="00D765D3">
        <w:rPr>
          <w:rFonts w:cs="Arial"/>
          <w:sz w:val="24"/>
          <w:szCs w:val="24"/>
        </w:rPr>
        <w:t xml:space="preserve"> other white, Mixed ethnicity and patients who have not stated their ethnicity</w:t>
      </w:r>
      <w:r w:rsidR="00FB49DC">
        <w:rPr>
          <w:rFonts w:cs="Arial"/>
          <w:sz w:val="24"/>
          <w:szCs w:val="24"/>
        </w:rPr>
        <w:t>.</w:t>
      </w:r>
      <w:r w:rsidR="00DB268A">
        <w:rPr>
          <w:rFonts w:cs="Arial"/>
          <w:sz w:val="24"/>
          <w:szCs w:val="24"/>
        </w:rPr>
        <w:t xml:space="preserve"> </w:t>
      </w:r>
      <w:r w:rsidR="00FB49DC">
        <w:rPr>
          <w:rFonts w:cs="Arial"/>
          <w:sz w:val="24"/>
          <w:szCs w:val="24"/>
        </w:rPr>
        <w:t>D</w:t>
      </w:r>
      <w:r w:rsidRPr="00D765D3">
        <w:rPr>
          <w:rFonts w:cs="Arial"/>
          <w:sz w:val="24"/>
          <w:szCs w:val="24"/>
        </w:rPr>
        <w:t xml:space="preserve">iabetes </w:t>
      </w:r>
      <w:r w:rsidR="00FB49DC">
        <w:rPr>
          <w:rFonts w:cs="Arial"/>
          <w:sz w:val="24"/>
          <w:szCs w:val="24"/>
        </w:rPr>
        <w:t>included</w:t>
      </w:r>
      <w:r w:rsidRPr="00D765D3">
        <w:rPr>
          <w:rFonts w:cs="Arial"/>
          <w:sz w:val="24"/>
          <w:szCs w:val="24"/>
        </w:rPr>
        <w:t xml:space="preserve"> patients with no diabetes, Type 1 diabetes, Type 2 diabetes, </w:t>
      </w:r>
      <w:r w:rsidR="007953D2" w:rsidRPr="00D765D3">
        <w:rPr>
          <w:rFonts w:cs="Arial"/>
          <w:sz w:val="24"/>
          <w:szCs w:val="24"/>
        </w:rPr>
        <w:t>diabetes not</w:t>
      </w:r>
      <w:r w:rsidRPr="00D765D3">
        <w:rPr>
          <w:rFonts w:cs="Arial"/>
          <w:sz w:val="24"/>
          <w:szCs w:val="24"/>
        </w:rPr>
        <w:t xml:space="preserve"> </w:t>
      </w:r>
      <w:r w:rsidR="005C7931" w:rsidRPr="00D765D3">
        <w:rPr>
          <w:rFonts w:cs="Arial"/>
          <w:sz w:val="24"/>
          <w:szCs w:val="24"/>
        </w:rPr>
        <w:t>known,</w:t>
      </w:r>
      <w:r w:rsidRPr="00D765D3">
        <w:rPr>
          <w:rFonts w:cs="Arial"/>
          <w:sz w:val="24"/>
          <w:szCs w:val="24"/>
        </w:rPr>
        <w:t xml:space="preserve"> and smoking</w:t>
      </w:r>
      <w:r w:rsidR="00DB268A">
        <w:rPr>
          <w:rFonts w:cs="Arial"/>
          <w:sz w:val="24"/>
          <w:szCs w:val="24"/>
        </w:rPr>
        <w:t xml:space="preserve"> includes e</w:t>
      </w:r>
      <w:r w:rsidRPr="00D765D3">
        <w:rPr>
          <w:rFonts w:cs="Arial"/>
          <w:sz w:val="24"/>
          <w:szCs w:val="24"/>
        </w:rPr>
        <w:t>x-smoker, smoker and never smoked.</w:t>
      </w:r>
    </w:p>
    <w:p w14:paraId="250FC77A" w14:textId="559776D4" w:rsidR="00931584" w:rsidRPr="00D765D3" w:rsidRDefault="00FB49DC" w:rsidP="00D34244">
      <w:pPr>
        <w:spacing w:line="480" w:lineRule="auto"/>
        <w:rPr>
          <w:rFonts w:cs="Arial"/>
          <w:sz w:val="24"/>
          <w:szCs w:val="24"/>
        </w:rPr>
      </w:pPr>
      <w:r>
        <w:rPr>
          <w:rFonts w:cs="Arial"/>
          <w:sz w:val="24"/>
          <w:szCs w:val="24"/>
        </w:rPr>
        <w:t xml:space="preserve"> SES was defined </w:t>
      </w:r>
      <w:r w:rsidR="002B3564" w:rsidRPr="00D765D3">
        <w:rPr>
          <w:rFonts w:cs="Arial"/>
          <w:sz w:val="24"/>
          <w:szCs w:val="24"/>
        </w:rPr>
        <w:t>by area deprivation</w:t>
      </w:r>
      <w:r>
        <w:rPr>
          <w:rFonts w:cs="Arial"/>
          <w:sz w:val="24"/>
          <w:szCs w:val="24"/>
        </w:rPr>
        <w:t xml:space="preserve"> using the </w:t>
      </w:r>
      <w:r w:rsidR="00BE2192">
        <w:rPr>
          <w:rFonts w:cs="Arial"/>
          <w:sz w:val="24"/>
          <w:szCs w:val="24"/>
        </w:rPr>
        <w:t xml:space="preserve">2015 </w:t>
      </w:r>
      <w:r>
        <w:rPr>
          <w:rFonts w:cs="Arial"/>
          <w:sz w:val="24"/>
          <w:szCs w:val="24"/>
        </w:rPr>
        <w:t>Index of Multiple Deprivation (IMD). IMD provides a r</w:t>
      </w:r>
      <w:r w:rsidR="00931584" w:rsidRPr="00D765D3">
        <w:rPr>
          <w:rFonts w:cs="Arial"/>
          <w:sz w:val="24"/>
          <w:szCs w:val="24"/>
        </w:rPr>
        <w:t xml:space="preserve">elative </w:t>
      </w:r>
      <w:r w:rsidR="000351EC">
        <w:rPr>
          <w:rFonts w:cs="Arial"/>
          <w:sz w:val="24"/>
          <w:szCs w:val="24"/>
        </w:rPr>
        <w:t xml:space="preserve">measure of material and social </w:t>
      </w:r>
      <w:r w:rsidR="007953D2">
        <w:rPr>
          <w:rFonts w:cs="Arial"/>
          <w:sz w:val="24"/>
          <w:szCs w:val="24"/>
        </w:rPr>
        <w:t xml:space="preserve">deprivation </w:t>
      </w:r>
      <w:r w:rsidR="007953D2" w:rsidRPr="00D765D3">
        <w:rPr>
          <w:rFonts w:cs="Arial"/>
          <w:sz w:val="24"/>
          <w:szCs w:val="24"/>
        </w:rPr>
        <w:t>for</w:t>
      </w:r>
      <w:r w:rsidR="000351EC">
        <w:rPr>
          <w:rFonts w:cs="Arial"/>
          <w:sz w:val="24"/>
          <w:szCs w:val="24"/>
        </w:rPr>
        <w:t xml:space="preserve"> </w:t>
      </w:r>
      <w:r>
        <w:rPr>
          <w:rFonts w:cs="Arial"/>
          <w:sz w:val="24"/>
          <w:szCs w:val="24"/>
        </w:rPr>
        <w:t xml:space="preserve">small </w:t>
      </w:r>
      <w:r w:rsidR="00931584" w:rsidRPr="00D765D3">
        <w:rPr>
          <w:rFonts w:cs="Arial"/>
          <w:sz w:val="24"/>
          <w:szCs w:val="24"/>
        </w:rPr>
        <w:t>areas in England</w:t>
      </w:r>
      <w:r w:rsidR="000351EC">
        <w:rPr>
          <w:rFonts w:cs="Arial"/>
          <w:sz w:val="24"/>
          <w:szCs w:val="24"/>
        </w:rPr>
        <w:t xml:space="preserve">. </w:t>
      </w:r>
      <w:r w:rsidR="00931584" w:rsidRPr="00D765D3">
        <w:rPr>
          <w:rFonts w:cs="Arial"/>
          <w:sz w:val="24"/>
          <w:szCs w:val="24"/>
        </w:rPr>
        <w:t xml:space="preserve"> Lower Super Output Areas(LSOA</w:t>
      </w:r>
      <w:r w:rsidR="00DA0904">
        <w:rPr>
          <w:rFonts w:cs="Arial"/>
          <w:sz w:val="24"/>
          <w:szCs w:val="24"/>
        </w:rPr>
        <w:t>)</w:t>
      </w:r>
      <w:r w:rsidR="000351EC">
        <w:rPr>
          <w:rFonts w:cs="Arial"/>
          <w:sz w:val="24"/>
          <w:szCs w:val="24"/>
        </w:rPr>
        <w:t xml:space="preserve"> have an average population of 1500 and </w:t>
      </w:r>
      <w:r w:rsidR="00DA0904">
        <w:rPr>
          <w:rFonts w:cs="Arial"/>
          <w:sz w:val="24"/>
          <w:szCs w:val="24"/>
        </w:rPr>
        <w:t xml:space="preserve"> are ranked</w:t>
      </w:r>
      <w:r w:rsidR="000351EC">
        <w:rPr>
          <w:rFonts w:cs="Arial"/>
          <w:sz w:val="24"/>
          <w:szCs w:val="24"/>
        </w:rPr>
        <w:t xml:space="preserve"> on </w:t>
      </w:r>
      <w:r w:rsidR="00931584" w:rsidRPr="00D765D3">
        <w:rPr>
          <w:rFonts w:cs="Arial"/>
          <w:sz w:val="24"/>
          <w:szCs w:val="24"/>
        </w:rPr>
        <w:t>seven domains</w:t>
      </w:r>
      <w:r w:rsidR="00DA0904">
        <w:rPr>
          <w:rFonts w:cs="Arial"/>
          <w:sz w:val="24"/>
          <w:szCs w:val="24"/>
        </w:rPr>
        <w:t>:</w:t>
      </w:r>
      <w:r w:rsidR="00931584" w:rsidRPr="00D765D3">
        <w:rPr>
          <w:rFonts w:cs="Arial"/>
          <w:sz w:val="24"/>
          <w:szCs w:val="24"/>
        </w:rPr>
        <w:t xml:space="preserve"> income, employment, health deprivation and disability, education skills and training, barriers to housing and service</w:t>
      </w:r>
      <w:r w:rsidR="002B3564" w:rsidRPr="00D765D3">
        <w:rPr>
          <w:rFonts w:cs="Arial"/>
          <w:sz w:val="24"/>
          <w:szCs w:val="24"/>
        </w:rPr>
        <w:t>s, crime and living environment</w:t>
      </w:r>
      <w:r w:rsidR="002D42B4">
        <w:rPr>
          <w:rFonts w:cs="Arial"/>
          <w:sz w:val="24"/>
          <w:szCs w:val="24"/>
        </w:rPr>
        <w:fldChar w:fldCharType="begin" w:fldLock="1"/>
      </w:r>
      <w:r w:rsidR="009F72CF">
        <w:rPr>
          <w:rFonts w:cs="Arial"/>
          <w:sz w:val="24"/>
          <w:szCs w:val="24"/>
        </w:rPr>
        <w:instrText>ADDIN CSL_CITATION { "citationItems" : [ { "id" : "ITEM-1", "itemData" : { "id" : "ITEM-1", "issued" : { "date-parts" : [ [ "0" ] ] }, "title" : "The English Index of Multiple Deprivation (IMD) 2015 \u2013 Guidance", "type" : "article-journal" }, "uris" : [ "http://www.mendeley.com/documents/?uuid=ca999a3f-51cb-36bf-8871-8cb9607a0d84" ] } ], "mendeley" : { "formattedCitation" : "&lt;sup&gt;26&lt;/sup&gt;", "plainTextFormattedCitation" : "26", "previouslyFormattedCitation" : "&lt;sup&gt;25&lt;/sup&gt;" }, "properties" : { "noteIndex" : 0 }, "schema" : "https://github.com/citation-style-language/schema/raw/master/csl-citation.json" }</w:instrText>
      </w:r>
      <w:r w:rsidR="002D42B4">
        <w:rPr>
          <w:rFonts w:cs="Arial"/>
          <w:sz w:val="24"/>
          <w:szCs w:val="24"/>
        </w:rPr>
        <w:fldChar w:fldCharType="separate"/>
      </w:r>
      <w:r w:rsidR="009F72CF" w:rsidRPr="009F72CF">
        <w:rPr>
          <w:rFonts w:cs="Arial"/>
          <w:noProof/>
          <w:sz w:val="24"/>
          <w:szCs w:val="24"/>
          <w:vertAlign w:val="superscript"/>
        </w:rPr>
        <w:t>26</w:t>
      </w:r>
      <w:r w:rsidR="002D42B4">
        <w:rPr>
          <w:rFonts w:cs="Arial"/>
          <w:sz w:val="24"/>
          <w:szCs w:val="24"/>
        </w:rPr>
        <w:fldChar w:fldCharType="end"/>
      </w:r>
      <w:r w:rsidR="00931584" w:rsidRPr="00D765D3">
        <w:rPr>
          <w:rFonts w:cs="Arial"/>
          <w:sz w:val="24"/>
          <w:szCs w:val="24"/>
        </w:rPr>
        <w:t>.</w:t>
      </w:r>
      <w:r w:rsidR="002B3564" w:rsidRPr="00D765D3">
        <w:rPr>
          <w:rFonts w:cs="Arial"/>
          <w:sz w:val="24"/>
          <w:szCs w:val="24"/>
        </w:rPr>
        <w:t xml:space="preserve"> </w:t>
      </w:r>
      <w:r w:rsidR="00EE66E7">
        <w:rPr>
          <w:rFonts w:cs="Arial"/>
          <w:sz w:val="24"/>
          <w:szCs w:val="24"/>
        </w:rPr>
        <w:t>A</w:t>
      </w:r>
      <w:r w:rsidR="002B3564" w:rsidRPr="00D765D3">
        <w:rPr>
          <w:rFonts w:cs="Arial"/>
          <w:sz w:val="24"/>
          <w:szCs w:val="24"/>
        </w:rPr>
        <w:t>nonymized</w:t>
      </w:r>
      <w:r w:rsidR="00931584" w:rsidRPr="00D765D3">
        <w:rPr>
          <w:rFonts w:cs="Arial"/>
          <w:sz w:val="24"/>
          <w:szCs w:val="24"/>
        </w:rPr>
        <w:t xml:space="preserve"> postcodes were </w:t>
      </w:r>
      <w:r w:rsidR="000351EC">
        <w:rPr>
          <w:rFonts w:cs="Arial"/>
          <w:sz w:val="24"/>
          <w:szCs w:val="24"/>
        </w:rPr>
        <w:t>assigned the correct</w:t>
      </w:r>
      <w:r w:rsidR="00931584" w:rsidRPr="00D765D3">
        <w:rPr>
          <w:rFonts w:cs="Arial"/>
          <w:sz w:val="24"/>
          <w:szCs w:val="24"/>
        </w:rPr>
        <w:t xml:space="preserve"> </w:t>
      </w:r>
      <w:r w:rsidR="000351EC">
        <w:rPr>
          <w:rFonts w:cs="Arial"/>
          <w:sz w:val="24"/>
          <w:szCs w:val="24"/>
        </w:rPr>
        <w:t xml:space="preserve">LSOA and corresponding </w:t>
      </w:r>
      <w:r w:rsidR="00931584" w:rsidRPr="00D765D3">
        <w:rPr>
          <w:rFonts w:cs="Arial"/>
          <w:sz w:val="24"/>
          <w:szCs w:val="24"/>
        </w:rPr>
        <w:t xml:space="preserve">IMD Decile using </w:t>
      </w:r>
      <w:r w:rsidR="000351EC">
        <w:rPr>
          <w:rFonts w:cs="Arial"/>
          <w:sz w:val="24"/>
          <w:szCs w:val="24"/>
        </w:rPr>
        <w:t xml:space="preserve">the </w:t>
      </w:r>
      <w:r w:rsidR="00931584" w:rsidRPr="00D765D3">
        <w:rPr>
          <w:rFonts w:cs="Arial"/>
          <w:sz w:val="24"/>
          <w:szCs w:val="24"/>
        </w:rPr>
        <w:t xml:space="preserve">online </w:t>
      </w:r>
      <w:proofErr w:type="spellStart"/>
      <w:r w:rsidR="00931584" w:rsidRPr="00D765D3">
        <w:rPr>
          <w:rFonts w:cs="Arial"/>
          <w:sz w:val="24"/>
          <w:szCs w:val="24"/>
        </w:rPr>
        <w:t>GeoConvert</w:t>
      </w:r>
      <w:proofErr w:type="spellEnd"/>
      <w:r w:rsidR="00931584" w:rsidRPr="00D765D3">
        <w:rPr>
          <w:rFonts w:cs="Arial"/>
          <w:sz w:val="24"/>
          <w:szCs w:val="24"/>
        </w:rPr>
        <w:t xml:space="preserve"> Tool provided by </w:t>
      </w:r>
      <w:r w:rsidR="005D748C">
        <w:rPr>
          <w:rFonts w:cs="Arial"/>
          <w:sz w:val="24"/>
          <w:szCs w:val="24"/>
        </w:rPr>
        <w:t xml:space="preserve">the </w:t>
      </w:r>
      <w:r w:rsidR="00931584" w:rsidRPr="00D765D3">
        <w:rPr>
          <w:rFonts w:cs="Arial"/>
          <w:sz w:val="24"/>
          <w:szCs w:val="24"/>
        </w:rPr>
        <w:t>official website of UK Data Services</w:t>
      </w:r>
      <w:r w:rsidR="002D42B4">
        <w:rPr>
          <w:rFonts w:cs="Arial"/>
          <w:sz w:val="24"/>
          <w:szCs w:val="24"/>
        </w:rPr>
        <w:fldChar w:fldCharType="begin" w:fldLock="1"/>
      </w:r>
      <w:r w:rsidR="009F72CF">
        <w:rPr>
          <w:rFonts w:cs="Arial"/>
          <w:sz w:val="24"/>
          <w:szCs w:val="24"/>
        </w:rPr>
        <w:instrText>ADDIN CSL_CITATION { "citationItems" : [ { "id" : "ITEM-1", "itemData" : { "abstract" : "GeoConvert is a geography matching and conversion tool which allows users to obtain and manipulate complex UK geographical and postcode data in a straightforward way. Access is open to all.", "author" : [ { "dropping-particle" : "", "family" : "Support", "given" : "UK Data Service Census", "non-dropping-particle" : "", "parse-names" : false, "suffix" : "" } ], "id" : "ITEM-1", "issued" : { "date-parts" : [ [ "2015", "7", "29" ] ] }, "publisher" : "UK Data Service Census Support", "title" : "GeoConvert, UK Data Service Census Support", "type" : "article-journal" }, "uris" : [ "http://www.mendeley.com/documents/?uuid=33f3e556-65c2-3d3c-9339-2ecf0b732aae" ] } ], "mendeley" : { "formattedCitation" : "&lt;sup&gt;27&lt;/sup&gt;", "plainTextFormattedCitation" : "27", "previouslyFormattedCitation" : "&lt;sup&gt;26&lt;/sup&gt;" }, "properties" : { "noteIndex" : 0 }, "schema" : "https://github.com/citation-style-language/schema/raw/master/csl-citation.json" }</w:instrText>
      </w:r>
      <w:r w:rsidR="002D42B4">
        <w:rPr>
          <w:rFonts w:cs="Arial"/>
          <w:sz w:val="24"/>
          <w:szCs w:val="24"/>
        </w:rPr>
        <w:fldChar w:fldCharType="separate"/>
      </w:r>
      <w:r w:rsidR="009F72CF" w:rsidRPr="009F72CF">
        <w:rPr>
          <w:rFonts w:cs="Arial"/>
          <w:noProof/>
          <w:sz w:val="24"/>
          <w:szCs w:val="24"/>
          <w:vertAlign w:val="superscript"/>
        </w:rPr>
        <w:t>27</w:t>
      </w:r>
      <w:r w:rsidR="002D42B4">
        <w:rPr>
          <w:rFonts w:cs="Arial"/>
          <w:sz w:val="24"/>
          <w:szCs w:val="24"/>
        </w:rPr>
        <w:fldChar w:fldCharType="end"/>
      </w:r>
      <w:r w:rsidR="00931584" w:rsidRPr="00D765D3">
        <w:rPr>
          <w:rFonts w:cs="Arial"/>
          <w:sz w:val="24"/>
          <w:szCs w:val="24"/>
        </w:rPr>
        <w:t xml:space="preserve">. IMD </w:t>
      </w:r>
      <w:r w:rsidR="00EE66E7">
        <w:rPr>
          <w:rFonts w:cs="Arial"/>
          <w:sz w:val="24"/>
          <w:szCs w:val="24"/>
        </w:rPr>
        <w:t>was categorized into q</w:t>
      </w:r>
      <w:r w:rsidR="00931584" w:rsidRPr="00D765D3">
        <w:rPr>
          <w:rFonts w:cs="Arial"/>
          <w:sz w:val="24"/>
          <w:szCs w:val="24"/>
        </w:rPr>
        <w:t>uintiles</w:t>
      </w:r>
      <w:r w:rsidR="004909E7">
        <w:rPr>
          <w:rFonts w:cs="Arial"/>
          <w:sz w:val="24"/>
          <w:szCs w:val="24"/>
        </w:rPr>
        <w:t xml:space="preserve"> </w:t>
      </w:r>
      <w:r w:rsidR="00EE66E7">
        <w:rPr>
          <w:rFonts w:cs="Arial"/>
          <w:sz w:val="24"/>
          <w:szCs w:val="24"/>
        </w:rPr>
        <w:t>where the</w:t>
      </w:r>
      <w:r w:rsidR="00931584" w:rsidRPr="00D765D3">
        <w:rPr>
          <w:rFonts w:cs="Arial"/>
          <w:sz w:val="24"/>
          <w:szCs w:val="24"/>
        </w:rPr>
        <w:t xml:space="preserve"> 1st </w:t>
      </w:r>
      <w:r w:rsidR="00924B4B">
        <w:rPr>
          <w:rFonts w:cs="Arial"/>
          <w:sz w:val="24"/>
          <w:szCs w:val="24"/>
        </w:rPr>
        <w:t>q</w:t>
      </w:r>
      <w:r w:rsidR="00924B4B" w:rsidRPr="00D765D3">
        <w:rPr>
          <w:rFonts w:cs="Arial"/>
          <w:sz w:val="24"/>
          <w:szCs w:val="24"/>
        </w:rPr>
        <w:t xml:space="preserve">uintile </w:t>
      </w:r>
      <w:r w:rsidR="00EE66E7">
        <w:rPr>
          <w:rFonts w:cs="Arial"/>
          <w:sz w:val="24"/>
          <w:szCs w:val="24"/>
        </w:rPr>
        <w:t>is</w:t>
      </w:r>
      <w:r w:rsidR="00931584" w:rsidRPr="00D765D3">
        <w:rPr>
          <w:rFonts w:cs="Arial"/>
          <w:sz w:val="24"/>
          <w:szCs w:val="24"/>
        </w:rPr>
        <w:t xml:space="preserve"> most deprived and </w:t>
      </w:r>
      <w:r w:rsidR="00EE66E7">
        <w:rPr>
          <w:rFonts w:cs="Arial"/>
          <w:sz w:val="24"/>
          <w:szCs w:val="24"/>
        </w:rPr>
        <w:t xml:space="preserve">the </w:t>
      </w:r>
      <w:r w:rsidR="00931584" w:rsidRPr="00D765D3">
        <w:rPr>
          <w:rFonts w:cs="Arial"/>
          <w:sz w:val="24"/>
          <w:szCs w:val="24"/>
        </w:rPr>
        <w:t xml:space="preserve">5th </w:t>
      </w:r>
      <w:r w:rsidR="00924B4B">
        <w:rPr>
          <w:rFonts w:cs="Arial"/>
          <w:sz w:val="24"/>
          <w:szCs w:val="24"/>
        </w:rPr>
        <w:t>q</w:t>
      </w:r>
      <w:r w:rsidR="00924B4B" w:rsidRPr="00D765D3">
        <w:rPr>
          <w:rFonts w:cs="Arial"/>
          <w:sz w:val="24"/>
          <w:szCs w:val="24"/>
        </w:rPr>
        <w:t xml:space="preserve">uintile </w:t>
      </w:r>
      <w:r w:rsidR="00931584" w:rsidRPr="00D765D3">
        <w:rPr>
          <w:rFonts w:cs="Arial"/>
          <w:sz w:val="24"/>
          <w:szCs w:val="24"/>
        </w:rPr>
        <w:t>least deprived.</w:t>
      </w:r>
    </w:p>
    <w:p w14:paraId="696449DE" w14:textId="14A85F8E" w:rsidR="00931584" w:rsidRPr="00D765D3" w:rsidRDefault="00931584" w:rsidP="00D34244">
      <w:pPr>
        <w:spacing w:line="480" w:lineRule="auto"/>
        <w:rPr>
          <w:rFonts w:cs="Arial"/>
          <w:sz w:val="24"/>
          <w:szCs w:val="24"/>
        </w:rPr>
      </w:pPr>
      <w:r w:rsidRPr="00D765D3">
        <w:rPr>
          <w:rFonts w:cs="Arial"/>
          <w:sz w:val="24"/>
          <w:szCs w:val="24"/>
        </w:rPr>
        <w:t>The median distance</w:t>
      </w:r>
      <w:r w:rsidR="007A6FE3">
        <w:rPr>
          <w:rFonts w:cs="Arial"/>
          <w:sz w:val="24"/>
          <w:szCs w:val="24"/>
        </w:rPr>
        <w:t xml:space="preserve"> </w:t>
      </w:r>
      <w:r w:rsidR="000351EC">
        <w:rPr>
          <w:rFonts w:cs="Arial"/>
          <w:sz w:val="24"/>
          <w:szCs w:val="24"/>
        </w:rPr>
        <w:t xml:space="preserve">(Euclidean, as the crow </w:t>
      </w:r>
      <w:r w:rsidR="009A7BB6">
        <w:rPr>
          <w:rFonts w:cs="Arial"/>
          <w:sz w:val="24"/>
          <w:szCs w:val="24"/>
        </w:rPr>
        <w:t>flies)</w:t>
      </w:r>
      <w:r w:rsidR="009A7BB6" w:rsidRPr="00D765D3">
        <w:rPr>
          <w:rFonts w:cs="Arial"/>
          <w:sz w:val="24"/>
          <w:szCs w:val="24"/>
        </w:rPr>
        <w:t xml:space="preserve"> between</w:t>
      </w:r>
      <w:r w:rsidR="000351EC">
        <w:rPr>
          <w:rFonts w:cs="Arial"/>
          <w:sz w:val="24"/>
          <w:szCs w:val="24"/>
        </w:rPr>
        <w:t xml:space="preserve"> </w:t>
      </w:r>
      <w:r w:rsidRPr="00D765D3">
        <w:rPr>
          <w:rFonts w:cs="Arial"/>
          <w:sz w:val="24"/>
          <w:szCs w:val="24"/>
        </w:rPr>
        <w:t>home and SEU was calculated</w:t>
      </w:r>
      <w:r w:rsidR="000351EC">
        <w:rPr>
          <w:rFonts w:cs="Arial"/>
          <w:sz w:val="24"/>
          <w:szCs w:val="24"/>
        </w:rPr>
        <w:t xml:space="preserve"> for each postcode using ArcGIS 10.5</w:t>
      </w:r>
      <w:r w:rsidRPr="00D765D3">
        <w:rPr>
          <w:rFonts w:cs="Arial"/>
          <w:sz w:val="24"/>
          <w:szCs w:val="24"/>
        </w:rPr>
        <w:t xml:space="preserve">.  </w:t>
      </w:r>
      <w:r w:rsidR="000351EC">
        <w:rPr>
          <w:rFonts w:cs="Arial"/>
          <w:sz w:val="24"/>
          <w:szCs w:val="24"/>
        </w:rPr>
        <w:t xml:space="preserve">Median distance was </w:t>
      </w:r>
      <w:r w:rsidRPr="00D765D3">
        <w:rPr>
          <w:rFonts w:cs="Arial"/>
          <w:sz w:val="24"/>
          <w:szCs w:val="24"/>
        </w:rPr>
        <w:t>dichotomized</w:t>
      </w:r>
      <w:r w:rsidR="00011423">
        <w:rPr>
          <w:rFonts w:cs="Arial"/>
          <w:sz w:val="24"/>
          <w:szCs w:val="24"/>
        </w:rPr>
        <w:t xml:space="preserve"> as</w:t>
      </w:r>
      <w:r w:rsidRPr="00D765D3">
        <w:rPr>
          <w:rFonts w:cs="Arial"/>
          <w:sz w:val="24"/>
          <w:szCs w:val="24"/>
        </w:rPr>
        <w:t xml:space="preserve"> 0-10KM</w:t>
      </w:r>
      <w:r w:rsidR="0088009B">
        <w:rPr>
          <w:rFonts w:cs="Arial"/>
          <w:sz w:val="24"/>
          <w:szCs w:val="24"/>
        </w:rPr>
        <w:t>(Kilometers)</w:t>
      </w:r>
      <w:r w:rsidRPr="00D765D3">
        <w:rPr>
          <w:rFonts w:cs="Arial"/>
          <w:sz w:val="24"/>
          <w:szCs w:val="24"/>
        </w:rPr>
        <w:t xml:space="preserve"> (near distance), &gt;10KM (greater distance)</w:t>
      </w:r>
      <w:r w:rsidRPr="00D765D3">
        <w:rPr>
          <w:rFonts w:cs="Arial"/>
          <w:sz w:val="24"/>
          <w:szCs w:val="24"/>
        </w:rPr>
        <w:fldChar w:fldCharType="begin" w:fldLock="1"/>
      </w:r>
      <w:r w:rsidR="009F72CF">
        <w:rPr>
          <w:rFonts w:cs="Arial"/>
          <w:sz w:val="24"/>
          <w:szCs w:val="24"/>
        </w:rPr>
        <w:instrText>ADDIN CSL_CITATION { "citationItems" : [ { "id" : "ITEM-1", "itemData" : { "URL" : "http://www.esri.com/arcgis/about-arcgis", "accessed" : { "date-parts" : [ [ "2017", "10", "15" ] ] }, "id" : "ITEM-1", "issued" : { "date-parts" : [ [ "0" ] ] }, "title" : "ArcGIS", "type" : "webpage" }, "uris" : [ "http://www.mendeley.com/documents/?uuid=966b6248-1cc9-3f52-8cb8-b0a463258cdb" ] } ], "mendeley" : { "formattedCitation" : "&lt;sup&gt;28&lt;/sup&gt;", "plainTextFormattedCitation" : "28", "previouslyFormattedCitation" : "&lt;sup&gt;27&lt;/sup&gt;" }, "properties" : { "noteIndex" : 0 }, "schema" : "https://github.com/citation-style-language/schema/raw/master/csl-citation.json" }</w:instrText>
      </w:r>
      <w:r w:rsidRPr="00D765D3">
        <w:rPr>
          <w:rFonts w:cs="Arial"/>
          <w:sz w:val="24"/>
          <w:szCs w:val="24"/>
        </w:rPr>
        <w:fldChar w:fldCharType="separate"/>
      </w:r>
      <w:r w:rsidR="009F72CF" w:rsidRPr="009F72CF">
        <w:rPr>
          <w:rFonts w:cs="Arial"/>
          <w:noProof/>
          <w:sz w:val="24"/>
          <w:szCs w:val="24"/>
          <w:vertAlign w:val="superscript"/>
        </w:rPr>
        <w:t>28</w:t>
      </w:r>
      <w:r w:rsidRPr="00D765D3">
        <w:rPr>
          <w:rFonts w:cs="Arial"/>
          <w:sz w:val="24"/>
          <w:szCs w:val="24"/>
        </w:rPr>
        <w:fldChar w:fldCharType="end"/>
      </w:r>
      <w:r w:rsidRPr="00D765D3">
        <w:rPr>
          <w:rFonts w:cs="Arial"/>
          <w:sz w:val="24"/>
          <w:szCs w:val="24"/>
        </w:rPr>
        <w:t>.</w:t>
      </w:r>
    </w:p>
    <w:p w14:paraId="154FB491" w14:textId="77777777" w:rsidR="00931584" w:rsidRPr="00D765D3" w:rsidRDefault="00931584" w:rsidP="00D34244">
      <w:pPr>
        <w:spacing w:line="480" w:lineRule="auto"/>
        <w:rPr>
          <w:rFonts w:cs="Arial"/>
          <w:sz w:val="24"/>
          <w:szCs w:val="24"/>
        </w:rPr>
      </w:pPr>
      <w:r w:rsidRPr="00D765D3">
        <w:rPr>
          <w:rFonts w:cs="Arial"/>
          <w:sz w:val="24"/>
          <w:szCs w:val="24"/>
        </w:rPr>
        <w:t>Outcome Variables</w:t>
      </w:r>
    </w:p>
    <w:p w14:paraId="2DCED5E6" w14:textId="4CBEEBA8" w:rsidR="00931584" w:rsidRPr="00D765D3" w:rsidRDefault="00931584" w:rsidP="00D34244">
      <w:pPr>
        <w:pStyle w:val="ListParagraph"/>
        <w:numPr>
          <w:ilvl w:val="0"/>
          <w:numId w:val="37"/>
        </w:numPr>
        <w:spacing w:line="480" w:lineRule="auto"/>
        <w:rPr>
          <w:rFonts w:cs="Arial"/>
          <w:sz w:val="24"/>
          <w:szCs w:val="24"/>
        </w:rPr>
      </w:pPr>
      <w:r w:rsidRPr="00D765D3">
        <w:rPr>
          <w:rFonts w:cs="Arial"/>
          <w:sz w:val="24"/>
          <w:szCs w:val="24"/>
        </w:rPr>
        <w:lastRenderedPageBreak/>
        <w:t xml:space="preserve">Severity of wet AMD was </w:t>
      </w:r>
      <w:r w:rsidR="00D153E4">
        <w:rPr>
          <w:rFonts w:cs="Arial"/>
          <w:sz w:val="24"/>
          <w:szCs w:val="24"/>
        </w:rPr>
        <w:t>defined</w:t>
      </w:r>
      <w:r w:rsidR="00D153E4" w:rsidRPr="00D765D3">
        <w:rPr>
          <w:rFonts w:cs="Arial"/>
          <w:sz w:val="24"/>
          <w:szCs w:val="24"/>
        </w:rPr>
        <w:t xml:space="preserve"> </w:t>
      </w:r>
      <w:r w:rsidRPr="00D765D3">
        <w:rPr>
          <w:rFonts w:cs="Arial"/>
          <w:sz w:val="24"/>
          <w:szCs w:val="24"/>
        </w:rPr>
        <w:t xml:space="preserve">by </w:t>
      </w:r>
      <w:r w:rsidRPr="00D765D3">
        <w:rPr>
          <w:rFonts w:cs="Arial"/>
          <w:sz w:val="24"/>
          <w:szCs w:val="24"/>
          <w:u w:val="single"/>
        </w:rPr>
        <w:t>vision impairment at baseline, i.e., date of first presentation at the eye unit</w:t>
      </w:r>
      <w:r w:rsidRPr="00D765D3">
        <w:rPr>
          <w:rFonts w:cs="Arial"/>
          <w:sz w:val="24"/>
          <w:szCs w:val="24"/>
        </w:rPr>
        <w:t>.</w:t>
      </w:r>
    </w:p>
    <w:p w14:paraId="72F0AD5F" w14:textId="494304B5" w:rsidR="00931584" w:rsidRPr="00D765D3" w:rsidRDefault="00931584" w:rsidP="00D34244">
      <w:pPr>
        <w:pStyle w:val="ListParagraph"/>
        <w:numPr>
          <w:ilvl w:val="1"/>
          <w:numId w:val="37"/>
        </w:numPr>
        <w:spacing w:line="480" w:lineRule="auto"/>
        <w:rPr>
          <w:rFonts w:cs="Arial"/>
          <w:sz w:val="24"/>
          <w:szCs w:val="24"/>
        </w:rPr>
      </w:pPr>
      <w:r w:rsidRPr="00D765D3">
        <w:rPr>
          <w:rFonts w:cs="Arial"/>
          <w:sz w:val="24"/>
          <w:szCs w:val="24"/>
        </w:rPr>
        <w:t xml:space="preserve">This was further dichotomized </w:t>
      </w:r>
      <w:r w:rsidR="00D153E4">
        <w:rPr>
          <w:rFonts w:cs="Arial"/>
          <w:sz w:val="24"/>
          <w:szCs w:val="24"/>
        </w:rPr>
        <w:t>using</w:t>
      </w:r>
      <w:r w:rsidR="00D153E4" w:rsidRPr="00D765D3">
        <w:rPr>
          <w:rFonts w:cs="Arial"/>
          <w:sz w:val="24"/>
          <w:szCs w:val="24"/>
        </w:rPr>
        <w:t xml:space="preserve"> </w:t>
      </w:r>
      <w:r w:rsidRPr="00D765D3">
        <w:rPr>
          <w:rFonts w:cs="Arial"/>
          <w:sz w:val="24"/>
          <w:szCs w:val="24"/>
        </w:rPr>
        <w:t xml:space="preserve">standard guidelines Mild – Moderate </w:t>
      </w:r>
      <w:r w:rsidR="00A30E1F">
        <w:rPr>
          <w:rFonts w:cs="Arial"/>
          <w:sz w:val="24"/>
          <w:szCs w:val="24"/>
        </w:rPr>
        <w:t xml:space="preserve">ability to see equal or more than </w:t>
      </w:r>
      <w:r w:rsidRPr="00D765D3">
        <w:rPr>
          <w:rFonts w:cs="Arial"/>
          <w:sz w:val="24"/>
          <w:szCs w:val="24"/>
        </w:rPr>
        <w:t>35 letters</w:t>
      </w:r>
      <w:r w:rsidR="00A30E1F">
        <w:rPr>
          <w:rFonts w:cs="Arial"/>
          <w:sz w:val="24"/>
          <w:szCs w:val="24"/>
        </w:rPr>
        <w:t xml:space="preserve"> on a standard </w:t>
      </w:r>
      <w:r w:rsidR="002C1317">
        <w:rPr>
          <w:rFonts w:cs="Arial"/>
          <w:sz w:val="24"/>
          <w:szCs w:val="24"/>
        </w:rPr>
        <w:t>ETDRS chart</w:t>
      </w:r>
      <w:r w:rsidRPr="00D765D3">
        <w:rPr>
          <w:rFonts w:cs="Arial"/>
          <w:sz w:val="24"/>
          <w:szCs w:val="24"/>
        </w:rPr>
        <w:fldChar w:fldCharType="begin" w:fldLock="1"/>
      </w:r>
      <w:r w:rsidR="009F72CF">
        <w:rPr>
          <w:rFonts w:cs="Arial"/>
          <w:sz w:val="24"/>
          <w:szCs w:val="24"/>
        </w:rPr>
        <w:instrText>ADDIN CSL_CITATION { "citationItems" : [ { "id" : "ITEM-1", "itemData" : { "DOI" : "10.1186/1741-7015-4-7", "ISSN" : "1741-7015", "PMID" : "16539739", "abstract" : "BACKGROUND The existing definitions of visual impairment in the International Statistical Classification of Diseases are based on recommendations made over 30 years ago. New data and knowledge related to visual impairment that have accumulated over this period suggest that these definitions need to be revised. DISCUSSION Three major issues need to be addressed in the revision of these definitions. First, the existing definitions are based on best-corrected visual acuity, which exclude uncorrected refractive error as a cause of visual impairment, leading to substantial underestimation of the total visual impairment burden by about 38%. Second, the cut-off level of visual impairment to define blindness in the International Statistical Classification of Diseases is visual acuity less than 3/60 in the better eye, but with increasing human development the visual acuity requirements are also increasing, suggesting that a level less than 6/60 be used to define blindness. Third, the International Statistical Classification of Diseases uses the term 'low vision' for visual impairment level less than blindness, which causes confusion with the common use of this term for uncorrectable vision requiring aids or rehabilitation, suggesting that alternative terms such as moderate and mild visual impairment would be more appropriate for visual impairment less severe than blindness. We propose a revision of the definitions of visual impairment in the International Statistical Classification of Diseases that addresses these three issues. According to these revised definitions, the number of blind persons in the world defined as presenting visual acuity less than 6/60 in the better eye would be about 57 million as compared with the World Health Organization estimate of 37 million using the existing International Statistical Classification of Diseases definition of best-corrected visual acuity less than 3/60 in the better eye, and the number of persons in the world with moderate visual impairment defined as presenting visual acuity less than 6/18 to 6/60 in the better eye would be about 202 million as compared with the World Health Organization estimate of 124 million persons with low vision defined as best-corrected visual acuity less than 6/18 to 3/60 in the better eye. CONCLUSION Our suggested revision of the visual impairment definitions in the International Statistical Classification of Diseases takes into account advances in the understanding of visual impairment. Thi\u2026", "author" : [ { "dropping-particle" : "", "family" : "Dandona", "given" : "Lalit", "non-dropping-particle" : "", "parse-names" : false, "suffix" : "" }, { "dropping-particle" : "", "family" : "Dandona", "given" : "Rakhi", "non-dropping-particle" : "", "parse-names" : false, "suffix" : "" } ], "container-title" : "BMC Medicine", "id" : "ITEM-1", "issue" : "1", "issued" : { "date-parts" : [ [ "2006" ] ] }, "page" : "7", "title" : "Revision of visual impairment definitions in the International Statistical Classification of Diseases", "type" : "article-journal", "volume" : "4" }, "uris" : [ "http://www.mendeley.com/documents/?uuid=7afb8063-6bda-3f08-b2c2-bdcdeecdd7fd" ] } ], "mendeley" : { "formattedCitation" : "&lt;sup&gt;25&lt;/sup&gt;", "plainTextFormattedCitation" : "25", "previouslyFormattedCitation" : "&lt;sup&gt;24&lt;/sup&gt;" }, "properties" : { "noteIndex" : 0 }, "schema" : "https://github.com/citation-style-language/schema/raw/master/csl-citation.json" }</w:instrText>
      </w:r>
      <w:r w:rsidRPr="00D765D3">
        <w:rPr>
          <w:rFonts w:cs="Arial"/>
          <w:sz w:val="24"/>
          <w:szCs w:val="24"/>
        </w:rPr>
        <w:fldChar w:fldCharType="separate"/>
      </w:r>
      <w:r w:rsidR="009F72CF" w:rsidRPr="009F72CF">
        <w:rPr>
          <w:rFonts w:cs="Arial"/>
          <w:noProof/>
          <w:sz w:val="24"/>
          <w:szCs w:val="24"/>
          <w:vertAlign w:val="superscript"/>
        </w:rPr>
        <w:t>25</w:t>
      </w:r>
      <w:r w:rsidRPr="00D765D3">
        <w:rPr>
          <w:rFonts w:cs="Arial"/>
          <w:sz w:val="24"/>
          <w:szCs w:val="24"/>
        </w:rPr>
        <w:fldChar w:fldCharType="end"/>
      </w:r>
      <w:r w:rsidR="00234FE5">
        <w:rPr>
          <w:rFonts w:cs="Arial"/>
          <w:sz w:val="24"/>
          <w:szCs w:val="24"/>
        </w:rPr>
        <w:t xml:space="preserve"> </w:t>
      </w:r>
      <w:r w:rsidR="00234FE5">
        <w:rPr>
          <w:rFonts w:cs="Arial"/>
          <w:sz w:val="24"/>
          <w:szCs w:val="24"/>
        </w:rPr>
        <w:fldChar w:fldCharType="begin" w:fldLock="1"/>
      </w:r>
      <w:r w:rsidR="009F72CF">
        <w:rPr>
          <w:rFonts w:cs="Arial"/>
          <w:sz w:val="24"/>
          <w:szCs w:val="24"/>
        </w:rPr>
        <w:instrText>ADDIN CSL_CITATION { "citationItems" : [ { "id" : "ITEM-1", "itemData" : { "URL" : "http://www.rnib.org.uk/eye-health/registering-your-sight-loss/criteria-certification", "accessed" : { "date-parts" : [ [ "2018", "3", "22" ] ] }, "author" : [ { "dropping-particle" : "", "family" : "Royal National Institute of Blind People", "given" : "", "non-dropping-particle" : "", "parse-names" : false, "suffix" : "" } ], "id" : "ITEM-1", "issued" : { "date-parts" : [ [ "2018" ] ] }, "title" : "The criteria for certification", "type" : "webpage" }, "uris" : [ "http://www.mendeley.com/documents/?uuid=b6e40a9b-1f61-48f8-b892-66cb9f9beb72" ] } ], "mendeley" : { "formattedCitation" : "&lt;sup&gt;29&lt;/sup&gt;", "plainTextFormattedCitation" : "29", "previouslyFormattedCitation" : "&lt;sup&gt;28&lt;/sup&gt;" }, "properties" : { "noteIndex" : 0 }, "schema" : "https://github.com/citation-style-language/schema/raw/master/csl-citation.json" }</w:instrText>
      </w:r>
      <w:r w:rsidR="00234FE5">
        <w:rPr>
          <w:rFonts w:cs="Arial"/>
          <w:sz w:val="24"/>
          <w:szCs w:val="24"/>
        </w:rPr>
        <w:fldChar w:fldCharType="separate"/>
      </w:r>
      <w:r w:rsidR="009F72CF" w:rsidRPr="009F72CF">
        <w:rPr>
          <w:rFonts w:cs="Arial"/>
          <w:noProof/>
          <w:sz w:val="24"/>
          <w:szCs w:val="24"/>
          <w:vertAlign w:val="superscript"/>
        </w:rPr>
        <w:t>29</w:t>
      </w:r>
      <w:r w:rsidR="00234FE5">
        <w:rPr>
          <w:rFonts w:cs="Arial"/>
          <w:sz w:val="24"/>
          <w:szCs w:val="24"/>
        </w:rPr>
        <w:fldChar w:fldCharType="end"/>
      </w:r>
    </w:p>
    <w:p w14:paraId="16380708" w14:textId="50B5FBF9" w:rsidR="00931584" w:rsidRPr="00D765D3" w:rsidRDefault="00931584" w:rsidP="00D34244">
      <w:pPr>
        <w:pStyle w:val="ListParagraph"/>
        <w:numPr>
          <w:ilvl w:val="1"/>
          <w:numId w:val="37"/>
        </w:numPr>
        <w:spacing w:line="480" w:lineRule="auto"/>
        <w:rPr>
          <w:rFonts w:cs="Arial"/>
          <w:sz w:val="24"/>
          <w:szCs w:val="24"/>
        </w:rPr>
      </w:pPr>
      <w:r w:rsidRPr="00D765D3">
        <w:rPr>
          <w:rFonts w:cs="Arial"/>
          <w:sz w:val="24"/>
          <w:szCs w:val="24"/>
        </w:rPr>
        <w:t xml:space="preserve">Severe </w:t>
      </w:r>
      <w:r w:rsidR="00A30E1F">
        <w:rPr>
          <w:rFonts w:cs="Arial"/>
          <w:sz w:val="24"/>
          <w:szCs w:val="24"/>
        </w:rPr>
        <w:t>ability to see less than 35 letters</w:t>
      </w:r>
      <w:r w:rsidR="002C1317">
        <w:rPr>
          <w:rFonts w:cs="Arial"/>
          <w:sz w:val="24"/>
          <w:szCs w:val="24"/>
        </w:rPr>
        <w:t xml:space="preserve"> on a standard ETDRS chart</w:t>
      </w:r>
      <w:r w:rsidR="00A30E1F">
        <w:rPr>
          <w:rFonts w:cs="Arial"/>
          <w:sz w:val="24"/>
          <w:szCs w:val="24"/>
        </w:rPr>
        <w:t xml:space="preserve"> </w:t>
      </w:r>
    </w:p>
    <w:p w14:paraId="498A70A0" w14:textId="77777777" w:rsidR="002B3564" w:rsidRPr="00D765D3" w:rsidRDefault="002B3564" w:rsidP="00D34244">
      <w:pPr>
        <w:pStyle w:val="ListParagraph"/>
        <w:spacing w:line="480" w:lineRule="auto"/>
        <w:ind w:left="1080"/>
        <w:rPr>
          <w:rFonts w:cs="Arial"/>
          <w:sz w:val="24"/>
          <w:szCs w:val="24"/>
        </w:rPr>
      </w:pPr>
    </w:p>
    <w:p w14:paraId="04C497E1" w14:textId="1025262A" w:rsidR="002B3564" w:rsidRPr="00D765D3" w:rsidRDefault="00931584" w:rsidP="00D34244">
      <w:pPr>
        <w:pStyle w:val="ListParagraph"/>
        <w:keepNext/>
        <w:numPr>
          <w:ilvl w:val="0"/>
          <w:numId w:val="37"/>
        </w:numPr>
        <w:spacing w:line="480" w:lineRule="auto"/>
        <w:rPr>
          <w:rFonts w:cs="Arial"/>
          <w:sz w:val="24"/>
          <w:szCs w:val="24"/>
        </w:rPr>
      </w:pPr>
      <w:r w:rsidRPr="00D765D3">
        <w:rPr>
          <w:rFonts w:cs="Arial"/>
          <w:sz w:val="24"/>
          <w:szCs w:val="24"/>
        </w:rPr>
        <w:t xml:space="preserve">Treatment process was </w:t>
      </w:r>
      <w:r w:rsidR="00D153E4">
        <w:rPr>
          <w:rFonts w:cs="Arial"/>
          <w:sz w:val="24"/>
          <w:szCs w:val="24"/>
        </w:rPr>
        <w:t>assessed as delay in completion of treatment</w:t>
      </w:r>
      <w:r w:rsidR="00D153E4" w:rsidRPr="00D765D3">
        <w:rPr>
          <w:rFonts w:cs="Arial"/>
          <w:sz w:val="24"/>
          <w:szCs w:val="24"/>
        </w:rPr>
        <w:t xml:space="preserve"> </w:t>
      </w:r>
      <w:r w:rsidR="00D153E4">
        <w:rPr>
          <w:rFonts w:cs="Arial"/>
          <w:sz w:val="24"/>
          <w:szCs w:val="24"/>
        </w:rPr>
        <w:t>if</w:t>
      </w:r>
      <w:r w:rsidRPr="00D765D3">
        <w:rPr>
          <w:rFonts w:cs="Arial"/>
          <w:sz w:val="24"/>
          <w:szCs w:val="24"/>
        </w:rPr>
        <w:t xml:space="preserve"> patients </w:t>
      </w:r>
      <w:r w:rsidR="00D153E4">
        <w:rPr>
          <w:rFonts w:cs="Arial"/>
          <w:sz w:val="24"/>
          <w:szCs w:val="24"/>
        </w:rPr>
        <w:t xml:space="preserve">failed to </w:t>
      </w:r>
      <w:r w:rsidRPr="00D765D3">
        <w:rPr>
          <w:rFonts w:cs="Arial"/>
          <w:sz w:val="24"/>
          <w:szCs w:val="24"/>
        </w:rPr>
        <w:t>complete the treatment</w:t>
      </w:r>
      <w:r w:rsidR="00D153E4">
        <w:rPr>
          <w:rFonts w:cs="Arial"/>
          <w:sz w:val="24"/>
          <w:szCs w:val="24"/>
        </w:rPr>
        <w:t xml:space="preserve"> course</w:t>
      </w:r>
      <w:r w:rsidRPr="00D765D3">
        <w:rPr>
          <w:rFonts w:cs="Arial"/>
          <w:sz w:val="24"/>
          <w:szCs w:val="24"/>
        </w:rPr>
        <w:t xml:space="preserve"> in </w:t>
      </w:r>
      <w:r w:rsidR="006156F1">
        <w:rPr>
          <w:rFonts w:cs="Arial"/>
          <w:sz w:val="24"/>
          <w:szCs w:val="24"/>
        </w:rPr>
        <w:t xml:space="preserve">the </w:t>
      </w:r>
      <w:r w:rsidRPr="00D765D3">
        <w:rPr>
          <w:rFonts w:cs="Arial"/>
          <w:sz w:val="24"/>
          <w:szCs w:val="24"/>
        </w:rPr>
        <w:t xml:space="preserve">recommended period </w:t>
      </w:r>
      <w:r w:rsidR="0029727E">
        <w:rPr>
          <w:rFonts w:cs="Arial"/>
          <w:sz w:val="24"/>
          <w:szCs w:val="24"/>
        </w:rPr>
        <w:t>of</w:t>
      </w:r>
      <w:r w:rsidR="0088009B">
        <w:rPr>
          <w:rFonts w:cs="Arial"/>
          <w:sz w:val="24"/>
          <w:szCs w:val="24"/>
        </w:rPr>
        <w:t xml:space="preserve"> </w:t>
      </w:r>
      <w:r w:rsidRPr="00D765D3">
        <w:rPr>
          <w:rFonts w:cs="Arial"/>
          <w:sz w:val="24"/>
          <w:szCs w:val="24"/>
        </w:rPr>
        <w:t>11 months</w:t>
      </w:r>
      <w:r w:rsidR="00D153E4">
        <w:rPr>
          <w:rFonts w:cs="Arial"/>
          <w:sz w:val="24"/>
          <w:szCs w:val="24"/>
        </w:rPr>
        <w:t xml:space="preserve"> </w:t>
      </w:r>
      <w:r w:rsidR="0029727E">
        <w:rPr>
          <w:rFonts w:cs="Arial"/>
          <w:sz w:val="24"/>
          <w:szCs w:val="24"/>
        </w:rPr>
        <w:t xml:space="preserve">in the first </w:t>
      </w:r>
      <w:r w:rsidR="002D42B4">
        <w:rPr>
          <w:rFonts w:cs="Arial"/>
          <w:sz w:val="24"/>
          <w:szCs w:val="24"/>
        </w:rPr>
        <w:t>year.</w:t>
      </w:r>
      <w:r w:rsidR="00D153E4">
        <w:rPr>
          <w:rFonts w:cs="Arial"/>
          <w:sz w:val="24"/>
          <w:szCs w:val="24"/>
        </w:rPr>
        <w:t xml:space="preserve"> </w:t>
      </w:r>
    </w:p>
    <w:p w14:paraId="77EAA278" w14:textId="2FA9AB6E" w:rsidR="00931584" w:rsidRPr="00D765D3" w:rsidRDefault="00931584" w:rsidP="00620B41">
      <w:pPr>
        <w:pStyle w:val="ListParagraph"/>
        <w:keepNext/>
        <w:numPr>
          <w:ilvl w:val="0"/>
          <w:numId w:val="37"/>
        </w:numPr>
        <w:spacing w:line="480" w:lineRule="auto"/>
        <w:rPr>
          <w:rFonts w:cs="Arial"/>
          <w:sz w:val="24"/>
          <w:szCs w:val="24"/>
        </w:rPr>
      </w:pPr>
      <w:r w:rsidRPr="00D765D3">
        <w:rPr>
          <w:rFonts w:cs="Arial"/>
          <w:sz w:val="24"/>
          <w:szCs w:val="24"/>
        </w:rPr>
        <w:t>T</w:t>
      </w:r>
      <w:r w:rsidR="00D153E4">
        <w:rPr>
          <w:rFonts w:cs="Arial"/>
          <w:sz w:val="24"/>
          <w:szCs w:val="24"/>
        </w:rPr>
        <w:t>reatment</w:t>
      </w:r>
      <w:r w:rsidRPr="00D765D3">
        <w:rPr>
          <w:rFonts w:cs="Arial"/>
          <w:sz w:val="24"/>
          <w:szCs w:val="24"/>
        </w:rPr>
        <w:t xml:space="preserve"> outcome after </w:t>
      </w:r>
      <w:r w:rsidR="00D153E4">
        <w:rPr>
          <w:rFonts w:cs="Arial"/>
          <w:sz w:val="24"/>
          <w:szCs w:val="24"/>
        </w:rPr>
        <w:t>aflibercept</w:t>
      </w:r>
      <w:r w:rsidR="00D153E4" w:rsidRPr="00D765D3">
        <w:rPr>
          <w:rFonts w:cs="Arial"/>
          <w:sz w:val="24"/>
          <w:szCs w:val="24"/>
        </w:rPr>
        <w:t xml:space="preserve"> </w:t>
      </w:r>
      <w:r w:rsidR="00D153E4">
        <w:rPr>
          <w:rFonts w:cs="Arial"/>
          <w:sz w:val="24"/>
          <w:szCs w:val="24"/>
        </w:rPr>
        <w:t xml:space="preserve">therapy </w:t>
      </w:r>
      <w:r w:rsidRPr="00D765D3">
        <w:rPr>
          <w:rFonts w:cs="Arial"/>
          <w:sz w:val="24"/>
          <w:szCs w:val="24"/>
        </w:rPr>
        <w:t xml:space="preserve">was </w:t>
      </w:r>
      <w:r w:rsidR="00D153E4">
        <w:rPr>
          <w:rFonts w:cs="Arial"/>
          <w:sz w:val="24"/>
          <w:szCs w:val="24"/>
        </w:rPr>
        <w:t xml:space="preserve">assessed by </w:t>
      </w:r>
      <w:r w:rsidRPr="00D765D3">
        <w:rPr>
          <w:rFonts w:cs="Arial"/>
          <w:sz w:val="24"/>
          <w:szCs w:val="24"/>
        </w:rPr>
        <w:t xml:space="preserve">change </w:t>
      </w:r>
      <w:r w:rsidR="00D153E4">
        <w:rPr>
          <w:rFonts w:cs="Arial"/>
          <w:sz w:val="24"/>
          <w:szCs w:val="24"/>
        </w:rPr>
        <w:t xml:space="preserve">in </w:t>
      </w:r>
      <w:r w:rsidR="00F057ED">
        <w:rPr>
          <w:rFonts w:cs="Arial"/>
          <w:sz w:val="24"/>
          <w:szCs w:val="24"/>
        </w:rPr>
        <w:t>VA</w:t>
      </w:r>
      <w:r w:rsidR="00D153E4">
        <w:rPr>
          <w:rFonts w:cs="Arial"/>
          <w:sz w:val="24"/>
          <w:szCs w:val="24"/>
        </w:rPr>
        <w:t xml:space="preserve"> </w:t>
      </w:r>
      <w:r w:rsidR="002B3870">
        <w:rPr>
          <w:rFonts w:cs="Arial"/>
          <w:sz w:val="24"/>
          <w:szCs w:val="24"/>
        </w:rPr>
        <w:t>from</w:t>
      </w:r>
      <w:r w:rsidRPr="00D765D3">
        <w:rPr>
          <w:rFonts w:cs="Arial"/>
          <w:sz w:val="24"/>
          <w:szCs w:val="24"/>
        </w:rPr>
        <w:t xml:space="preserve"> baseline </w:t>
      </w:r>
      <w:r w:rsidR="002B3870">
        <w:rPr>
          <w:rFonts w:cs="Arial"/>
          <w:sz w:val="24"/>
          <w:szCs w:val="24"/>
        </w:rPr>
        <w:t xml:space="preserve">to latest follow-up </w:t>
      </w:r>
      <w:r w:rsidR="00A30E1F">
        <w:rPr>
          <w:rFonts w:cs="Arial"/>
          <w:sz w:val="24"/>
          <w:szCs w:val="24"/>
        </w:rPr>
        <w:t>after treatment completion</w:t>
      </w:r>
      <w:r w:rsidR="00D153E4">
        <w:rPr>
          <w:rFonts w:cs="Arial"/>
          <w:sz w:val="24"/>
          <w:szCs w:val="24"/>
        </w:rPr>
        <w:t>,</w:t>
      </w:r>
      <w:r w:rsidRPr="00D765D3">
        <w:rPr>
          <w:rFonts w:cs="Arial"/>
          <w:sz w:val="24"/>
          <w:szCs w:val="24"/>
        </w:rPr>
        <w:t xml:space="preserve"> dichotomized as:</w:t>
      </w:r>
    </w:p>
    <w:p w14:paraId="7F67D5B8" w14:textId="77777777" w:rsidR="00931584" w:rsidRPr="00D765D3" w:rsidRDefault="00931584" w:rsidP="00D34244">
      <w:pPr>
        <w:pStyle w:val="ListParagraph"/>
        <w:spacing w:line="480" w:lineRule="auto"/>
        <w:rPr>
          <w:rFonts w:cs="Arial"/>
          <w:sz w:val="24"/>
          <w:szCs w:val="24"/>
        </w:rPr>
      </w:pPr>
    </w:p>
    <w:p w14:paraId="4D7EE50F" w14:textId="2B187430" w:rsidR="00931584" w:rsidRPr="00D765D3" w:rsidRDefault="00931584" w:rsidP="00D34244">
      <w:pPr>
        <w:pStyle w:val="ListParagraph"/>
        <w:numPr>
          <w:ilvl w:val="1"/>
          <w:numId w:val="37"/>
        </w:numPr>
        <w:spacing w:line="480" w:lineRule="auto"/>
        <w:rPr>
          <w:rFonts w:cs="Arial"/>
          <w:sz w:val="24"/>
          <w:szCs w:val="24"/>
        </w:rPr>
      </w:pPr>
      <w:r w:rsidRPr="00D765D3">
        <w:rPr>
          <w:rFonts w:cs="Arial"/>
          <w:sz w:val="24"/>
          <w:szCs w:val="24"/>
        </w:rPr>
        <w:t xml:space="preserve">Deterioration of vision: &gt;= loss of 15 letters </w:t>
      </w:r>
      <w:r w:rsidR="002C1317">
        <w:rPr>
          <w:rFonts w:cs="Arial"/>
          <w:sz w:val="24"/>
          <w:szCs w:val="24"/>
        </w:rPr>
        <w:t>on ETDRS</w:t>
      </w:r>
      <w:r w:rsidRPr="00D765D3">
        <w:rPr>
          <w:rFonts w:cs="Arial"/>
          <w:sz w:val="24"/>
          <w:szCs w:val="24"/>
        </w:rPr>
        <w:t xml:space="preserve"> Chart</w:t>
      </w:r>
    </w:p>
    <w:p w14:paraId="4E7448E7" w14:textId="642E2682" w:rsidR="00D765D3" w:rsidRPr="00BF0745" w:rsidRDefault="00931584" w:rsidP="002C1317">
      <w:pPr>
        <w:pStyle w:val="ListParagraph"/>
        <w:numPr>
          <w:ilvl w:val="1"/>
          <w:numId w:val="37"/>
        </w:numPr>
        <w:spacing w:line="480" w:lineRule="auto"/>
        <w:rPr>
          <w:rFonts w:cs="Arial"/>
          <w:sz w:val="24"/>
          <w:szCs w:val="24"/>
        </w:rPr>
      </w:pPr>
      <w:r w:rsidRPr="002C1317">
        <w:rPr>
          <w:rFonts w:cs="Arial"/>
          <w:sz w:val="24"/>
          <w:szCs w:val="24"/>
        </w:rPr>
        <w:t xml:space="preserve">Maintain or improvement of vision: &lt; loss of 15 letters </w:t>
      </w:r>
      <w:r w:rsidR="002C1317">
        <w:rPr>
          <w:rFonts w:cs="Arial"/>
          <w:sz w:val="24"/>
          <w:szCs w:val="24"/>
        </w:rPr>
        <w:t>on ETDRS</w:t>
      </w:r>
      <w:r w:rsidRPr="002C1317">
        <w:rPr>
          <w:rFonts w:cs="Arial"/>
          <w:sz w:val="24"/>
          <w:szCs w:val="24"/>
        </w:rPr>
        <w:t xml:space="preserve"> Chart</w:t>
      </w:r>
    </w:p>
    <w:p w14:paraId="18DD212D" w14:textId="1F227D4E" w:rsidR="00931584" w:rsidRDefault="00931584" w:rsidP="002C1317">
      <w:pPr>
        <w:spacing w:line="480" w:lineRule="auto"/>
        <w:rPr>
          <w:rFonts w:cs="Arial"/>
          <w:sz w:val="24"/>
          <w:szCs w:val="24"/>
          <w:u w:val="single"/>
        </w:rPr>
      </w:pPr>
      <w:r w:rsidRPr="002C1317">
        <w:rPr>
          <w:rFonts w:cs="Arial"/>
          <w:sz w:val="24"/>
          <w:szCs w:val="24"/>
          <w:u w:val="single"/>
        </w:rPr>
        <w:t>Analysis Strategy for the Study</w:t>
      </w:r>
    </w:p>
    <w:p w14:paraId="4D6751B7" w14:textId="62E65FAD" w:rsidR="00E25C80" w:rsidRPr="00620B41" w:rsidRDefault="00E25C80" w:rsidP="00E25C80">
      <w:pPr>
        <w:spacing w:line="480" w:lineRule="auto"/>
        <w:rPr>
          <w:rFonts w:cs="Arial"/>
          <w:sz w:val="24"/>
          <w:szCs w:val="24"/>
        </w:rPr>
      </w:pPr>
      <w:r w:rsidRPr="00620B41">
        <w:rPr>
          <w:rFonts w:cs="Arial"/>
          <w:sz w:val="24"/>
          <w:szCs w:val="24"/>
        </w:rPr>
        <w:t xml:space="preserve">All analyses were conducted using IBM SPSS Statistics for Windows, Version 22.0. The prespecified level of significance chosen for the study was 0.05. </w:t>
      </w:r>
      <w:r w:rsidR="00783F0B">
        <w:rPr>
          <w:rFonts w:cs="Arial"/>
          <w:sz w:val="24"/>
          <w:szCs w:val="24"/>
        </w:rPr>
        <w:t xml:space="preserve">All statistical analysis in SPSS is by default 2-Tailed. </w:t>
      </w:r>
      <w:r w:rsidRPr="00620B41">
        <w:rPr>
          <w:rFonts w:cs="Arial"/>
          <w:sz w:val="24"/>
          <w:szCs w:val="24"/>
        </w:rPr>
        <w:t xml:space="preserve">The Shapiro-Wilk test of normality was run to investigate the distribution of data which was found to be skewed. </w:t>
      </w:r>
    </w:p>
    <w:p w14:paraId="34BC4D67" w14:textId="77777777" w:rsidR="00E25C80" w:rsidRDefault="00E25C80" w:rsidP="00E25C80">
      <w:pPr>
        <w:spacing w:line="480" w:lineRule="auto"/>
        <w:rPr>
          <w:rFonts w:cs="Arial"/>
          <w:sz w:val="24"/>
          <w:szCs w:val="24"/>
        </w:rPr>
      </w:pPr>
      <w:r w:rsidRPr="00620B41">
        <w:rPr>
          <w:rFonts w:cs="Arial"/>
          <w:sz w:val="24"/>
          <w:szCs w:val="24"/>
        </w:rPr>
        <w:t>Descriptive statistics were used to identify socio-demographic and clinical characteristics of whole study(n=756) and subset population(n=524).</w:t>
      </w:r>
    </w:p>
    <w:p w14:paraId="649959A6" w14:textId="75345F88" w:rsidR="00E25C80" w:rsidRPr="00620B41" w:rsidRDefault="00E25C80" w:rsidP="00E25C80">
      <w:pPr>
        <w:spacing w:line="480" w:lineRule="auto"/>
        <w:rPr>
          <w:rFonts w:cs="Arial"/>
          <w:sz w:val="24"/>
          <w:szCs w:val="24"/>
        </w:rPr>
      </w:pPr>
      <w:r w:rsidRPr="00620B41">
        <w:rPr>
          <w:rFonts w:cs="Arial"/>
          <w:sz w:val="24"/>
          <w:szCs w:val="24"/>
        </w:rPr>
        <w:lastRenderedPageBreak/>
        <w:t>As the data was skewed, the variables with continuous data were explored by using median</w:t>
      </w:r>
      <w:r w:rsidR="00783F0B">
        <w:rPr>
          <w:rFonts w:cs="Arial"/>
          <w:sz w:val="24"/>
          <w:szCs w:val="24"/>
        </w:rPr>
        <w:t xml:space="preserve"> (measure of central tendency) and</w:t>
      </w:r>
      <w:r w:rsidRPr="00620B41">
        <w:rPr>
          <w:rFonts w:cs="Arial"/>
          <w:sz w:val="24"/>
          <w:szCs w:val="24"/>
        </w:rPr>
        <w:t xml:space="preserve"> range</w:t>
      </w:r>
      <w:r w:rsidR="00783F0B">
        <w:rPr>
          <w:rFonts w:cs="Arial"/>
          <w:sz w:val="24"/>
          <w:szCs w:val="24"/>
        </w:rPr>
        <w:t xml:space="preserve"> (estimation of variance). To compare the medians across the quintiles of deprivation</w:t>
      </w:r>
      <w:r w:rsidRPr="00620B41">
        <w:rPr>
          <w:rFonts w:cs="Arial"/>
          <w:sz w:val="24"/>
          <w:szCs w:val="24"/>
        </w:rPr>
        <w:t xml:space="preserve"> non-parametric Kruskal-Wallis test</w:t>
      </w:r>
      <w:r w:rsidR="0063290C">
        <w:rPr>
          <w:rFonts w:cs="Arial"/>
          <w:sz w:val="24"/>
          <w:szCs w:val="24"/>
        </w:rPr>
        <w:t xml:space="preserve"> was conducted whereas to compare the groups based on distance</w:t>
      </w:r>
      <w:r w:rsidR="00930DD2">
        <w:rPr>
          <w:rFonts w:cs="Arial"/>
          <w:sz w:val="24"/>
          <w:szCs w:val="24"/>
        </w:rPr>
        <w:t xml:space="preserve"> a</w:t>
      </w:r>
      <w:r w:rsidRPr="00620B41">
        <w:rPr>
          <w:rFonts w:cs="Arial"/>
          <w:sz w:val="24"/>
          <w:szCs w:val="24"/>
        </w:rPr>
        <w:t xml:space="preserve"> </w:t>
      </w:r>
      <w:r w:rsidR="0063290C">
        <w:rPr>
          <w:rFonts w:cs="Arial"/>
          <w:sz w:val="24"/>
          <w:szCs w:val="24"/>
        </w:rPr>
        <w:t xml:space="preserve">non-parametric </w:t>
      </w:r>
      <w:r w:rsidRPr="00620B41">
        <w:rPr>
          <w:rFonts w:cs="Arial"/>
          <w:sz w:val="24"/>
          <w:szCs w:val="24"/>
        </w:rPr>
        <w:t xml:space="preserve">Mann-Whitney U test </w:t>
      </w:r>
      <w:r w:rsidR="0063290C">
        <w:rPr>
          <w:rFonts w:cs="Arial"/>
          <w:sz w:val="24"/>
          <w:szCs w:val="24"/>
        </w:rPr>
        <w:t>was conducted. In addition,</w:t>
      </w:r>
      <w:r w:rsidRPr="00620B41">
        <w:rPr>
          <w:rFonts w:cs="Arial"/>
          <w:sz w:val="24"/>
          <w:szCs w:val="24"/>
        </w:rPr>
        <w:t xml:space="preserve"> frequency</w:t>
      </w:r>
      <w:r w:rsidR="00930DD2">
        <w:rPr>
          <w:rFonts w:cs="Arial"/>
          <w:sz w:val="24"/>
          <w:szCs w:val="24"/>
        </w:rPr>
        <w:t xml:space="preserve"> </w:t>
      </w:r>
      <w:r w:rsidRPr="00620B41">
        <w:rPr>
          <w:rFonts w:cs="Arial"/>
          <w:sz w:val="24"/>
          <w:szCs w:val="24"/>
        </w:rPr>
        <w:t>(percentage), cross tabulation and chi-square test along with Fishers’ Exact test were used for categorical variables to compare different groups.</w:t>
      </w:r>
    </w:p>
    <w:p w14:paraId="092DE3BE" w14:textId="01B065DC" w:rsidR="00E25C80" w:rsidRPr="00620B41" w:rsidRDefault="00E25C80" w:rsidP="00E25C80">
      <w:pPr>
        <w:spacing w:line="480" w:lineRule="auto"/>
        <w:rPr>
          <w:rFonts w:cs="Arial"/>
          <w:sz w:val="24"/>
          <w:szCs w:val="24"/>
        </w:rPr>
      </w:pPr>
      <w:r w:rsidRPr="00620B41">
        <w:rPr>
          <w:rFonts w:cs="Arial"/>
          <w:sz w:val="24"/>
          <w:szCs w:val="24"/>
        </w:rPr>
        <w:t>In addition, associations between independent variables, viz., SES, distance from home to eye unit, age, gender and dependent variable, viz., severity of BVA, treatment process and treatment outcomes</w:t>
      </w:r>
      <w:r w:rsidR="00791612">
        <w:rPr>
          <w:rFonts w:cs="Arial"/>
          <w:sz w:val="24"/>
          <w:szCs w:val="24"/>
        </w:rPr>
        <w:t xml:space="preserve"> </w:t>
      </w:r>
      <w:r w:rsidRPr="00620B41">
        <w:rPr>
          <w:rFonts w:cs="Arial"/>
          <w:sz w:val="24"/>
          <w:szCs w:val="24"/>
        </w:rPr>
        <w:t xml:space="preserve">(change in vision from baseline to </w:t>
      </w:r>
      <w:r w:rsidR="002B3870">
        <w:rPr>
          <w:rFonts w:cs="Arial"/>
          <w:sz w:val="24"/>
          <w:szCs w:val="24"/>
        </w:rPr>
        <w:t xml:space="preserve">latest </w:t>
      </w:r>
      <w:r w:rsidRPr="00620B41">
        <w:rPr>
          <w:rFonts w:cs="Arial"/>
          <w:sz w:val="24"/>
          <w:szCs w:val="24"/>
        </w:rPr>
        <w:t>follow-up), were further investigated using univariate and multivariate logistic regression models</w:t>
      </w:r>
      <w:r w:rsidR="00AB094C">
        <w:rPr>
          <w:rFonts w:cs="Arial"/>
          <w:sz w:val="24"/>
          <w:szCs w:val="24"/>
        </w:rPr>
        <w:t>; where the results were interpreted as Odd</w:t>
      </w:r>
      <w:r w:rsidR="00D27458">
        <w:rPr>
          <w:rFonts w:cs="Arial"/>
          <w:sz w:val="24"/>
          <w:szCs w:val="24"/>
        </w:rPr>
        <w:t>s r</w:t>
      </w:r>
      <w:r w:rsidR="00AB094C">
        <w:rPr>
          <w:rFonts w:cs="Arial"/>
          <w:sz w:val="24"/>
          <w:szCs w:val="24"/>
        </w:rPr>
        <w:t>atio</w:t>
      </w:r>
      <w:r w:rsidR="001F2838">
        <w:rPr>
          <w:rFonts w:cs="Arial"/>
          <w:sz w:val="24"/>
          <w:szCs w:val="24"/>
        </w:rPr>
        <w:t xml:space="preserve"> (relative measure of effect to compare study groups)</w:t>
      </w:r>
      <w:r w:rsidR="00D27458">
        <w:rPr>
          <w:rFonts w:cs="Arial"/>
          <w:sz w:val="24"/>
          <w:szCs w:val="24"/>
        </w:rPr>
        <w:t xml:space="preserve"> and Confidence Interval</w:t>
      </w:r>
      <w:r w:rsidR="00127FFD">
        <w:rPr>
          <w:rFonts w:cs="Arial"/>
          <w:sz w:val="24"/>
          <w:szCs w:val="24"/>
        </w:rPr>
        <w:t xml:space="preserve"> (an interval estimate combined with probability statement)</w:t>
      </w:r>
      <w:r w:rsidR="001F2838">
        <w:rPr>
          <w:rFonts w:cs="Arial"/>
          <w:sz w:val="24"/>
          <w:szCs w:val="24"/>
        </w:rPr>
        <w:t>.</w:t>
      </w:r>
    </w:p>
    <w:p w14:paraId="7A5C4DDF" w14:textId="15BE122D" w:rsidR="0021500E" w:rsidRPr="00D765D3" w:rsidRDefault="0021500E" w:rsidP="00D34244">
      <w:pPr>
        <w:pStyle w:val="Heading1"/>
        <w:spacing w:line="480" w:lineRule="auto"/>
        <w:rPr>
          <w:noProof/>
          <w:sz w:val="24"/>
          <w:szCs w:val="24"/>
          <w:lang w:val="en-GB" w:eastAsia="en-GB"/>
        </w:rPr>
      </w:pPr>
      <w:r w:rsidRPr="00D765D3">
        <w:rPr>
          <w:noProof/>
          <w:sz w:val="24"/>
          <w:szCs w:val="24"/>
          <w:lang w:val="en-GB" w:eastAsia="en-GB"/>
        </w:rPr>
        <w:t>Results</w:t>
      </w:r>
    </w:p>
    <w:p w14:paraId="6890A3D3" w14:textId="6AC7A277" w:rsidR="0029727E" w:rsidRPr="00937AF7" w:rsidRDefault="0029727E" w:rsidP="00D34244">
      <w:pPr>
        <w:spacing w:line="480" w:lineRule="auto"/>
        <w:rPr>
          <w:rFonts w:cs="Arial"/>
          <w:sz w:val="24"/>
          <w:szCs w:val="24"/>
        </w:rPr>
      </w:pPr>
    </w:p>
    <w:p w14:paraId="420731ED" w14:textId="6309CA05" w:rsidR="00896ADB" w:rsidRPr="00D765D3" w:rsidRDefault="00527374" w:rsidP="00D34244">
      <w:pPr>
        <w:spacing w:line="480" w:lineRule="auto"/>
        <w:rPr>
          <w:rFonts w:cs="Arial"/>
          <w:sz w:val="24"/>
          <w:szCs w:val="24"/>
        </w:rPr>
      </w:pPr>
      <w:r>
        <w:rPr>
          <w:rFonts w:cs="Arial"/>
          <w:sz w:val="24"/>
          <w:szCs w:val="24"/>
        </w:rPr>
        <w:t>7</w:t>
      </w:r>
      <w:r w:rsidRPr="00937AF7">
        <w:rPr>
          <w:rFonts w:cs="Arial"/>
          <w:sz w:val="24"/>
          <w:szCs w:val="24"/>
        </w:rPr>
        <w:t>56 patients were identified from the hospital records where</w:t>
      </w:r>
      <w:r w:rsidR="002D42B4">
        <w:rPr>
          <w:rFonts w:cs="Arial"/>
          <w:sz w:val="24"/>
          <w:szCs w:val="24"/>
        </w:rPr>
        <w:t xml:space="preserve"> </w:t>
      </w:r>
      <w:r w:rsidR="00520466">
        <w:rPr>
          <w:rFonts w:cs="Arial"/>
          <w:sz w:val="24"/>
          <w:szCs w:val="24"/>
        </w:rPr>
        <w:t>m</w:t>
      </w:r>
      <w:r w:rsidR="00896ADB" w:rsidRPr="00D765D3">
        <w:rPr>
          <w:rFonts w:cs="Arial"/>
          <w:sz w:val="24"/>
          <w:szCs w:val="24"/>
        </w:rPr>
        <w:t>edian age was 85 years</w:t>
      </w:r>
      <w:r w:rsidR="00924B4B">
        <w:rPr>
          <w:rFonts w:cs="Arial"/>
          <w:sz w:val="24"/>
          <w:szCs w:val="24"/>
        </w:rPr>
        <w:t xml:space="preserve"> </w:t>
      </w:r>
      <w:r w:rsidR="00896ADB" w:rsidRPr="00D765D3">
        <w:rPr>
          <w:rFonts w:cs="Arial"/>
          <w:sz w:val="24"/>
          <w:szCs w:val="24"/>
        </w:rPr>
        <w:t xml:space="preserve">(range 54-100); </w:t>
      </w:r>
      <w:r w:rsidR="00520466">
        <w:rPr>
          <w:rFonts w:cs="Arial"/>
          <w:sz w:val="24"/>
          <w:szCs w:val="24"/>
        </w:rPr>
        <w:t>and</w:t>
      </w:r>
      <w:r>
        <w:rPr>
          <w:rFonts w:cs="Arial"/>
          <w:sz w:val="24"/>
          <w:szCs w:val="24"/>
        </w:rPr>
        <w:t xml:space="preserve"> 499</w:t>
      </w:r>
      <w:r w:rsidR="007B5353">
        <w:rPr>
          <w:rFonts w:cs="Arial"/>
          <w:sz w:val="24"/>
          <w:szCs w:val="24"/>
        </w:rPr>
        <w:t xml:space="preserve"> </w:t>
      </w:r>
      <w:r w:rsidR="001E4F00">
        <w:rPr>
          <w:rFonts w:cs="Arial"/>
          <w:sz w:val="24"/>
          <w:szCs w:val="24"/>
        </w:rPr>
        <w:t>patients (</w:t>
      </w:r>
      <w:r w:rsidR="00896ADB" w:rsidRPr="00D765D3">
        <w:rPr>
          <w:rFonts w:cs="Arial"/>
          <w:sz w:val="24"/>
          <w:szCs w:val="24"/>
        </w:rPr>
        <w:t>66%</w:t>
      </w:r>
      <w:r w:rsidR="00520466">
        <w:rPr>
          <w:rFonts w:cs="Arial"/>
          <w:sz w:val="24"/>
          <w:szCs w:val="24"/>
        </w:rPr>
        <w:t>)</w:t>
      </w:r>
      <w:r w:rsidR="00896ADB" w:rsidRPr="00D765D3">
        <w:rPr>
          <w:rFonts w:cs="Arial"/>
          <w:sz w:val="24"/>
          <w:szCs w:val="24"/>
        </w:rPr>
        <w:t xml:space="preserve"> were female</w:t>
      </w:r>
      <w:r w:rsidR="00E53EB9">
        <w:rPr>
          <w:rFonts w:cs="Arial"/>
          <w:sz w:val="24"/>
          <w:szCs w:val="24"/>
        </w:rPr>
        <w:t>. The age of patients was well-matched across the quintiles.</w:t>
      </w:r>
      <w:r w:rsidR="00896ADB" w:rsidRPr="00D765D3">
        <w:rPr>
          <w:rFonts w:cs="Arial"/>
          <w:sz w:val="24"/>
          <w:szCs w:val="24"/>
        </w:rPr>
        <w:t xml:space="preserve"> There were a high</w:t>
      </w:r>
      <w:r w:rsidR="003F16A9">
        <w:rPr>
          <w:rFonts w:cs="Arial"/>
          <w:sz w:val="24"/>
          <w:szCs w:val="24"/>
        </w:rPr>
        <w:t xml:space="preserve"> </w:t>
      </w:r>
      <w:r w:rsidR="00896ADB" w:rsidRPr="00D765D3">
        <w:rPr>
          <w:rFonts w:cs="Arial"/>
          <w:sz w:val="24"/>
          <w:szCs w:val="24"/>
        </w:rPr>
        <w:t>proportion of white British patients</w:t>
      </w:r>
      <w:r w:rsidR="00924B4B">
        <w:rPr>
          <w:rFonts w:cs="Arial"/>
          <w:sz w:val="24"/>
          <w:szCs w:val="24"/>
        </w:rPr>
        <w:t xml:space="preserve"> </w:t>
      </w:r>
      <w:r w:rsidR="00896ADB" w:rsidRPr="00D765D3">
        <w:rPr>
          <w:rFonts w:cs="Arial"/>
          <w:sz w:val="24"/>
          <w:szCs w:val="24"/>
        </w:rPr>
        <w:t>(93.1%).</w:t>
      </w:r>
      <w:r w:rsidR="00350124">
        <w:rPr>
          <w:rFonts w:cs="Arial"/>
          <w:sz w:val="24"/>
          <w:szCs w:val="24"/>
        </w:rPr>
        <w:t xml:space="preserve"> </w:t>
      </w:r>
      <w:r w:rsidR="00896ADB" w:rsidRPr="00D765D3">
        <w:rPr>
          <w:rFonts w:cs="Arial"/>
          <w:sz w:val="24"/>
          <w:szCs w:val="24"/>
        </w:rPr>
        <w:t xml:space="preserve">Diabetes status was missing from 67.9% patients. </w:t>
      </w:r>
      <w:r w:rsidR="00EF13CC">
        <w:rPr>
          <w:rFonts w:cs="Arial"/>
          <w:sz w:val="24"/>
          <w:szCs w:val="24"/>
        </w:rPr>
        <w:t>The r</w:t>
      </w:r>
      <w:r w:rsidR="00896ADB" w:rsidRPr="00D765D3">
        <w:rPr>
          <w:rFonts w:cs="Arial"/>
          <w:sz w:val="24"/>
          <w:szCs w:val="24"/>
        </w:rPr>
        <w:t>est of the study population were mainly non-diabetic</w:t>
      </w:r>
      <w:r>
        <w:rPr>
          <w:rFonts w:cs="Arial"/>
          <w:sz w:val="24"/>
          <w:szCs w:val="24"/>
        </w:rPr>
        <w:t xml:space="preserve"> 157</w:t>
      </w:r>
      <w:r w:rsidR="00924B4B">
        <w:rPr>
          <w:rFonts w:cs="Arial"/>
          <w:sz w:val="24"/>
          <w:szCs w:val="24"/>
        </w:rPr>
        <w:t xml:space="preserve"> </w:t>
      </w:r>
      <w:r>
        <w:rPr>
          <w:rFonts w:cs="Arial"/>
          <w:sz w:val="24"/>
          <w:szCs w:val="24"/>
        </w:rPr>
        <w:t>(20.8%)</w:t>
      </w:r>
      <w:r w:rsidR="00896ADB" w:rsidRPr="00D765D3">
        <w:rPr>
          <w:rFonts w:cs="Arial"/>
          <w:sz w:val="24"/>
          <w:szCs w:val="24"/>
        </w:rPr>
        <w:t xml:space="preserve"> with some evidence of type 2</w:t>
      </w:r>
      <w:r w:rsidR="00924B4B">
        <w:rPr>
          <w:rFonts w:cs="Arial"/>
          <w:sz w:val="24"/>
          <w:szCs w:val="24"/>
        </w:rPr>
        <w:t xml:space="preserve"> </w:t>
      </w:r>
      <w:r>
        <w:rPr>
          <w:rFonts w:cs="Arial"/>
          <w:sz w:val="24"/>
          <w:szCs w:val="24"/>
        </w:rPr>
        <w:t>(10.7%)</w:t>
      </w:r>
      <w:r w:rsidR="00896ADB" w:rsidRPr="00D765D3">
        <w:rPr>
          <w:rFonts w:cs="Arial"/>
          <w:sz w:val="24"/>
          <w:szCs w:val="24"/>
        </w:rPr>
        <w:t xml:space="preserve"> and type 1 </w:t>
      </w:r>
      <w:r w:rsidR="00BE3A3B" w:rsidRPr="00D765D3">
        <w:rPr>
          <w:rFonts w:cs="Arial"/>
          <w:sz w:val="24"/>
          <w:szCs w:val="24"/>
        </w:rPr>
        <w:t>diabetes</w:t>
      </w:r>
      <w:r w:rsidR="001E4F00">
        <w:rPr>
          <w:rFonts w:cs="Arial"/>
          <w:sz w:val="24"/>
          <w:szCs w:val="24"/>
        </w:rPr>
        <w:t xml:space="preserve"> </w:t>
      </w:r>
      <w:r w:rsidR="00BE3A3B">
        <w:rPr>
          <w:rFonts w:cs="Arial"/>
          <w:sz w:val="24"/>
          <w:szCs w:val="24"/>
        </w:rPr>
        <w:t>(</w:t>
      </w:r>
      <w:r>
        <w:rPr>
          <w:rFonts w:cs="Arial"/>
          <w:sz w:val="24"/>
          <w:szCs w:val="24"/>
        </w:rPr>
        <w:t>0.3%)</w:t>
      </w:r>
      <w:r w:rsidR="00896ADB" w:rsidRPr="00D765D3">
        <w:rPr>
          <w:rFonts w:cs="Arial"/>
          <w:sz w:val="24"/>
          <w:szCs w:val="24"/>
        </w:rPr>
        <w:t>. Smoking status was un-reported in 638</w:t>
      </w:r>
      <w:r w:rsidR="00924B4B">
        <w:rPr>
          <w:rFonts w:cs="Arial"/>
          <w:sz w:val="24"/>
          <w:szCs w:val="24"/>
        </w:rPr>
        <w:t xml:space="preserve"> </w:t>
      </w:r>
      <w:r w:rsidR="00896ADB" w:rsidRPr="00D765D3">
        <w:rPr>
          <w:rFonts w:cs="Arial"/>
          <w:sz w:val="24"/>
          <w:szCs w:val="24"/>
        </w:rPr>
        <w:t xml:space="preserve">(84.4%) patients in </w:t>
      </w:r>
      <w:r w:rsidR="00896ADB" w:rsidRPr="00D765D3">
        <w:rPr>
          <w:rFonts w:cs="Arial"/>
          <w:sz w:val="24"/>
          <w:szCs w:val="24"/>
        </w:rPr>
        <w:lastRenderedPageBreak/>
        <w:t>these routine data.</w:t>
      </w:r>
      <w:r w:rsidR="00C4102B" w:rsidRPr="00D765D3">
        <w:rPr>
          <w:rFonts w:cs="Arial"/>
          <w:sz w:val="24"/>
          <w:szCs w:val="24"/>
        </w:rPr>
        <w:t xml:space="preserve"> </w:t>
      </w:r>
      <w:r w:rsidR="00924B4B">
        <w:rPr>
          <w:rFonts w:cs="Arial"/>
          <w:sz w:val="24"/>
          <w:szCs w:val="24"/>
        </w:rPr>
        <w:t>O</w:t>
      </w:r>
      <w:r w:rsidR="00896ADB" w:rsidRPr="00D765D3">
        <w:rPr>
          <w:rFonts w:cs="Arial"/>
          <w:sz w:val="24"/>
          <w:szCs w:val="24"/>
        </w:rPr>
        <w:t>f the remaining 116 patients, 34</w:t>
      </w:r>
      <w:r w:rsidR="00924B4B">
        <w:rPr>
          <w:rFonts w:cs="Arial"/>
          <w:sz w:val="24"/>
          <w:szCs w:val="24"/>
        </w:rPr>
        <w:t xml:space="preserve"> </w:t>
      </w:r>
      <w:r w:rsidR="00896ADB" w:rsidRPr="00D765D3">
        <w:rPr>
          <w:rFonts w:cs="Arial"/>
          <w:sz w:val="24"/>
          <w:szCs w:val="24"/>
        </w:rPr>
        <w:t>(4.5%) were ex-smokers, 36</w:t>
      </w:r>
      <w:r w:rsidR="00924B4B">
        <w:rPr>
          <w:rFonts w:cs="Arial"/>
          <w:sz w:val="24"/>
          <w:szCs w:val="24"/>
        </w:rPr>
        <w:t xml:space="preserve"> </w:t>
      </w:r>
      <w:r w:rsidR="00896ADB" w:rsidRPr="00D765D3">
        <w:rPr>
          <w:rFonts w:cs="Arial"/>
          <w:sz w:val="24"/>
          <w:szCs w:val="24"/>
        </w:rPr>
        <w:t>(4.8%) were non-smokers and 48</w:t>
      </w:r>
      <w:r w:rsidR="00924B4B">
        <w:rPr>
          <w:rFonts w:cs="Arial"/>
          <w:sz w:val="24"/>
          <w:szCs w:val="24"/>
        </w:rPr>
        <w:t xml:space="preserve"> </w:t>
      </w:r>
      <w:r w:rsidR="00896ADB" w:rsidRPr="00D765D3">
        <w:rPr>
          <w:rFonts w:cs="Arial"/>
          <w:sz w:val="24"/>
          <w:szCs w:val="24"/>
        </w:rPr>
        <w:t xml:space="preserve">(6.3%) were current smokers. Descriptive statistics showed that a much smaller number of patients receiving </w:t>
      </w:r>
      <w:r w:rsidR="006156F1">
        <w:rPr>
          <w:rFonts w:cs="Arial"/>
          <w:sz w:val="24"/>
          <w:szCs w:val="24"/>
        </w:rPr>
        <w:t>aflibercept</w:t>
      </w:r>
      <w:r w:rsidR="006156F1" w:rsidRPr="00D765D3">
        <w:rPr>
          <w:rFonts w:cs="Arial"/>
          <w:sz w:val="24"/>
          <w:szCs w:val="24"/>
        </w:rPr>
        <w:t xml:space="preserve"> </w:t>
      </w:r>
      <w:r w:rsidR="0009625A" w:rsidRPr="00D765D3">
        <w:rPr>
          <w:rFonts w:cs="Arial"/>
          <w:sz w:val="24"/>
          <w:szCs w:val="24"/>
        </w:rPr>
        <w:t>injection</w:t>
      </w:r>
      <w:r w:rsidR="0009625A">
        <w:rPr>
          <w:rFonts w:cs="Arial"/>
          <w:sz w:val="24"/>
          <w:szCs w:val="24"/>
        </w:rPr>
        <w:t>s,</w:t>
      </w:r>
      <w:r w:rsidR="0009625A" w:rsidRPr="00D765D3">
        <w:rPr>
          <w:rFonts w:cs="Arial"/>
          <w:sz w:val="24"/>
          <w:szCs w:val="24"/>
        </w:rPr>
        <w:t xml:space="preserve"> </w:t>
      </w:r>
      <w:r w:rsidR="00896ADB" w:rsidRPr="00D765D3">
        <w:rPr>
          <w:rFonts w:cs="Arial"/>
          <w:sz w:val="24"/>
          <w:szCs w:val="24"/>
        </w:rPr>
        <w:t>34</w:t>
      </w:r>
      <w:r w:rsidR="0009625A">
        <w:rPr>
          <w:rFonts w:cs="Arial"/>
          <w:sz w:val="24"/>
          <w:szCs w:val="24"/>
        </w:rPr>
        <w:t xml:space="preserve"> </w:t>
      </w:r>
      <w:r w:rsidR="00896ADB" w:rsidRPr="00D765D3">
        <w:rPr>
          <w:rFonts w:cs="Arial"/>
          <w:sz w:val="24"/>
          <w:szCs w:val="24"/>
        </w:rPr>
        <w:t xml:space="preserve">(4.49%) were from </w:t>
      </w:r>
      <w:r w:rsidR="00924B4B">
        <w:rPr>
          <w:rFonts w:cs="Arial"/>
          <w:sz w:val="24"/>
          <w:szCs w:val="24"/>
        </w:rPr>
        <w:t>q</w:t>
      </w:r>
      <w:r w:rsidR="00896ADB" w:rsidRPr="00D765D3">
        <w:rPr>
          <w:rFonts w:cs="Arial"/>
          <w:sz w:val="24"/>
          <w:szCs w:val="24"/>
        </w:rPr>
        <w:t xml:space="preserve">uintile 1(the most deprived area) compared with </w:t>
      </w:r>
      <w:r w:rsidR="00924B4B">
        <w:rPr>
          <w:rFonts w:cs="Arial"/>
          <w:sz w:val="24"/>
          <w:szCs w:val="24"/>
        </w:rPr>
        <w:t>q</w:t>
      </w:r>
      <w:r w:rsidR="00924B4B" w:rsidRPr="00D765D3">
        <w:rPr>
          <w:rFonts w:cs="Arial"/>
          <w:sz w:val="24"/>
          <w:szCs w:val="24"/>
        </w:rPr>
        <w:t xml:space="preserve">uintile </w:t>
      </w:r>
      <w:r w:rsidR="00896ADB" w:rsidRPr="00D765D3">
        <w:rPr>
          <w:rFonts w:cs="Arial"/>
          <w:sz w:val="24"/>
          <w:szCs w:val="24"/>
        </w:rPr>
        <w:t>5</w:t>
      </w:r>
      <w:r w:rsidR="00924B4B">
        <w:rPr>
          <w:rFonts w:cs="Arial"/>
          <w:sz w:val="24"/>
          <w:szCs w:val="24"/>
        </w:rPr>
        <w:t xml:space="preserve"> </w:t>
      </w:r>
      <w:r w:rsidR="00896ADB" w:rsidRPr="00D765D3">
        <w:rPr>
          <w:rFonts w:cs="Arial"/>
          <w:sz w:val="24"/>
          <w:szCs w:val="24"/>
        </w:rPr>
        <w:t>(the least deprived area) where 316</w:t>
      </w:r>
      <w:r w:rsidR="00924B4B">
        <w:rPr>
          <w:rFonts w:cs="Arial"/>
          <w:sz w:val="24"/>
          <w:szCs w:val="24"/>
        </w:rPr>
        <w:t xml:space="preserve"> </w:t>
      </w:r>
      <w:r w:rsidR="00896ADB" w:rsidRPr="00D765D3">
        <w:rPr>
          <w:rFonts w:cs="Arial"/>
          <w:sz w:val="24"/>
          <w:szCs w:val="24"/>
        </w:rPr>
        <w:t>(41.8</w:t>
      </w:r>
      <w:r w:rsidR="00AF7790" w:rsidRPr="00D765D3">
        <w:rPr>
          <w:rFonts w:cs="Arial"/>
          <w:sz w:val="24"/>
          <w:szCs w:val="24"/>
        </w:rPr>
        <w:t xml:space="preserve">%) received treatment. </w:t>
      </w:r>
      <w:r w:rsidR="00896ADB" w:rsidRPr="00D765D3">
        <w:rPr>
          <w:rFonts w:cs="Arial"/>
          <w:sz w:val="24"/>
          <w:szCs w:val="24"/>
        </w:rPr>
        <w:t>Of the 756-total population, 413</w:t>
      </w:r>
      <w:r w:rsidR="00924B4B">
        <w:rPr>
          <w:rFonts w:cs="Arial"/>
          <w:sz w:val="24"/>
          <w:szCs w:val="24"/>
        </w:rPr>
        <w:t xml:space="preserve"> </w:t>
      </w:r>
      <w:r w:rsidR="00896ADB" w:rsidRPr="00D765D3">
        <w:rPr>
          <w:rFonts w:cs="Arial"/>
          <w:sz w:val="24"/>
          <w:szCs w:val="24"/>
        </w:rPr>
        <w:t>(54.62%) patients were living in post code areas which were closer than 10KM to the eye unit</w:t>
      </w:r>
      <w:r w:rsidR="00924B4B">
        <w:rPr>
          <w:rFonts w:cs="Arial"/>
          <w:sz w:val="24"/>
          <w:szCs w:val="24"/>
        </w:rPr>
        <w:t xml:space="preserve"> </w:t>
      </w:r>
      <w:r w:rsidR="00896ADB" w:rsidRPr="00D765D3">
        <w:rPr>
          <w:rFonts w:cs="Arial"/>
          <w:sz w:val="24"/>
          <w:szCs w:val="24"/>
        </w:rPr>
        <w:t>(Table 1)</w:t>
      </w:r>
      <w:r w:rsidR="00924B4B">
        <w:rPr>
          <w:rFonts w:cs="Arial"/>
          <w:sz w:val="24"/>
          <w:szCs w:val="24"/>
        </w:rPr>
        <w:t>.</w:t>
      </w:r>
    </w:p>
    <w:p w14:paraId="40534795" w14:textId="09981B47" w:rsidR="009C535C" w:rsidRPr="00D765D3" w:rsidRDefault="00896ADB" w:rsidP="00D34244">
      <w:pPr>
        <w:spacing w:line="480" w:lineRule="auto"/>
        <w:rPr>
          <w:rFonts w:cs="Arial"/>
          <w:sz w:val="24"/>
          <w:szCs w:val="24"/>
        </w:rPr>
      </w:pPr>
      <w:r w:rsidRPr="00D765D3">
        <w:rPr>
          <w:rFonts w:cs="Arial"/>
          <w:sz w:val="24"/>
          <w:szCs w:val="24"/>
        </w:rPr>
        <w:t xml:space="preserve">Some </w:t>
      </w:r>
      <w:r w:rsidR="00924B4B">
        <w:rPr>
          <w:rFonts w:cs="Arial"/>
          <w:sz w:val="24"/>
          <w:szCs w:val="24"/>
        </w:rPr>
        <w:t xml:space="preserve">clinical </w:t>
      </w:r>
      <w:r w:rsidRPr="00D765D3">
        <w:rPr>
          <w:rFonts w:cs="Arial"/>
          <w:sz w:val="24"/>
          <w:szCs w:val="24"/>
        </w:rPr>
        <w:t xml:space="preserve">data was missing </w:t>
      </w:r>
      <w:r w:rsidR="00924B4B">
        <w:rPr>
          <w:rFonts w:cs="Arial"/>
          <w:sz w:val="24"/>
          <w:szCs w:val="24"/>
        </w:rPr>
        <w:t xml:space="preserve">from this retrospective cohort. </w:t>
      </w:r>
      <w:r w:rsidRPr="00D765D3">
        <w:rPr>
          <w:rFonts w:cs="Arial"/>
          <w:sz w:val="24"/>
          <w:szCs w:val="24"/>
        </w:rPr>
        <w:t xml:space="preserve">Therefore, a sub-population of 524 patients with complete data including </w:t>
      </w:r>
      <w:r w:rsidR="00F057ED">
        <w:rPr>
          <w:rFonts w:cs="Arial"/>
          <w:sz w:val="24"/>
          <w:szCs w:val="24"/>
        </w:rPr>
        <w:t>VA</w:t>
      </w:r>
      <w:r w:rsidRPr="00D765D3">
        <w:rPr>
          <w:rFonts w:cs="Arial"/>
          <w:sz w:val="24"/>
          <w:szCs w:val="24"/>
        </w:rPr>
        <w:t xml:space="preserve"> outcomes, treatment process and socio-demographic characteristics</w:t>
      </w:r>
      <w:r w:rsidR="00924B4B">
        <w:rPr>
          <w:rFonts w:cs="Arial"/>
          <w:sz w:val="24"/>
          <w:szCs w:val="24"/>
        </w:rPr>
        <w:t xml:space="preserve"> were </w:t>
      </w:r>
      <w:r w:rsidRPr="00D765D3">
        <w:rPr>
          <w:rFonts w:cs="Arial"/>
          <w:sz w:val="24"/>
          <w:szCs w:val="24"/>
        </w:rPr>
        <w:t>used to explore the associations of treatment outcomes</w:t>
      </w:r>
      <w:r w:rsidR="00924B4B">
        <w:rPr>
          <w:rFonts w:cs="Arial"/>
          <w:sz w:val="24"/>
          <w:szCs w:val="24"/>
        </w:rPr>
        <w:t xml:space="preserve"> </w:t>
      </w:r>
      <w:r w:rsidRPr="00D765D3">
        <w:rPr>
          <w:rFonts w:cs="Arial"/>
          <w:sz w:val="24"/>
          <w:szCs w:val="24"/>
        </w:rPr>
        <w:t xml:space="preserve">(Figure 1). While the results of this selected population should be interpreted with caution, both the population </w:t>
      </w:r>
      <w:r w:rsidR="005C7931" w:rsidRPr="00D765D3">
        <w:rPr>
          <w:rFonts w:cs="Arial"/>
          <w:sz w:val="24"/>
          <w:szCs w:val="24"/>
        </w:rPr>
        <w:t>set</w:t>
      </w:r>
      <w:r w:rsidR="00924B4B">
        <w:rPr>
          <w:rFonts w:cs="Arial"/>
          <w:sz w:val="24"/>
          <w:szCs w:val="24"/>
        </w:rPr>
        <w:t xml:space="preserve"> </w:t>
      </w:r>
      <w:r w:rsidRPr="00D765D3">
        <w:rPr>
          <w:rFonts w:cs="Arial"/>
          <w:sz w:val="24"/>
          <w:szCs w:val="24"/>
        </w:rPr>
        <w:t>(756 and 524) showed similar proportions for most characteristics</w:t>
      </w:r>
      <w:r w:rsidR="00924B4B">
        <w:rPr>
          <w:rFonts w:cs="Arial"/>
          <w:sz w:val="24"/>
          <w:szCs w:val="24"/>
        </w:rPr>
        <w:t xml:space="preserve"> </w:t>
      </w:r>
      <w:r w:rsidRPr="00D765D3">
        <w:rPr>
          <w:rFonts w:cs="Arial"/>
          <w:sz w:val="24"/>
          <w:szCs w:val="24"/>
        </w:rPr>
        <w:t>(Table 1)</w:t>
      </w:r>
      <w:r w:rsidR="00924B4B">
        <w:rPr>
          <w:rFonts w:cs="Arial"/>
          <w:sz w:val="24"/>
          <w:szCs w:val="24"/>
        </w:rPr>
        <w:t>.</w:t>
      </w:r>
    </w:p>
    <w:p w14:paraId="0ECAC6E1" w14:textId="77777777" w:rsidR="00413B08" w:rsidRDefault="00413B08" w:rsidP="00D34244">
      <w:pPr>
        <w:spacing w:line="480" w:lineRule="auto"/>
        <w:rPr>
          <w:rFonts w:cs="Arial"/>
          <w:sz w:val="24"/>
          <w:szCs w:val="24"/>
        </w:rPr>
      </w:pPr>
      <w:bookmarkStart w:id="2" w:name="_Toc496084263"/>
    </w:p>
    <w:p w14:paraId="6E7A0964" w14:textId="1AA2BCB5" w:rsidR="00C118DF" w:rsidRDefault="00AF7790" w:rsidP="00D34244">
      <w:pPr>
        <w:spacing w:line="480" w:lineRule="auto"/>
        <w:rPr>
          <w:rFonts w:cs="Arial"/>
          <w:sz w:val="24"/>
          <w:szCs w:val="24"/>
        </w:rPr>
      </w:pPr>
      <w:r w:rsidRPr="00D765D3">
        <w:rPr>
          <w:rFonts w:cs="Arial"/>
          <w:sz w:val="24"/>
          <w:szCs w:val="24"/>
        </w:rPr>
        <w:t>B</w:t>
      </w:r>
      <w:r w:rsidR="00F057ED">
        <w:rPr>
          <w:rFonts w:cs="Arial"/>
          <w:sz w:val="24"/>
          <w:szCs w:val="24"/>
        </w:rPr>
        <w:t>VA</w:t>
      </w:r>
      <w:r w:rsidR="00924B4B">
        <w:rPr>
          <w:rFonts w:cs="Arial"/>
          <w:sz w:val="24"/>
          <w:szCs w:val="24"/>
        </w:rPr>
        <w:t xml:space="preserve"> </w:t>
      </w:r>
      <w:r w:rsidRPr="00D765D3">
        <w:rPr>
          <w:rFonts w:cs="Arial"/>
          <w:sz w:val="24"/>
          <w:szCs w:val="24"/>
        </w:rPr>
        <w:t xml:space="preserve">(median number of letters read on </w:t>
      </w:r>
      <w:r w:rsidR="0048586F">
        <w:rPr>
          <w:rFonts w:cs="Arial"/>
          <w:sz w:val="24"/>
          <w:szCs w:val="24"/>
        </w:rPr>
        <w:t xml:space="preserve">an </w:t>
      </w:r>
      <w:r w:rsidR="0025408B">
        <w:rPr>
          <w:rFonts w:cs="Arial"/>
          <w:sz w:val="24"/>
          <w:szCs w:val="24"/>
        </w:rPr>
        <w:t>ETDRS</w:t>
      </w:r>
      <w:r w:rsidR="0063562B">
        <w:rPr>
          <w:rFonts w:cs="Arial"/>
          <w:sz w:val="24"/>
          <w:szCs w:val="24"/>
        </w:rPr>
        <w:t xml:space="preserve"> </w:t>
      </w:r>
      <w:r w:rsidRPr="00D765D3">
        <w:rPr>
          <w:rFonts w:cs="Arial"/>
          <w:sz w:val="24"/>
          <w:szCs w:val="24"/>
        </w:rPr>
        <w:t>Chart) varied across the quintiles of deprivation with relatively poorer vision</w:t>
      </w:r>
      <w:r w:rsidR="00924B4B">
        <w:rPr>
          <w:rFonts w:cs="Arial"/>
          <w:sz w:val="24"/>
          <w:szCs w:val="24"/>
        </w:rPr>
        <w:t xml:space="preserve"> </w:t>
      </w:r>
      <w:r w:rsidRPr="00D765D3">
        <w:rPr>
          <w:rFonts w:cs="Arial"/>
          <w:sz w:val="24"/>
          <w:szCs w:val="24"/>
        </w:rPr>
        <w:t>(46.5; 24-74) among people living in most deprived areas as compared to less deprived areas</w:t>
      </w:r>
      <w:r w:rsidR="00924B4B">
        <w:rPr>
          <w:rFonts w:cs="Arial"/>
          <w:sz w:val="24"/>
          <w:szCs w:val="24"/>
        </w:rPr>
        <w:t xml:space="preserve"> </w:t>
      </w:r>
      <w:r w:rsidRPr="00D765D3">
        <w:rPr>
          <w:rFonts w:cs="Arial"/>
          <w:sz w:val="24"/>
          <w:szCs w:val="24"/>
        </w:rPr>
        <w:t>(57; 3-86). However, the variation was not statistically significant</w:t>
      </w:r>
      <w:r w:rsidR="003F16A9">
        <w:rPr>
          <w:rFonts w:cs="Arial"/>
          <w:sz w:val="24"/>
          <w:szCs w:val="24"/>
        </w:rPr>
        <w:t xml:space="preserve"> </w:t>
      </w:r>
      <w:r w:rsidRPr="00D765D3">
        <w:rPr>
          <w:rFonts w:cs="Arial"/>
          <w:sz w:val="24"/>
          <w:szCs w:val="24"/>
        </w:rPr>
        <w:t>(</w:t>
      </w:r>
      <w:r w:rsidR="006E4B79">
        <w:rPr>
          <w:rFonts w:cs="Arial"/>
          <w:sz w:val="24"/>
          <w:szCs w:val="24"/>
        </w:rPr>
        <w:t>P</w:t>
      </w:r>
      <w:r w:rsidRPr="00D765D3">
        <w:rPr>
          <w:rFonts w:cs="Arial"/>
          <w:sz w:val="24"/>
          <w:szCs w:val="24"/>
        </w:rPr>
        <w:t>=.07). A statistically significant higher</w:t>
      </w:r>
      <w:r w:rsidR="00F5697C">
        <w:rPr>
          <w:rFonts w:cs="Arial"/>
          <w:sz w:val="24"/>
          <w:szCs w:val="24"/>
        </w:rPr>
        <w:tab/>
      </w:r>
      <w:r w:rsidR="00F5697C">
        <w:rPr>
          <w:rFonts w:cs="Arial"/>
          <w:sz w:val="24"/>
          <w:szCs w:val="24"/>
        </w:rPr>
        <w:tab/>
      </w:r>
      <w:r w:rsidRPr="00D765D3">
        <w:rPr>
          <w:rFonts w:cs="Arial"/>
          <w:sz w:val="24"/>
          <w:szCs w:val="24"/>
        </w:rPr>
        <w:t xml:space="preserve"> proportion of severe AMD cases occurred in </w:t>
      </w:r>
      <w:r w:rsidR="00924B4B">
        <w:rPr>
          <w:rFonts w:cs="Arial"/>
          <w:sz w:val="24"/>
          <w:szCs w:val="24"/>
        </w:rPr>
        <w:t>q</w:t>
      </w:r>
      <w:r w:rsidRPr="00D765D3">
        <w:rPr>
          <w:rFonts w:cs="Arial"/>
          <w:sz w:val="24"/>
          <w:szCs w:val="24"/>
        </w:rPr>
        <w:t xml:space="preserve">uintile 1 compared to other </w:t>
      </w:r>
      <w:r w:rsidR="00924B4B">
        <w:rPr>
          <w:rFonts w:cs="Arial"/>
          <w:sz w:val="24"/>
          <w:szCs w:val="24"/>
        </w:rPr>
        <w:t>q</w:t>
      </w:r>
      <w:r w:rsidRPr="00D765D3">
        <w:rPr>
          <w:rFonts w:cs="Arial"/>
          <w:sz w:val="24"/>
          <w:szCs w:val="24"/>
        </w:rPr>
        <w:t xml:space="preserve">uintiles; this suggests an association between greater deprivation and severe visual impairment at baseline. No statistically significant difference was seen between </w:t>
      </w:r>
      <w:r w:rsidR="004E220C">
        <w:rPr>
          <w:rFonts w:cs="Arial"/>
          <w:sz w:val="24"/>
          <w:szCs w:val="24"/>
        </w:rPr>
        <w:t>B</w:t>
      </w:r>
      <w:r w:rsidRPr="00D765D3">
        <w:rPr>
          <w:rFonts w:cs="Arial"/>
          <w:sz w:val="24"/>
          <w:szCs w:val="24"/>
        </w:rPr>
        <w:t>VA and distance from the eye unit</w:t>
      </w:r>
      <w:r w:rsidR="003F16A9">
        <w:rPr>
          <w:rFonts w:cs="Arial"/>
          <w:sz w:val="24"/>
          <w:szCs w:val="24"/>
        </w:rPr>
        <w:t xml:space="preserve"> </w:t>
      </w:r>
      <w:r w:rsidRPr="00D765D3">
        <w:rPr>
          <w:rFonts w:cs="Arial"/>
          <w:sz w:val="24"/>
          <w:szCs w:val="24"/>
        </w:rPr>
        <w:t>(</w:t>
      </w:r>
      <w:r w:rsidR="006E4B79">
        <w:rPr>
          <w:rFonts w:cs="Arial"/>
          <w:sz w:val="24"/>
          <w:szCs w:val="24"/>
        </w:rPr>
        <w:t>P</w:t>
      </w:r>
      <w:r w:rsidRPr="00D765D3">
        <w:rPr>
          <w:rFonts w:cs="Arial"/>
          <w:sz w:val="24"/>
          <w:szCs w:val="24"/>
        </w:rPr>
        <w:t>=.63)</w:t>
      </w:r>
      <w:r w:rsidR="00924B4B">
        <w:rPr>
          <w:rFonts w:cs="Arial"/>
          <w:sz w:val="24"/>
          <w:szCs w:val="24"/>
        </w:rPr>
        <w:t xml:space="preserve"> </w:t>
      </w:r>
      <w:r w:rsidRPr="00D765D3">
        <w:rPr>
          <w:rFonts w:cs="Arial"/>
          <w:sz w:val="24"/>
          <w:szCs w:val="24"/>
        </w:rPr>
        <w:t>(</w:t>
      </w:r>
      <w:r w:rsidR="00665B44">
        <w:rPr>
          <w:rFonts w:cs="Arial"/>
          <w:sz w:val="24"/>
          <w:szCs w:val="24"/>
        </w:rPr>
        <w:t>Appendix A</w:t>
      </w:r>
      <w:r w:rsidRPr="00D765D3">
        <w:rPr>
          <w:rFonts w:cs="Arial"/>
          <w:sz w:val="24"/>
          <w:szCs w:val="24"/>
        </w:rPr>
        <w:t>)</w:t>
      </w:r>
      <w:bookmarkEnd w:id="2"/>
      <w:r w:rsidR="00924B4B">
        <w:rPr>
          <w:rFonts w:cs="Arial"/>
          <w:sz w:val="24"/>
          <w:szCs w:val="24"/>
        </w:rPr>
        <w:t>.</w:t>
      </w:r>
    </w:p>
    <w:p w14:paraId="3E72CB1C" w14:textId="3C576F15" w:rsidR="00BF0745" w:rsidRDefault="00AF7790" w:rsidP="00D34244">
      <w:pPr>
        <w:spacing w:line="480" w:lineRule="auto"/>
        <w:rPr>
          <w:rFonts w:cs="Arial"/>
          <w:sz w:val="24"/>
          <w:szCs w:val="24"/>
        </w:rPr>
      </w:pPr>
      <w:r w:rsidRPr="00D765D3">
        <w:rPr>
          <w:rFonts w:cs="Arial"/>
          <w:sz w:val="24"/>
          <w:szCs w:val="24"/>
        </w:rPr>
        <w:lastRenderedPageBreak/>
        <w:t>A positive univariate association was found between greater AMD severity and greater area deprivation at baseline</w:t>
      </w:r>
      <w:r w:rsidR="003F16A9">
        <w:rPr>
          <w:rFonts w:cs="Arial"/>
          <w:sz w:val="24"/>
          <w:szCs w:val="24"/>
        </w:rPr>
        <w:t xml:space="preserve"> </w:t>
      </w:r>
      <w:r w:rsidRPr="00D765D3">
        <w:rPr>
          <w:rFonts w:cs="Arial"/>
          <w:sz w:val="24"/>
          <w:szCs w:val="24"/>
        </w:rPr>
        <w:t xml:space="preserve">(OR=3.59; 95% Cl=1.39-9.27; </w:t>
      </w:r>
      <w:r w:rsidR="00224578">
        <w:rPr>
          <w:rFonts w:cs="Arial"/>
          <w:sz w:val="24"/>
          <w:szCs w:val="24"/>
        </w:rPr>
        <w:t>P</w:t>
      </w:r>
      <w:r w:rsidRPr="00D765D3">
        <w:rPr>
          <w:rFonts w:cs="Arial"/>
          <w:sz w:val="24"/>
          <w:szCs w:val="24"/>
        </w:rPr>
        <w:t>=.017). This association was maintained on multivariable analysis adjusting for age, gender and distance from eye unit</w:t>
      </w:r>
      <w:r w:rsidR="00924B4B">
        <w:rPr>
          <w:rFonts w:cs="Arial"/>
          <w:sz w:val="24"/>
          <w:szCs w:val="24"/>
        </w:rPr>
        <w:t xml:space="preserve"> </w:t>
      </w:r>
      <w:r w:rsidRPr="00D765D3">
        <w:rPr>
          <w:rFonts w:cs="Arial"/>
          <w:sz w:val="24"/>
          <w:szCs w:val="24"/>
        </w:rPr>
        <w:t xml:space="preserve">(OR=4.07; 95% Cl=1.50-11.0; </w:t>
      </w:r>
      <w:r w:rsidR="00224578">
        <w:rPr>
          <w:rFonts w:cs="Arial"/>
          <w:sz w:val="24"/>
          <w:szCs w:val="24"/>
        </w:rPr>
        <w:t>P</w:t>
      </w:r>
      <w:r w:rsidRPr="00D765D3">
        <w:rPr>
          <w:rFonts w:cs="Arial"/>
          <w:sz w:val="24"/>
          <w:szCs w:val="24"/>
        </w:rPr>
        <w:t>=.006). Although univariate results were not statistically significant</w:t>
      </w:r>
      <w:r w:rsidR="003F16A9">
        <w:rPr>
          <w:rFonts w:cs="Arial"/>
          <w:sz w:val="24"/>
          <w:szCs w:val="24"/>
        </w:rPr>
        <w:t xml:space="preserve"> </w:t>
      </w:r>
      <w:r w:rsidRPr="00D765D3">
        <w:rPr>
          <w:rFonts w:cs="Arial"/>
          <w:sz w:val="24"/>
          <w:szCs w:val="24"/>
        </w:rPr>
        <w:t xml:space="preserve">(OR=1.13; 95% CI=0.68-1.89; </w:t>
      </w:r>
      <w:r w:rsidR="00224578">
        <w:rPr>
          <w:rFonts w:cs="Arial"/>
          <w:sz w:val="24"/>
          <w:szCs w:val="24"/>
        </w:rPr>
        <w:t>P</w:t>
      </w:r>
      <w:r w:rsidRPr="00D765D3">
        <w:rPr>
          <w:rFonts w:cs="Arial"/>
          <w:sz w:val="24"/>
          <w:szCs w:val="24"/>
        </w:rPr>
        <w:t>=.63), greater distance from home was a key exposure of interest in this study and therefore included in the multivariable model. No association was identified between greater distance from home to eye unit and poorer vision at baseline</w:t>
      </w:r>
      <w:r w:rsidR="003F16A9">
        <w:rPr>
          <w:rFonts w:cs="Arial"/>
          <w:sz w:val="24"/>
          <w:szCs w:val="24"/>
        </w:rPr>
        <w:t xml:space="preserve"> </w:t>
      </w:r>
      <w:r w:rsidRPr="00D765D3">
        <w:rPr>
          <w:rFonts w:cs="Arial"/>
          <w:sz w:val="24"/>
          <w:szCs w:val="24"/>
        </w:rPr>
        <w:t xml:space="preserve">(Table </w:t>
      </w:r>
      <w:r w:rsidR="00665B44">
        <w:rPr>
          <w:rFonts w:cs="Arial"/>
          <w:sz w:val="24"/>
          <w:szCs w:val="24"/>
        </w:rPr>
        <w:t>2</w:t>
      </w:r>
      <w:r w:rsidRPr="00D765D3">
        <w:rPr>
          <w:rFonts w:cs="Arial"/>
          <w:sz w:val="24"/>
          <w:szCs w:val="24"/>
        </w:rPr>
        <w:t>)</w:t>
      </w:r>
      <w:r w:rsidR="003F16A9">
        <w:rPr>
          <w:rFonts w:cs="Arial"/>
          <w:sz w:val="24"/>
          <w:szCs w:val="24"/>
        </w:rPr>
        <w:t>.</w:t>
      </w:r>
    </w:p>
    <w:p w14:paraId="3702823F" w14:textId="5C869E56" w:rsidR="00AF7790" w:rsidRPr="00D765D3" w:rsidRDefault="00AF7790" w:rsidP="00D34244">
      <w:pPr>
        <w:spacing w:line="480" w:lineRule="auto"/>
        <w:rPr>
          <w:rFonts w:cs="Arial"/>
          <w:sz w:val="24"/>
          <w:szCs w:val="24"/>
        </w:rPr>
      </w:pPr>
      <w:r w:rsidRPr="00D765D3">
        <w:rPr>
          <w:rFonts w:cs="Arial"/>
          <w:sz w:val="24"/>
          <w:szCs w:val="24"/>
        </w:rPr>
        <w:t xml:space="preserve">Across the </w:t>
      </w:r>
      <w:r w:rsidR="00924B4B">
        <w:rPr>
          <w:rFonts w:cs="Arial"/>
          <w:sz w:val="24"/>
          <w:szCs w:val="24"/>
        </w:rPr>
        <w:t>q</w:t>
      </w:r>
      <w:r w:rsidR="00924B4B" w:rsidRPr="00D765D3">
        <w:rPr>
          <w:rFonts w:cs="Arial"/>
          <w:sz w:val="24"/>
          <w:szCs w:val="24"/>
        </w:rPr>
        <w:t xml:space="preserve">uintiles </w:t>
      </w:r>
      <w:r w:rsidRPr="00D765D3">
        <w:rPr>
          <w:rFonts w:cs="Arial"/>
          <w:sz w:val="24"/>
          <w:szCs w:val="24"/>
        </w:rPr>
        <w:t>of deprivation, the findings were -</w:t>
      </w:r>
    </w:p>
    <w:p w14:paraId="764B8DCA" w14:textId="6085E48C" w:rsidR="00AF7790" w:rsidRPr="00937AF7" w:rsidRDefault="00CF4BA5" w:rsidP="00D34244">
      <w:pPr>
        <w:spacing w:line="480" w:lineRule="auto"/>
        <w:rPr>
          <w:rFonts w:cs="Arial"/>
          <w:sz w:val="24"/>
          <w:szCs w:val="24"/>
          <w:u w:val="single"/>
        </w:rPr>
      </w:pPr>
      <w:r w:rsidRPr="00937AF7">
        <w:rPr>
          <w:rFonts w:cs="Arial"/>
          <w:sz w:val="24"/>
          <w:szCs w:val="24"/>
          <w:u w:val="single"/>
        </w:rPr>
        <w:t>Treatment Process</w:t>
      </w:r>
    </w:p>
    <w:p w14:paraId="402B21C2" w14:textId="5F79301C" w:rsidR="00AF7790" w:rsidRPr="00D765D3" w:rsidRDefault="00AF7790" w:rsidP="00D34244">
      <w:pPr>
        <w:spacing w:line="480" w:lineRule="auto"/>
        <w:rPr>
          <w:rFonts w:cs="Arial"/>
          <w:sz w:val="24"/>
          <w:szCs w:val="24"/>
        </w:rPr>
      </w:pPr>
      <w:r w:rsidRPr="00D765D3">
        <w:rPr>
          <w:rFonts w:cs="Arial"/>
          <w:sz w:val="24"/>
          <w:szCs w:val="24"/>
        </w:rPr>
        <w:t xml:space="preserve">Delayed completion of </w:t>
      </w:r>
      <w:r w:rsidR="006156F1">
        <w:rPr>
          <w:rFonts w:cs="Arial"/>
          <w:sz w:val="24"/>
          <w:szCs w:val="24"/>
        </w:rPr>
        <w:t>aflibercept</w:t>
      </w:r>
      <w:r w:rsidR="006156F1" w:rsidRPr="00D765D3">
        <w:rPr>
          <w:rFonts w:cs="Arial"/>
          <w:sz w:val="24"/>
          <w:szCs w:val="24"/>
        </w:rPr>
        <w:t xml:space="preserve"> </w:t>
      </w:r>
      <w:r w:rsidR="0009625A" w:rsidRPr="00D765D3">
        <w:rPr>
          <w:rFonts w:cs="Arial"/>
          <w:sz w:val="24"/>
          <w:szCs w:val="24"/>
        </w:rPr>
        <w:t xml:space="preserve">injection </w:t>
      </w:r>
      <w:r w:rsidRPr="00D765D3">
        <w:rPr>
          <w:rFonts w:cs="Arial"/>
          <w:sz w:val="24"/>
          <w:szCs w:val="24"/>
        </w:rPr>
        <w:t>course</w:t>
      </w:r>
      <w:r w:rsidR="003F16A9">
        <w:rPr>
          <w:rFonts w:cs="Arial"/>
          <w:sz w:val="24"/>
          <w:szCs w:val="24"/>
        </w:rPr>
        <w:t xml:space="preserve"> </w:t>
      </w:r>
      <w:r w:rsidR="00CF4BA5" w:rsidRPr="00D765D3">
        <w:rPr>
          <w:rFonts w:cs="Arial"/>
          <w:sz w:val="24"/>
          <w:szCs w:val="24"/>
        </w:rPr>
        <w:t xml:space="preserve">(beyond 11 months) - </w:t>
      </w:r>
      <w:r w:rsidRPr="00D765D3">
        <w:rPr>
          <w:rFonts w:cs="Arial"/>
          <w:sz w:val="24"/>
          <w:szCs w:val="24"/>
        </w:rPr>
        <w:t xml:space="preserve">There was a </w:t>
      </w:r>
      <w:r w:rsidR="005661D3" w:rsidRPr="00D765D3">
        <w:rPr>
          <w:rFonts w:cs="Arial"/>
          <w:sz w:val="24"/>
          <w:szCs w:val="24"/>
        </w:rPr>
        <w:t>statistically</w:t>
      </w:r>
      <w:r w:rsidRPr="00D765D3">
        <w:rPr>
          <w:rFonts w:cs="Arial"/>
          <w:sz w:val="24"/>
          <w:szCs w:val="24"/>
        </w:rPr>
        <w:t xml:space="preserve"> significant difference</w:t>
      </w:r>
      <w:r w:rsidR="003F16A9">
        <w:rPr>
          <w:rFonts w:cs="Arial"/>
          <w:sz w:val="24"/>
          <w:szCs w:val="24"/>
        </w:rPr>
        <w:t xml:space="preserve"> </w:t>
      </w:r>
      <w:r w:rsidRPr="00D765D3">
        <w:rPr>
          <w:rFonts w:cs="Arial"/>
          <w:sz w:val="24"/>
          <w:szCs w:val="24"/>
        </w:rPr>
        <w:t>(</w:t>
      </w:r>
      <w:r w:rsidR="00224578">
        <w:rPr>
          <w:rFonts w:cs="Arial"/>
          <w:sz w:val="24"/>
          <w:szCs w:val="24"/>
        </w:rPr>
        <w:t>P</w:t>
      </w:r>
      <w:r w:rsidRPr="00D765D3">
        <w:rPr>
          <w:rFonts w:cs="Arial"/>
          <w:sz w:val="24"/>
          <w:szCs w:val="24"/>
        </w:rPr>
        <w:t>=.04) in patients across groups. A higher proportion of patients</w:t>
      </w:r>
      <w:r w:rsidR="003F16A9">
        <w:rPr>
          <w:rFonts w:cs="Arial"/>
          <w:sz w:val="24"/>
          <w:szCs w:val="24"/>
        </w:rPr>
        <w:t xml:space="preserve"> </w:t>
      </w:r>
      <w:r w:rsidRPr="00D765D3">
        <w:rPr>
          <w:rFonts w:cs="Arial"/>
          <w:sz w:val="24"/>
          <w:szCs w:val="24"/>
        </w:rPr>
        <w:t xml:space="preserve">(26.5%) who could not complete treatment in </w:t>
      </w:r>
      <w:r w:rsidR="00DE60F7">
        <w:rPr>
          <w:rFonts w:cs="Arial"/>
          <w:sz w:val="24"/>
          <w:szCs w:val="24"/>
        </w:rPr>
        <w:t xml:space="preserve">the </w:t>
      </w:r>
      <w:r w:rsidRPr="00D765D3">
        <w:rPr>
          <w:rFonts w:cs="Arial"/>
          <w:sz w:val="24"/>
          <w:szCs w:val="24"/>
        </w:rPr>
        <w:t>recommended period</w:t>
      </w:r>
      <w:r w:rsidR="003F16A9">
        <w:rPr>
          <w:rFonts w:cs="Arial"/>
          <w:sz w:val="24"/>
          <w:szCs w:val="24"/>
        </w:rPr>
        <w:t xml:space="preserve"> </w:t>
      </w:r>
      <w:r w:rsidRPr="00D765D3">
        <w:rPr>
          <w:rFonts w:cs="Arial"/>
          <w:sz w:val="24"/>
          <w:szCs w:val="24"/>
        </w:rPr>
        <w:t xml:space="preserve">(11 months) lived in </w:t>
      </w:r>
      <w:r w:rsidR="00DE60F7">
        <w:rPr>
          <w:rFonts w:cs="Arial"/>
          <w:sz w:val="24"/>
          <w:szCs w:val="24"/>
        </w:rPr>
        <w:t xml:space="preserve">the </w:t>
      </w:r>
      <w:r w:rsidRPr="00D765D3">
        <w:rPr>
          <w:rFonts w:cs="Arial"/>
          <w:sz w:val="24"/>
          <w:szCs w:val="24"/>
        </w:rPr>
        <w:t>most deprived areas</w:t>
      </w:r>
      <w:r w:rsidR="00924B4B">
        <w:rPr>
          <w:rFonts w:cs="Arial"/>
          <w:sz w:val="24"/>
          <w:szCs w:val="24"/>
        </w:rPr>
        <w:t xml:space="preserve"> </w:t>
      </w:r>
      <w:r w:rsidRPr="00D765D3">
        <w:rPr>
          <w:rFonts w:cs="Arial"/>
          <w:sz w:val="24"/>
          <w:szCs w:val="24"/>
        </w:rPr>
        <w:t>(</w:t>
      </w:r>
      <w:r w:rsidR="00665B44">
        <w:rPr>
          <w:rFonts w:cs="Arial"/>
          <w:sz w:val="24"/>
          <w:szCs w:val="24"/>
        </w:rPr>
        <w:t>Appendix A</w:t>
      </w:r>
      <w:r w:rsidRPr="00D765D3">
        <w:rPr>
          <w:rFonts w:cs="Arial"/>
          <w:sz w:val="24"/>
          <w:szCs w:val="24"/>
        </w:rPr>
        <w:t>). The data further showed no difference in patients living near or far from</w:t>
      </w:r>
      <w:r w:rsidR="00DE60F7">
        <w:rPr>
          <w:rFonts w:cs="Arial"/>
          <w:sz w:val="24"/>
          <w:szCs w:val="24"/>
        </w:rPr>
        <w:t xml:space="preserve"> the</w:t>
      </w:r>
      <w:r w:rsidRPr="00D765D3">
        <w:rPr>
          <w:rFonts w:cs="Arial"/>
          <w:sz w:val="24"/>
          <w:szCs w:val="24"/>
        </w:rPr>
        <w:t xml:space="preserve"> eye unit, in terms of delayed completion of </w:t>
      </w:r>
      <w:r w:rsidR="006156F1">
        <w:rPr>
          <w:rFonts w:cs="Arial"/>
          <w:sz w:val="24"/>
          <w:szCs w:val="24"/>
        </w:rPr>
        <w:t>aflibercept</w:t>
      </w:r>
      <w:r w:rsidR="006156F1" w:rsidRPr="00D765D3">
        <w:rPr>
          <w:rFonts w:cs="Arial"/>
          <w:sz w:val="24"/>
          <w:szCs w:val="24"/>
        </w:rPr>
        <w:t xml:space="preserve"> </w:t>
      </w:r>
      <w:r w:rsidRPr="00D765D3">
        <w:rPr>
          <w:rFonts w:cs="Arial"/>
          <w:sz w:val="24"/>
          <w:szCs w:val="24"/>
        </w:rPr>
        <w:t>treatment(</w:t>
      </w:r>
      <w:r w:rsidR="00224578">
        <w:rPr>
          <w:rFonts w:cs="Arial"/>
          <w:sz w:val="24"/>
          <w:szCs w:val="24"/>
        </w:rPr>
        <w:t>P</w:t>
      </w:r>
      <w:r w:rsidRPr="00D765D3">
        <w:rPr>
          <w:rFonts w:cs="Arial"/>
          <w:sz w:val="24"/>
          <w:szCs w:val="24"/>
        </w:rPr>
        <w:t xml:space="preserve">=.20). </w:t>
      </w:r>
    </w:p>
    <w:p w14:paraId="6F9AF540" w14:textId="7452E53F" w:rsidR="007F79FC" w:rsidRDefault="00AF7790" w:rsidP="00D34244">
      <w:pPr>
        <w:spacing w:line="480" w:lineRule="auto"/>
        <w:rPr>
          <w:rFonts w:cs="Arial"/>
          <w:sz w:val="24"/>
          <w:szCs w:val="24"/>
        </w:rPr>
      </w:pPr>
      <w:r w:rsidRPr="00D765D3">
        <w:rPr>
          <w:rFonts w:cs="Arial"/>
          <w:sz w:val="24"/>
          <w:szCs w:val="24"/>
        </w:rPr>
        <w:t>In univariate logistic regression, there was an association between greater deprivation and delayed completion in treatment</w:t>
      </w:r>
      <w:r w:rsidR="003F16A9">
        <w:rPr>
          <w:rFonts w:cs="Arial"/>
          <w:sz w:val="24"/>
          <w:szCs w:val="24"/>
        </w:rPr>
        <w:t xml:space="preserve"> </w:t>
      </w:r>
      <w:r w:rsidRPr="00D765D3">
        <w:rPr>
          <w:rFonts w:cs="Arial"/>
          <w:sz w:val="24"/>
          <w:szCs w:val="24"/>
        </w:rPr>
        <w:t xml:space="preserve">(OR=2.80; 95%Cl=1.21-6.47; </w:t>
      </w:r>
      <w:r w:rsidR="00224578">
        <w:rPr>
          <w:rFonts w:cs="Arial"/>
          <w:sz w:val="24"/>
          <w:szCs w:val="24"/>
        </w:rPr>
        <w:t>P</w:t>
      </w:r>
      <w:r w:rsidRPr="00D765D3">
        <w:rPr>
          <w:rFonts w:cs="Arial"/>
          <w:sz w:val="24"/>
          <w:szCs w:val="24"/>
        </w:rPr>
        <w:t>=.04). However, after adjusting for age, gender and distance this association was not maintained</w:t>
      </w:r>
      <w:r w:rsidR="003F16A9">
        <w:rPr>
          <w:rFonts w:cs="Arial"/>
          <w:sz w:val="24"/>
          <w:szCs w:val="24"/>
        </w:rPr>
        <w:t xml:space="preserve"> </w:t>
      </w:r>
      <w:r w:rsidRPr="00D765D3">
        <w:rPr>
          <w:rFonts w:cs="Arial"/>
          <w:sz w:val="24"/>
          <w:szCs w:val="24"/>
        </w:rPr>
        <w:t xml:space="preserve">(OR=2.61; 95% Cl=1.10-6.19; </w:t>
      </w:r>
      <w:r w:rsidR="00224578">
        <w:rPr>
          <w:rFonts w:cs="Arial"/>
          <w:sz w:val="24"/>
          <w:szCs w:val="24"/>
        </w:rPr>
        <w:t>P</w:t>
      </w:r>
      <w:r w:rsidRPr="00D765D3">
        <w:rPr>
          <w:rFonts w:cs="Arial"/>
          <w:sz w:val="24"/>
          <w:szCs w:val="24"/>
        </w:rPr>
        <w:t>=.06). No association was seen between distance and delayed completion of treatment</w:t>
      </w:r>
      <w:r w:rsidR="003F16A9">
        <w:rPr>
          <w:rFonts w:cs="Arial"/>
          <w:sz w:val="24"/>
          <w:szCs w:val="24"/>
        </w:rPr>
        <w:t xml:space="preserve"> </w:t>
      </w:r>
      <w:r w:rsidRPr="00D765D3">
        <w:rPr>
          <w:rFonts w:cs="Arial"/>
          <w:sz w:val="24"/>
          <w:szCs w:val="24"/>
        </w:rPr>
        <w:t xml:space="preserve">(OR=0.77; 95% Cl=0.51-1.15; </w:t>
      </w:r>
      <w:r w:rsidR="00224578">
        <w:rPr>
          <w:rFonts w:cs="Arial"/>
          <w:sz w:val="24"/>
          <w:szCs w:val="24"/>
        </w:rPr>
        <w:t>P</w:t>
      </w:r>
      <w:r w:rsidRPr="00D765D3">
        <w:rPr>
          <w:rFonts w:cs="Arial"/>
          <w:sz w:val="24"/>
          <w:szCs w:val="24"/>
        </w:rPr>
        <w:t>=.21)</w:t>
      </w:r>
      <w:r w:rsidR="00924B4B">
        <w:rPr>
          <w:rFonts w:cs="Arial"/>
          <w:sz w:val="24"/>
          <w:szCs w:val="24"/>
        </w:rPr>
        <w:t xml:space="preserve"> (</w:t>
      </w:r>
      <w:r w:rsidRPr="00D765D3">
        <w:rPr>
          <w:rFonts w:cs="Arial"/>
          <w:sz w:val="24"/>
          <w:szCs w:val="24"/>
        </w:rPr>
        <w:t xml:space="preserve">Table </w:t>
      </w:r>
      <w:r w:rsidR="00665B44">
        <w:rPr>
          <w:rFonts w:cs="Arial"/>
          <w:sz w:val="24"/>
          <w:szCs w:val="24"/>
        </w:rPr>
        <w:t>3</w:t>
      </w:r>
      <w:r w:rsidRPr="00D765D3">
        <w:rPr>
          <w:rFonts w:cs="Arial"/>
          <w:sz w:val="24"/>
          <w:szCs w:val="24"/>
        </w:rPr>
        <w:t>)</w:t>
      </w:r>
      <w:r w:rsidR="00924B4B">
        <w:rPr>
          <w:rFonts w:cs="Arial"/>
          <w:sz w:val="24"/>
          <w:szCs w:val="24"/>
        </w:rPr>
        <w:t>.</w:t>
      </w:r>
    </w:p>
    <w:p w14:paraId="1FF9676A" w14:textId="77777777" w:rsidR="00665B44" w:rsidRPr="00937AF7" w:rsidRDefault="00665B44" w:rsidP="00D34244">
      <w:pPr>
        <w:spacing w:after="0" w:line="480" w:lineRule="auto"/>
        <w:rPr>
          <w:rFonts w:cs="Arial"/>
          <w:sz w:val="20"/>
          <w:szCs w:val="20"/>
          <w:u w:val="single"/>
        </w:rPr>
      </w:pPr>
    </w:p>
    <w:p w14:paraId="67B3C693" w14:textId="1A044394" w:rsidR="007F79FC" w:rsidRPr="00937AF7" w:rsidRDefault="00CF4BA5" w:rsidP="00D34244">
      <w:pPr>
        <w:spacing w:line="480" w:lineRule="auto"/>
        <w:rPr>
          <w:rFonts w:cs="Arial"/>
          <w:sz w:val="24"/>
          <w:szCs w:val="24"/>
          <w:u w:val="single"/>
        </w:rPr>
      </w:pPr>
      <w:r w:rsidRPr="00937AF7">
        <w:rPr>
          <w:rFonts w:cs="Arial"/>
          <w:sz w:val="24"/>
          <w:szCs w:val="24"/>
          <w:u w:val="single"/>
        </w:rPr>
        <w:lastRenderedPageBreak/>
        <w:t>Treatment Outcome</w:t>
      </w:r>
    </w:p>
    <w:p w14:paraId="79788090" w14:textId="7A6D5761" w:rsidR="00642FC9" w:rsidRDefault="009B7315" w:rsidP="00D34244">
      <w:pPr>
        <w:spacing w:line="480" w:lineRule="auto"/>
        <w:rPr>
          <w:rFonts w:cs="Arial"/>
          <w:sz w:val="24"/>
          <w:szCs w:val="24"/>
        </w:rPr>
      </w:pPr>
      <w:r>
        <w:rPr>
          <w:rFonts w:cs="Arial"/>
          <w:sz w:val="24"/>
          <w:szCs w:val="24"/>
        </w:rPr>
        <w:t xml:space="preserve">Although the median gain </w:t>
      </w:r>
      <w:r w:rsidR="005661D3">
        <w:rPr>
          <w:rFonts w:cs="Arial"/>
          <w:sz w:val="24"/>
          <w:szCs w:val="24"/>
        </w:rPr>
        <w:t>in the</w:t>
      </w:r>
      <w:r w:rsidR="0025408B">
        <w:rPr>
          <w:rFonts w:cs="Arial"/>
          <w:sz w:val="24"/>
          <w:szCs w:val="24"/>
        </w:rPr>
        <w:t xml:space="preserve"> </w:t>
      </w:r>
      <w:r>
        <w:rPr>
          <w:rFonts w:cs="Arial"/>
          <w:sz w:val="24"/>
          <w:szCs w:val="24"/>
        </w:rPr>
        <w:t>vision after follow-up was high in the most deprived quintile as compared to the least; it was not statistically significant</w:t>
      </w:r>
      <w:r w:rsidR="00402A53">
        <w:rPr>
          <w:rFonts w:cs="Arial"/>
          <w:sz w:val="24"/>
          <w:szCs w:val="24"/>
        </w:rPr>
        <w:t xml:space="preserve"> (P=.88)</w:t>
      </w:r>
      <w:r w:rsidR="00777A68">
        <w:rPr>
          <w:rFonts w:cs="Arial"/>
          <w:sz w:val="24"/>
          <w:szCs w:val="24"/>
        </w:rPr>
        <w:t xml:space="preserve"> (appendix A)</w:t>
      </w:r>
      <w:r>
        <w:rPr>
          <w:rFonts w:cs="Arial"/>
          <w:sz w:val="24"/>
          <w:szCs w:val="24"/>
        </w:rPr>
        <w:t xml:space="preserve">. </w:t>
      </w:r>
    </w:p>
    <w:p w14:paraId="3F973A4D" w14:textId="70D01312" w:rsidR="00665B44" w:rsidRDefault="00924B4B" w:rsidP="00D34244">
      <w:pPr>
        <w:spacing w:line="480" w:lineRule="auto"/>
        <w:rPr>
          <w:rFonts w:cs="Arial"/>
          <w:sz w:val="24"/>
          <w:szCs w:val="24"/>
        </w:rPr>
      </w:pPr>
      <w:r>
        <w:rPr>
          <w:rFonts w:cs="Arial"/>
          <w:sz w:val="24"/>
          <w:szCs w:val="24"/>
        </w:rPr>
        <w:t>A</w:t>
      </w:r>
      <w:r w:rsidR="00AF7790" w:rsidRPr="00D765D3">
        <w:rPr>
          <w:rFonts w:cs="Arial"/>
          <w:sz w:val="24"/>
          <w:szCs w:val="24"/>
        </w:rPr>
        <w:t xml:space="preserve"> higher proportion of patients with poor vision</w:t>
      </w:r>
      <w:r>
        <w:rPr>
          <w:rFonts w:cs="Arial"/>
          <w:sz w:val="24"/>
          <w:szCs w:val="24"/>
        </w:rPr>
        <w:t xml:space="preserve"> </w:t>
      </w:r>
      <w:r w:rsidR="00AF7790" w:rsidRPr="00D765D3">
        <w:rPr>
          <w:rFonts w:cs="Arial"/>
          <w:sz w:val="24"/>
          <w:szCs w:val="24"/>
        </w:rPr>
        <w:t xml:space="preserve">(loss &gt;= 15 letters) after completion of treatment </w:t>
      </w:r>
      <w:r>
        <w:rPr>
          <w:rFonts w:cs="Arial"/>
          <w:sz w:val="24"/>
          <w:szCs w:val="24"/>
        </w:rPr>
        <w:t xml:space="preserve">resided in the </w:t>
      </w:r>
      <w:r w:rsidR="00AF7790" w:rsidRPr="00D765D3">
        <w:rPr>
          <w:rFonts w:cs="Arial"/>
          <w:sz w:val="24"/>
          <w:szCs w:val="24"/>
        </w:rPr>
        <w:t>most deprived areas</w:t>
      </w:r>
      <w:r>
        <w:rPr>
          <w:rFonts w:cs="Arial"/>
          <w:sz w:val="24"/>
          <w:szCs w:val="24"/>
        </w:rPr>
        <w:t xml:space="preserve"> </w:t>
      </w:r>
      <w:r w:rsidR="00AF7790" w:rsidRPr="00D765D3">
        <w:rPr>
          <w:rFonts w:cs="Arial"/>
          <w:sz w:val="24"/>
          <w:szCs w:val="24"/>
        </w:rPr>
        <w:t>(22.7%) compared to other groups</w:t>
      </w:r>
      <w:r>
        <w:rPr>
          <w:rFonts w:cs="Arial"/>
          <w:sz w:val="24"/>
          <w:szCs w:val="24"/>
        </w:rPr>
        <w:t xml:space="preserve"> (appendix A). H</w:t>
      </w:r>
      <w:r w:rsidR="00AF7790" w:rsidRPr="00D765D3">
        <w:rPr>
          <w:rFonts w:cs="Arial"/>
          <w:sz w:val="24"/>
          <w:szCs w:val="24"/>
        </w:rPr>
        <w:t>owever, the difference was not statistically significant</w:t>
      </w:r>
      <w:r>
        <w:rPr>
          <w:rFonts w:cs="Arial"/>
          <w:sz w:val="24"/>
          <w:szCs w:val="24"/>
        </w:rPr>
        <w:t xml:space="preserve"> </w:t>
      </w:r>
      <w:r w:rsidR="00AF7790" w:rsidRPr="00D765D3">
        <w:rPr>
          <w:rFonts w:cs="Arial"/>
          <w:sz w:val="24"/>
          <w:szCs w:val="24"/>
        </w:rPr>
        <w:t>(</w:t>
      </w:r>
      <w:r w:rsidR="00224578">
        <w:rPr>
          <w:rFonts w:cs="Arial"/>
          <w:sz w:val="24"/>
          <w:szCs w:val="24"/>
        </w:rPr>
        <w:t>P</w:t>
      </w:r>
      <w:r w:rsidR="00AF7790" w:rsidRPr="00D765D3">
        <w:rPr>
          <w:rFonts w:cs="Arial"/>
          <w:sz w:val="24"/>
          <w:szCs w:val="24"/>
        </w:rPr>
        <w:t xml:space="preserve">=.57). </w:t>
      </w:r>
      <w:r w:rsidR="00665B44" w:rsidRPr="00D765D3">
        <w:rPr>
          <w:rFonts w:cs="Arial"/>
          <w:sz w:val="24"/>
          <w:szCs w:val="24"/>
        </w:rPr>
        <w:t xml:space="preserve">In univariate logistic regression, there was </w:t>
      </w:r>
      <w:r w:rsidR="00665B44">
        <w:rPr>
          <w:rFonts w:cs="Arial"/>
          <w:sz w:val="24"/>
          <w:szCs w:val="24"/>
        </w:rPr>
        <w:t>no</w:t>
      </w:r>
      <w:r w:rsidR="00665B44" w:rsidRPr="00D765D3">
        <w:rPr>
          <w:rFonts w:cs="Arial"/>
          <w:sz w:val="24"/>
          <w:szCs w:val="24"/>
        </w:rPr>
        <w:t xml:space="preserve"> association between</w:t>
      </w:r>
      <w:r w:rsidR="00665B44">
        <w:rPr>
          <w:rFonts w:cs="Arial"/>
          <w:sz w:val="24"/>
          <w:szCs w:val="24"/>
        </w:rPr>
        <w:t xml:space="preserve"> </w:t>
      </w:r>
      <w:r w:rsidR="00665B44" w:rsidRPr="00D765D3">
        <w:rPr>
          <w:rFonts w:cs="Arial"/>
          <w:sz w:val="24"/>
          <w:szCs w:val="24"/>
        </w:rPr>
        <w:t xml:space="preserve">greater deprivation and treatment </w:t>
      </w:r>
      <w:r w:rsidR="00665B44">
        <w:rPr>
          <w:rFonts w:cs="Arial"/>
          <w:sz w:val="24"/>
          <w:szCs w:val="24"/>
        </w:rPr>
        <w:t>outcomes</w:t>
      </w:r>
      <w:r w:rsidR="003F16A9">
        <w:rPr>
          <w:rFonts w:cs="Arial"/>
          <w:sz w:val="24"/>
          <w:szCs w:val="24"/>
        </w:rPr>
        <w:t xml:space="preserve"> </w:t>
      </w:r>
      <w:r w:rsidR="00665B44" w:rsidRPr="00D765D3">
        <w:rPr>
          <w:rFonts w:cs="Arial"/>
          <w:sz w:val="24"/>
          <w:szCs w:val="24"/>
        </w:rPr>
        <w:t>(OR=</w:t>
      </w:r>
      <w:r w:rsidR="00665B44">
        <w:rPr>
          <w:rFonts w:cs="Arial"/>
          <w:sz w:val="24"/>
          <w:szCs w:val="24"/>
        </w:rPr>
        <w:t>0.69</w:t>
      </w:r>
      <w:r w:rsidR="00665B44" w:rsidRPr="00D765D3">
        <w:rPr>
          <w:rFonts w:cs="Arial"/>
          <w:sz w:val="24"/>
          <w:szCs w:val="24"/>
        </w:rPr>
        <w:t>; 95%Cl=</w:t>
      </w:r>
      <w:r w:rsidR="00665B44">
        <w:rPr>
          <w:rFonts w:cs="Arial"/>
          <w:sz w:val="24"/>
          <w:szCs w:val="24"/>
        </w:rPr>
        <w:t>0.24-1.98</w:t>
      </w:r>
      <w:r w:rsidR="00F04700">
        <w:rPr>
          <w:rFonts w:cs="Arial"/>
          <w:sz w:val="24"/>
          <w:szCs w:val="24"/>
        </w:rPr>
        <w:t xml:space="preserve">; </w:t>
      </w:r>
      <w:r w:rsidR="00224578">
        <w:rPr>
          <w:rFonts w:cs="Arial"/>
          <w:sz w:val="24"/>
          <w:szCs w:val="24"/>
        </w:rPr>
        <w:t>P</w:t>
      </w:r>
      <w:r w:rsidR="00F04700">
        <w:rPr>
          <w:rFonts w:cs="Arial"/>
          <w:sz w:val="24"/>
          <w:szCs w:val="24"/>
        </w:rPr>
        <w:t>=</w:t>
      </w:r>
      <w:r w:rsidR="00665B44">
        <w:rPr>
          <w:rFonts w:cs="Arial"/>
          <w:sz w:val="24"/>
          <w:szCs w:val="24"/>
        </w:rPr>
        <w:t>.61</w:t>
      </w:r>
      <w:r w:rsidR="00665B44" w:rsidRPr="00D765D3">
        <w:rPr>
          <w:rFonts w:cs="Arial"/>
          <w:sz w:val="24"/>
          <w:szCs w:val="24"/>
        </w:rPr>
        <w:t>)</w:t>
      </w:r>
      <w:r w:rsidR="00F04700">
        <w:rPr>
          <w:rFonts w:cs="Arial"/>
          <w:sz w:val="24"/>
          <w:szCs w:val="24"/>
        </w:rPr>
        <w:t>.</w:t>
      </w:r>
      <w:r w:rsidR="00F04700" w:rsidRPr="00F04700">
        <w:rPr>
          <w:rFonts w:cs="Arial"/>
          <w:sz w:val="24"/>
          <w:szCs w:val="24"/>
        </w:rPr>
        <w:t xml:space="preserve"> </w:t>
      </w:r>
      <w:r w:rsidR="00F04700" w:rsidRPr="00D765D3">
        <w:rPr>
          <w:rFonts w:cs="Arial"/>
          <w:sz w:val="24"/>
          <w:szCs w:val="24"/>
        </w:rPr>
        <w:t xml:space="preserve">No association was seen between distance and </w:t>
      </w:r>
      <w:r w:rsidR="00F04700">
        <w:rPr>
          <w:rFonts w:cs="Arial"/>
          <w:sz w:val="24"/>
          <w:szCs w:val="24"/>
        </w:rPr>
        <w:t>treatment outcomes</w:t>
      </w:r>
      <w:r w:rsidR="003F16A9">
        <w:rPr>
          <w:rFonts w:cs="Arial"/>
          <w:sz w:val="24"/>
          <w:szCs w:val="24"/>
        </w:rPr>
        <w:t xml:space="preserve"> </w:t>
      </w:r>
      <w:r w:rsidR="00F04700">
        <w:rPr>
          <w:rFonts w:cs="Arial"/>
          <w:sz w:val="24"/>
          <w:szCs w:val="24"/>
        </w:rPr>
        <w:t>(OR=0.84</w:t>
      </w:r>
      <w:r w:rsidR="00F04700" w:rsidRPr="00D765D3">
        <w:rPr>
          <w:rFonts w:cs="Arial"/>
          <w:sz w:val="24"/>
          <w:szCs w:val="24"/>
        </w:rPr>
        <w:t>; 95% Cl=</w:t>
      </w:r>
      <w:r w:rsidR="00F04700">
        <w:rPr>
          <w:rFonts w:cs="Arial"/>
          <w:sz w:val="24"/>
          <w:szCs w:val="24"/>
        </w:rPr>
        <w:t xml:space="preserve">0.52-1.34; </w:t>
      </w:r>
      <w:r w:rsidR="00224578">
        <w:rPr>
          <w:rFonts w:cs="Arial"/>
          <w:sz w:val="24"/>
          <w:szCs w:val="24"/>
        </w:rPr>
        <w:t>P</w:t>
      </w:r>
      <w:r w:rsidR="00F04700">
        <w:rPr>
          <w:rFonts w:cs="Arial"/>
          <w:sz w:val="24"/>
          <w:szCs w:val="24"/>
        </w:rPr>
        <w:t>=.46)</w:t>
      </w:r>
      <w:r>
        <w:rPr>
          <w:rFonts w:cs="Arial"/>
          <w:sz w:val="24"/>
          <w:szCs w:val="24"/>
        </w:rPr>
        <w:t xml:space="preserve"> </w:t>
      </w:r>
      <w:r w:rsidR="00665B44" w:rsidRPr="00D765D3">
        <w:rPr>
          <w:rFonts w:cs="Arial"/>
          <w:sz w:val="24"/>
          <w:szCs w:val="24"/>
        </w:rPr>
        <w:t xml:space="preserve">(Table </w:t>
      </w:r>
      <w:r w:rsidR="00665B44">
        <w:rPr>
          <w:rFonts w:cs="Arial"/>
          <w:sz w:val="24"/>
          <w:szCs w:val="24"/>
        </w:rPr>
        <w:t>4</w:t>
      </w:r>
      <w:r w:rsidR="00665B44" w:rsidRPr="00D765D3">
        <w:rPr>
          <w:rFonts w:cs="Arial"/>
          <w:sz w:val="24"/>
          <w:szCs w:val="24"/>
        </w:rPr>
        <w:t>)</w:t>
      </w:r>
      <w:r>
        <w:rPr>
          <w:rFonts w:cs="Arial"/>
          <w:sz w:val="24"/>
          <w:szCs w:val="24"/>
        </w:rPr>
        <w:t>.</w:t>
      </w:r>
    </w:p>
    <w:p w14:paraId="7642BE7F" w14:textId="22C5E028" w:rsidR="00462033" w:rsidRPr="00D765D3" w:rsidRDefault="009A0E46" w:rsidP="00D34244">
      <w:pPr>
        <w:pStyle w:val="Heading1"/>
        <w:spacing w:line="480" w:lineRule="auto"/>
        <w:rPr>
          <w:noProof/>
          <w:sz w:val="24"/>
          <w:szCs w:val="24"/>
          <w:lang w:val="en-GB" w:eastAsia="en-GB"/>
        </w:rPr>
      </w:pPr>
      <w:r w:rsidRPr="00D765D3">
        <w:rPr>
          <w:noProof/>
          <w:sz w:val="24"/>
          <w:szCs w:val="24"/>
          <w:lang w:val="en-GB" w:eastAsia="en-GB"/>
        </w:rPr>
        <w:t>D</w:t>
      </w:r>
      <w:r w:rsidR="00462033" w:rsidRPr="00D765D3">
        <w:rPr>
          <w:noProof/>
          <w:sz w:val="24"/>
          <w:szCs w:val="24"/>
          <w:lang w:val="en-GB" w:eastAsia="en-GB"/>
        </w:rPr>
        <w:t>iscussion</w:t>
      </w:r>
    </w:p>
    <w:p w14:paraId="256FC674" w14:textId="77777777" w:rsidR="005B0C26" w:rsidRPr="00D765D3" w:rsidRDefault="005B0C26" w:rsidP="00D34244">
      <w:pPr>
        <w:widowControl w:val="0"/>
        <w:tabs>
          <w:tab w:val="left" w:pos="198"/>
        </w:tabs>
        <w:spacing w:after="0" w:line="480" w:lineRule="auto"/>
        <w:rPr>
          <w:rFonts w:cs="Arial"/>
          <w:b/>
          <w:noProof/>
          <w:spacing w:val="4"/>
          <w:sz w:val="24"/>
          <w:szCs w:val="24"/>
          <w:lang w:val="en-GB" w:eastAsia="en-GB"/>
        </w:rPr>
      </w:pPr>
    </w:p>
    <w:p w14:paraId="664B1CD4" w14:textId="47379890" w:rsidR="005E60BB" w:rsidRDefault="00C768C2" w:rsidP="00D34244">
      <w:pPr>
        <w:spacing w:line="480" w:lineRule="auto"/>
        <w:rPr>
          <w:rFonts w:cs="Arial"/>
          <w:sz w:val="24"/>
          <w:szCs w:val="24"/>
        </w:rPr>
      </w:pPr>
      <w:r w:rsidRPr="00D765D3">
        <w:rPr>
          <w:rFonts w:cs="Arial"/>
          <w:sz w:val="24"/>
          <w:szCs w:val="24"/>
        </w:rPr>
        <w:t xml:space="preserve">This study investigated the associations between SES and greater distance from home to </w:t>
      </w:r>
      <w:r w:rsidR="006156F1">
        <w:rPr>
          <w:rFonts w:cs="Arial"/>
          <w:sz w:val="24"/>
          <w:szCs w:val="24"/>
        </w:rPr>
        <w:t>hospital</w:t>
      </w:r>
      <w:r w:rsidRPr="00D765D3">
        <w:rPr>
          <w:rFonts w:cs="Arial"/>
          <w:sz w:val="24"/>
          <w:szCs w:val="24"/>
        </w:rPr>
        <w:t xml:space="preserve"> and severity</w:t>
      </w:r>
      <w:r w:rsidRPr="00D765D3">
        <w:rPr>
          <w:rStyle w:val="CommentReference"/>
          <w:sz w:val="24"/>
          <w:szCs w:val="24"/>
        </w:rPr>
        <w:t xml:space="preserve">, </w:t>
      </w:r>
      <w:r w:rsidRPr="00D765D3">
        <w:rPr>
          <w:rFonts w:cs="Arial"/>
          <w:sz w:val="24"/>
          <w:szCs w:val="24"/>
        </w:rPr>
        <w:t xml:space="preserve">treatment processes and outcomes of wet AMD patients, </w:t>
      </w:r>
      <w:r w:rsidR="003F46D5">
        <w:rPr>
          <w:rFonts w:cs="Arial"/>
          <w:sz w:val="24"/>
          <w:szCs w:val="24"/>
        </w:rPr>
        <w:t>receiving</w:t>
      </w:r>
      <w:r w:rsidRPr="00D765D3">
        <w:rPr>
          <w:rFonts w:cs="Arial"/>
          <w:sz w:val="24"/>
          <w:szCs w:val="24"/>
        </w:rPr>
        <w:t xml:space="preserve"> </w:t>
      </w:r>
      <w:r w:rsidR="006156F1">
        <w:rPr>
          <w:rFonts w:cs="Arial"/>
          <w:sz w:val="24"/>
          <w:szCs w:val="24"/>
        </w:rPr>
        <w:t>aflibercept</w:t>
      </w:r>
      <w:r w:rsidR="0009625A" w:rsidRPr="0009625A">
        <w:rPr>
          <w:rFonts w:cs="Arial"/>
          <w:sz w:val="24"/>
          <w:szCs w:val="24"/>
        </w:rPr>
        <w:t xml:space="preserve"> </w:t>
      </w:r>
      <w:r w:rsidR="0009625A" w:rsidRPr="00D765D3">
        <w:rPr>
          <w:rFonts w:cs="Arial"/>
          <w:sz w:val="24"/>
          <w:szCs w:val="24"/>
        </w:rPr>
        <w:t>injection</w:t>
      </w:r>
      <w:r w:rsidR="0009625A">
        <w:rPr>
          <w:rFonts w:cs="Arial"/>
          <w:sz w:val="24"/>
          <w:szCs w:val="24"/>
        </w:rPr>
        <w:t>s</w:t>
      </w:r>
      <w:r w:rsidR="006156F1" w:rsidRPr="00D765D3">
        <w:rPr>
          <w:rFonts w:cs="Arial"/>
          <w:sz w:val="24"/>
          <w:szCs w:val="24"/>
        </w:rPr>
        <w:t xml:space="preserve"> </w:t>
      </w:r>
      <w:r w:rsidRPr="00D765D3">
        <w:rPr>
          <w:rFonts w:cs="Arial"/>
          <w:sz w:val="24"/>
          <w:szCs w:val="24"/>
        </w:rPr>
        <w:t xml:space="preserve">in SEU between May’ 2013 and January’ 2017. The study found that </w:t>
      </w:r>
      <w:r w:rsidR="006156F1" w:rsidRPr="00D765D3">
        <w:rPr>
          <w:rFonts w:cs="Arial"/>
          <w:sz w:val="24"/>
          <w:szCs w:val="24"/>
        </w:rPr>
        <w:t>patients</w:t>
      </w:r>
      <w:r w:rsidR="006156F1">
        <w:rPr>
          <w:rFonts w:cs="Arial"/>
          <w:sz w:val="24"/>
          <w:szCs w:val="24"/>
        </w:rPr>
        <w:t xml:space="preserve"> living </w:t>
      </w:r>
      <w:r w:rsidRPr="00D765D3">
        <w:rPr>
          <w:rFonts w:cs="Arial"/>
          <w:sz w:val="24"/>
          <w:szCs w:val="24"/>
        </w:rPr>
        <w:t>in</w:t>
      </w:r>
      <w:r w:rsidR="006156F1">
        <w:rPr>
          <w:rFonts w:cs="Arial"/>
          <w:sz w:val="24"/>
          <w:szCs w:val="24"/>
        </w:rPr>
        <w:t xml:space="preserve"> </w:t>
      </w:r>
      <w:r w:rsidR="005E60BB">
        <w:rPr>
          <w:rFonts w:cs="Arial"/>
          <w:sz w:val="24"/>
          <w:szCs w:val="24"/>
        </w:rPr>
        <w:t xml:space="preserve">the </w:t>
      </w:r>
      <w:r w:rsidRPr="00D765D3">
        <w:rPr>
          <w:rFonts w:cs="Arial"/>
          <w:sz w:val="24"/>
          <w:szCs w:val="24"/>
        </w:rPr>
        <w:t>most deprived areas had more severe visual impairment when they first visited the eye unit, compared to less deprived areas</w:t>
      </w:r>
      <w:r w:rsidR="0024554C">
        <w:rPr>
          <w:rFonts w:cs="Arial"/>
          <w:sz w:val="24"/>
          <w:szCs w:val="24"/>
        </w:rPr>
        <w:t xml:space="preserve">. </w:t>
      </w:r>
    </w:p>
    <w:p w14:paraId="78C6277C" w14:textId="14A25959" w:rsidR="0024554C" w:rsidRDefault="0024554C" w:rsidP="00D34244">
      <w:pPr>
        <w:spacing w:line="480" w:lineRule="auto"/>
        <w:rPr>
          <w:rFonts w:cs="Arial"/>
          <w:sz w:val="24"/>
          <w:szCs w:val="24"/>
        </w:rPr>
      </w:pPr>
      <w:r>
        <w:rPr>
          <w:rFonts w:cs="Arial"/>
          <w:sz w:val="24"/>
          <w:szCs w:val="24"/>
        </w:rPr>
        <w:t>This</w:t>
      </w:r>
      <w:r w:rsidR="00C768C2" w:rsidRPr="00D765D3">
        <w:rPr>
          <w:rFonts w:cs="Arial"/>
          <w:sz w:val="24"/>
          <w:szCs w:val="24"/>
        </w:rPr>
        <w:t xml:space="preserve"> suggested late presentation of patients after disease progression had already occurred. </w:t>
      </w:r>
      <w:r w:rsidR="00C768C2" w:rsidRPr="00D765D3">
        <w:rPr>
          <w:sz w:val="24"/>
          <w:szCs w:val="24"/>
        </w:rPr>
        <w:t xml:space="preserve">There was some evidence of greater delay in completion of treatment process among people from most deprived areas, but this association was not maintained after adjustment for other factors. </w:t>
      </w:r>
      <w:r w:rsidR="003F76F4">
        <w:rPr>
          <w:rFonts w:cs="Arial"/>
          <w:sz w:val="24"/>
          <w:szCs w:val="24"/>
        </w:rPr>
        <w:t>N</w:t>
      </w:r>
      <w:r w:rsidR="00C768C2" w:rsidRPr="00D765D3">
        <w:rPr>
          <w:rFonts w:cs="Arial"/>
          <w:sz w:val="24"/>
          <w:szCs w:val="24"/>
        </w:rPr>
        <w:t xml:space="preserve">o statistically significant association </w:t>
      </w:r>
      <w:r w:rsidR="003F76F4">
        <w:rPr>
          <w:rFonts w:cs="Arial"/>
          <w:sz w:val="24"/>
          <w:szCs w:val="24"/>
        </w:rPr>
        <w:t xml:space="preserve">was found </w:t>
      </w:r>
      <w:r w:rsidR="00C768C2" w:rsidRPr="00D765D3">
        <w:rPr>
          <w:rFonts w:cs="Arial"/>
          <w:sz w:val="24"/>
          <w:szCs w:val="24"/>
        </w:rPr>
        <w:t xml:space="preserve">between SES and treatment outcomes. However, a higher proportion of patients in most deprived </w:t>
      </w:r>
      <w:r w:rsidR="00C768C2" w:rsidRPr="00D765D3">
        <w:rPr>
          <w:rFonts w:cs="Arial"/>
          <w:sz w:val="24"/>
          <w:szCs w:val="24"/>
        </w:rPr>
        <w:lastRenderedPageBreak/>
        <w:t xml:space="preserve">areas did not complete treatment </w:t>
      </w:r>
      <w:r w:rsidR="00ED35A1">
        <w:rPr>
          <w:rFonts w:cs="Arial"/>
          <w:sz w:val="24"/>
          <w:szCs w:val="24"/>
        </w:rPr>
        <w:t>within</w:t>
      </w:r>
      <w:r w:rsidR="00C768C2" w:rsidRPr="00D765D3">
        <w:rPr>
          <w:rFonts w:cs="Arial"/>
          <w:sz w:val="24"/>
          <w:szCs w:val="24"/>
        </w:rPr>
        <w:t xml:space="preserve"> </w:t>
      </w:r>
      <w:r w:rsidR="003F16A9">
        <w:rPr>
          <w:rFonts w:cs="Arial"/>
          <w:sz w:val="24"/>
          <w:szCs w:val="24"/>
        </w:rPr>
        <w:t xml:space="preserve">the </w:t>
      </w:r>
      <w:r w:rsidR="00C768C2" w:rsidRPr="00D765D3">
        <w:rPr>
          <w:rFonts w:cs="Arial"/>
          <w:sz w:val="24"/>
          <w:szCs w:val="24"/>
        </w:rPr>
        <w:t>recommended period</w:t>
      </w:r>
      <w:r w:rsidR="003F16A9">
        <w:rPr>
          <w:rFonts w:cs="Arial"/>
          <w:sz w:val="24"/>
          <w:szCs w:val="24"/>
        </w:rPr>
        <w:t xml:space="preserve"> </w:t>
      </w:r>
      <w:r w:rsidR="00C768C2" w:rsidRPr="00D765D3">
        <w:rPr>
          <w:rFonts w:cs="Arial"/>
          <w:sz w:val="24"/>
          <w:szCs w:val="24"/>
        </w:rPr>
        <w:t>(26.5% vs 11.4% in the least deprived)</w:t>
      </w:r>
      <w:r w:rsidR="00C118DF">
        <w:rPr>
          <w:rFonts w:cs="Arial"/>
          <w:sz w:val="24"/>
          <w:szCs w:val="24"/>
        </w:rPr>
        <w:t>.</w:t>
      </w:r>
      <w:r w:rsidR="00C768C2" w:rsidRPr="00D765D3">
        <w:rPr>
          <w:rFonts w:cs="Arial"/>
          <w:sz w:val="24"/>
          <w:szCs w:val="24"/>
        </w:rPr>
        <w:t xml:space="preserve"> </w:t>
      </w:r>
    </w:p>
    <w:p w14:paraId="47222699" w14:textId="70B6888C" w:rsidR="00C768C2" w:rsidRPr="00D765D3" w:rsidRDefault="0024554C" w:rsidP="00D34244">
      <w:pPr>
        <w:spacing w:line="480" w:lineRule="auto"/>
        <w:rPr>
          <w:rFonts w:cs="Arial"/>
          <w:sz w:val="24"/>
          <w:szCs w:val="24"/>
        </w:rPr>
      </w:pPr>
      <w:r>
        <w:rPr>
          <w:rFonts w:cs="Arial"/>
          <w:sz w:val="24"/>
          <w:szCs w:val="24"/>
        </w:rPr>
        <w:t>W</w:t>
      </w:r>
      <w:r w:rsidR="00C118DF" w:rsidRPr="00937AF7">
        <w:rPr>
          <w:rFonts w:cs="Arial"/>
          <w:sz w:val="24"/>
          <w:szCs w:val="24"/>
        </w:rPr>
        <w:t xml:space="preserve">hile vision improved in the most socially deprived group it never </w:t>
      </w:r>
      <w:r w:rsidR="003F16A9">
        <w:rPr>
          <w:rFonts w:cs="Arial"/>
          <w:sz w:val="24"/>
          <w:szCs w:val="24"/>
        </w:rPr>
        <w:t>attained</w:t>
      </w:r>
      <w:r w:rsidR="003F16A9" w:rsidRPr="00937AF7">
        <w:rPr>
          <w:rFonts w:cs="Arial"/>
          <w:sz w:val="24"/>
          <w:szCs w:val="24"/>
        </w:rPr>
        <w:t xml:space="preserve"> </w:t>
      </w:r>
      <w:r w:rsidR="00C118DF" w:rsidRPr="00937AF7">
        <w:rPr>
          <w:rFonts w:cs="Arial"/>
          <w:sz w:val="24"/>
          <w:szCs w:val="24"/>
        </w:rPr>
        <w:t>the same level as</w:t>
      </w:r>
      <w:r w:rsidR="003F76F4">
        <w:rPr>
          <w:rFonts w:cs="Arial"/>
          <w:sz w:val="24"/>
          <w:szCs w:val="24"/>
        </w:rPr>
        <w:t xml:space="preserve"> </w:t>
      </w:r>
      <w:r w:rsidR="00C118DF" w:rsidRPr="00937AF7">
        <w:rPr>
          <w:rFonts w:cs="Arial"/>
          <w:sz w:val="24"/>
          <w:szCs w:val="24"/>
        </w:rPr>
        <w:t>patients</w:t>
      </w:r>
      <w:r w:rsidR="003F76F4">
        <w:rPr>
          <w:rFonts w:cs="Arial"/>
          <w:sz w:val="24"/>
          <w:szCs w:val="24"/>
        </w:rPr>
        <w:t xml:space="preserve"> from least deprived</w:t>
      </w:r>
      <w:r w:rsidR="00C118DF" w:rsidRPr="00937AF7">
        <w:rPr>
          <w:rFonts w:cs="Arial"/>
          <w:sz w:val="24"/>
          <w:szCs w:val="24"/>
        </w:rPr>
        <w:t xml:space="preserve"> </w:t>
      </w:r>
      <w:r w:rsidR="003F76F4">
        <w:rPr>
          <w:rFonts w:cs="Arial"/>
          <w:sz w:val="24"/>
          <w:szCs w:val="24"/>
        </w:rPr>
        <w:t>areas</w:t>
      </w:r>
      <w:r w:rsidR="00C118DF">
        <w:rPr>
          <w:rFonts w:cs="Arial"/>
          <w:sz w:val="24"/>
          <w:szCs w:val="24"/>
        </w:rPr>
        <w:t xml:space="preserve">. </w:t>
      </w:r>
      <w:r w:rsidR="00C768C2" w:rsidRPr="00D765D3">
        <w:rPr>
          <w:rFonts w:cs="Arial"/>
          <w:sz w:val="24"/>
          <w:szCs w:val="24"/>
        </w:rPr>
        <w:t xml:space="preserve"> </w:t>
      </w:r>
      <w:r w:rsidR="003F16A9">
        <w:rPr>
          <w:rFonts w:cs="Arial"/>
          <w:sz w:val="24"/>
          <w:szCs w:val="24"/>
        </w:rPr>
        <w:t>L</w:t>
      </w:r>
      <w:r w:rsidR="00394915">
        <w:rPr>
          <w:rFonts w:cs="Arial"/>
          <w:sz w:val="24"/>
          <w:szCs w:val="24"/>
        </w:rPr>
        <w:t>ate presentation</w:t>
      </w:r>
      <w:r w:rsidR="00643F20">
        <w:rPr>
          <w:rFonts w:cs="Arial"/>
          <w:sz w:val="24"/>
          <w:szCs w:val="24"/>
        </w:rPr>
        <w:t>,</w:t>
      </w:r>
      <w:r w:rsidR="003F16A9">
        <w:rPr>
          <w:rFonts w:cs="Arial"/>
          <w:sz w:val="24"/>
          <w:szCs w:val="24"/>
        </w:rPr>
        <w:t xml:space="preserve"> seen more commonly in </w:t>
      </w:r>
      <w:r w:rsidR="00643F20">
        <w:rPr>
          <w:rFonts w:cs="Arial"/>
          <w:sz w:val="24"/>
          <w:szCs w:val="24"/>
        </w:rPr>
        <w:t>people from more deprived areas,</w:t>
      </w:r>
      <w:r w:rsidR="003F16A9">
        <w:rPr>
          <w:rFonts w:cs="Arial"/>
          <w:sz w:val="24"/>
          <w:szCs w:val="24"/>
        </w:rPr>
        <w:t xml:space="preserve"> resulted in worse vision at year 1. </w:t>
      </w:r>
      <w:r w:rsidR="00394915">
        <w:rPr>
          <w:rFonts w:cs="Arial"/>
          <w:sz w:val="24"/>
          <w:szCs w:val="24"/>
        </w:rPr>
        <w:t xml:space="preserve"> </w:t>
      </w:r>
      <w:r w:rsidR="00BF3189">
        <w:rPr>
          <w:rFonts w:cs="Arial"/>
          <w:sz w:val="24"/>
          <w:szCs w:val="24"/>
        </w:rPr>
        <w:t>N</w:t>
      </w:r>
      <w:r w:rsidR="009713B5">
        <w:rPr>
          <w:rFonts w:cs="Arial"/>
          <w:sz w:val="24"/>
          <w:szCs w:val="24"/>
        </w:rPr>
        <w:t xml:space="preserve">o </w:t>
      </w:r>
      <w:r w:rsidR="00C768C2" w:rsidRPr="00D765D3">
        <w:rPr>
          <w:rFonts w:cs="Arial"/>
          <w:sz w:val="24"/>
          <w:szCs w:val="24"/>
        </w:rPr>
        <w:t xml:space="preserve">associations </w:t>
      </w:r>
      <w:r w:rsidR="00BF3189">
        <w:rPr>
          <w:rFonts w:cs="Arial"/>
          <w:sz w:val="24"/>
          <w:szCs w:val="24"/>
        </w:rPr>
        <w:t xml:space="preserve">were </w:t>
      </w:r>
      <w:r w:rsidR="009713B5">
        <w:rPr>
          <w:rFonts w:cs="Arial"/>
          <w:sz w:val="24"/>
          <w:szCs w:val="24"/>
        </w:rPr>
        <w:t xml:space="preserve">identified </w:t>
      </w:r>
      <w:r w:rsidR="00C768C2" w:rsidRPr="00D765D3">
        <w:rPr>
          <w:rFonts w:cs="Arial"/>
          <w:sz w:val="24"/>
          <w:szCs w:val="24"/>
        </w:rPr>
        <w:t>between distance from home to eye unit and wet AMD severity, treatment processes or outcomes.</w:t>
      </w:r>
      <w:r w:rsidR="006E5708">
        <w:rPr>
          <w:rFonts w:cs="Arial"/>
          <w:sz w:val="24"/>
          <w:szCs w:val="24"/>
        </w:rPr>
        <w:t xml:space="preserve"> </w:t>
      </w:r>
      <w:r>
        <w:rPr>
          <w:rFonts w:cs="Arial"/>
          <w:sz w:val="24"/>
          <w:szCs w:val="24"/>
        </w:rPr>
        <w:t>G</w:t>
      </w:r>
      <w:r w:rsidR="006E5708" w:rsidRPr="00D765D3">
        <w:rPr>
          <w:rFonts w:cs="Arial"/>
          <w:sz w:val="24"/>
          <w:szCs w:val="24"/>
        </w:rPr>
        <w:t xml:space="preserve">reater distance </w:t>
      </w:r>
      <w:r>
        <w:rPr>
          <w:rFonts w:cs="Arial"/>
          <w:sz w:val="24"/>
          <w:szCs w:val="24"/>
        </w:rPr>
        <w:t>did not</w:t>
      </w:r>
      <w:r w:rsidR="006E5708" w:rsidRPr="00D765D3">
        <w:rPr>
          <w:rFonts w:cs="Arial"/>
          <w:sz w:val="24"/>
          <w:szCs w:val="24"/>
        </w:rPr>
        <w:t xml:space="preserve"> </w:t>
      </w:r>
      <w:r w:rsidR="009713B5">
        <w:rPr>
          <w:rFonts w:cs="Arial"/>
          <w:sz w:val="24"/>
          <w:szCs w:val="24"/>
        </w:rPr>
        <w:t xml:space="preserve">appear to </w:t>
      </w:r>
      <w:r w:rsidR="006E5708" w:rsidRPr="00D765D3">
        <w:rPr>
          <w:rFonts w:cs="Arial"/>
          <w:sz w:val="24"/>
          <w:szCs w:val="24"/>
        </w:rPr>
        <w:t>restrict patients from seeking timely treatment.</w:t>
      </w:r>
    </w:p>
    <w:p w14:paraId="042FA922" w14:textId="38B67E34" w:rsidR="00C768C2" w:rsidRPr="00D765D3" w:rsidRDefault="004748B3" w:rsidP="00D34244">
      <w:pPr>
        <w:spacing w:line="480" w:lineRule="auto"/>
        <w:rPr>
          <w:rFonts w:cs="Arial"/>
          <w:sz w:val="24"/>
          <w:szCs w:val="24"/>
        </w:rPr>
      </w:pPr>
      <w:r>
        <w:rPr>
          <w:rFonts w:cs="Arial"/>
          <w:sz w:val="24"/>
          <w:szCs w:val="24"/>
        </w:rPr>
        <w:t>Previous s</w:t>
      </w:r>
      <w:r w:rsidR="00C768C2" w:rsidRPr="00D765D3">
        <w:rPr>
          <w:rFonts w:cs="Arial"/>
          <w:sz w:val="24"/>
          <w:szCs w:val="24"/>
        </w:rPr>
        <w:t>tudies have explore</w:t>
      </w:r>
      <w:r>
        <w:rPr>
          <w:rFonts w:cs="Arial"/>
          <w:sz w:val="24"/>
          <w:szCs w:val="24"/>
        </w:rPr>
        <w:t>d</w:t>
      </w:r>
      <w:r w:rsidR="00C768C2" w:rsidRPr="00D765D3">
        <w:rPr>
          <w:rFonts w:cs="Arial"/>
          <w:sz w:val="24"/>
          <w:szCs w:val="24"/>
        </w:rPr>
        <w:t xml:space="preserve"> associations </w:t>
      </w:r>
      <w:r>
        <w:rPr>
          <w:rFonts w:cs="Arial"/>
          <w:sz w:val="24"/>
          <w:szCs w:val="24"/>
        </w:rPr>
        <w:t>between</w:t>
      </w:r>
      <w:r w:rsidR="00C768C2" w:rsidRPr="00D765D3">
        <w:rPr>
          <w:rFonts w:cs="Arial"/>
          <w:sz w:val="24"/>
          <w:szCs w:val="24"/>
        </w:rPr>
        <w:t xml:space="preserve"> SES </w:t>
      </w:r>
      <w:r>
        <w:rPr>
          <w:rFonts w:cs="Arial"/>
          <w:sz w:val="24"/>
          <w:szCs w:val="24"/>
        </w:rPr>
        <w:t>and other</w:t>
      </w:r>
      <w:r w:rsidR="00C768C2" w:rsidRPr="00D765D3">
        <w:rPr>
          <w:rFonts w:cs="Arial"/>
          <w:sz w:val="24"/>
          <w:szCs w:val="24"/>
        </w:rPr>
        <w:t xml:space="preserve"> eye conditions</w:t>
      </w:r>
      <w:r>
        <w:rPr>
          <w:rFonts w:cs="Arial"/>
          <w:sz w:val="24"/>
          <w:szCs w:val="24"/>
        </w:rPr>
        <w:t>, including glaucoma and diabetic retinopathy</w:t>
      </w:r>
      <w:r w:rsidR="003500D4">
        <w:rPr>
          <w:rFonts w:cs="Arial"/>
          <w:sz w:val="24"/>
          <w:szCs w:val="24"/>
        </w:rPr>
        <w:t xml:space="preserve">, but few have examined the relationship with AMD.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"Bachmann", "given" : "MO", "non-dropping-particle" : "", "parse-names" : false, "suffix" : "" }, { "dropping-particle" : "", "family" : "Eachus", "given" : "J", "non-dropping-particle" : "", "parse-names" : false, "suffix" : "" }, { "dropping-particle" : "", "family" : "Hopper", "given" : "C D", "non-dropping-particle" : "", "parse-names" : false, "suffix" : "" } ], "container-title" : "Diabetic medicine: A Journal of the British Diabetic Association", "id" : "ITEM-1", "issue" : "11", "issued" : { "date-parts" : [ [ "2003" ] ] }, "page" : "921-9", "title" : "Socio-economic inequalities in diabetes complications, control, attitudes and health service use: a cross-sectional study", "type" : "article-journal", "volume" : "20" }, "uris" : [ "http://www.mendeley.com/documents/?uuid=2479b64d-547f-4659-aa0b-12a5a0ee71fd" ] } ], "mendeley" : { "formattedCitation" : "&lt;sup&gt;30&lt;/sup&gt;", "plainTextFormattedCitation" : "30", "previouslyFormattedCitation" : "&lt;sup&gt;29&lt;/sup&gt;"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30</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"Ng", "given" : "WS", "non-dropping-particle" : "", "parse-names" : false, "suffix" : "" }, { "dropping-particle" : "", "family" : "Agarwal", "given" : "PK", "non-dropping-particle" : "", "parse-names" : false, "suffix" : "" }, { "dropping-particle" : "", "family" : "Sidiki", "given" : "S", "non-dropping-particle" : "", "parse-names" : false, "suffix" : "" }, { "dropping-particle" : "", "family" : "McKay", "given" : "L", "non-dropping-particle" : "", "parse-names" : false, "suffix" : "" }, { "dropping-particle" : "", "family" : "Townend", "given" : "J", "non-dropping-particle" : "", "parse-names" : false, "suffix" : "" }, { "dropping-particle" : "", "family" : "Azuara-Blanco", "given" : "A", "non-dropping-particle" : "", "parse-names" : false, "suffix" : "" } ], "container-title" : "The British Journal Of Ophthalmology", "id" : "ITEM-1", "issue" : "1", "issued" : { "date-parts" : [ [ "2010" ] ] }, "page" : "85-7", "title" : "The effect of socio-economic deprivation on severity of glaucoma at presentation", "type" : "article-journal", "volume" : "94" }, "uris" : [ "http://www.mendeley.com/documents/?uuid=6aafd5be-fc48-48a1-a6dc-1c78ab748dde" ] } ], "mendeley" : { "formattedCitation" : "&lt;sup&gt;31&lt;/sup&gt;", "plainTextFormattedCitation" : "31", "previouslyFormattedCitation" : "&lt;sup&gt;30&lt;/sup&gt;"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31</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"Chua", "given" : "PY", "non-dropping-particle" : "", "parse-names" : false, "suffix" : "" }, { "dropping-particle" : "", "family" : "Mustafa", "given" : "MS", "non-dropping-particle" : "", "parse-names" : false, "suffix" : "" }, { "dropping-particle" : "", "family" : "Scott", "given" : "NW", "non-dropping-particle" : "", "parse-names" : false, "suffix" : "" }, { "dropping-particle" : "", "family" : "Kumarasamy", "given" : "M", "non-dropping-particle" : "", "parse-names" : false, "suffix" : "" }, { "dropping-particle" : "", "family" : "Azuara-Blanco", "given" : "A", "non-dropping-particle" : "", "parse-names" : false, "suffix" : "" } ], "container-title" : "European Journal of Ophthalology", "id" : "ITEM-1", "issue" : "6", "issued" : { "date-parts" : [ [ "2013" ] ] }, "page" : "831-5", "title" : "Relationship between socioeconomic deprivation or urban/rural residence and visual acuity before cataract surgery in northern Scotland", "type" : "article-journal", "volume" : "23" }, "uris" : [ "http://www.mendeley.com/documents/?uuid=4e8a62e2-d9bd-461e-8197-820848c2efc1" ] } ], "mendeley" : { "formattedCitation" : "&lt;sup&gt;32&lt;/sup&gt;", "plainTextFormattedCitation" : "32", "previouslyFormattedCitation" : "&lt;sup&gt;31&lt;/sup&gt;"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32</w:t>
      </w:r>
      <w:r w:rsidR="00C768C2" w:rsidRPr="00D765D3">
        <w:rPr>
          <w:rFonts w:cs="Arial"/>
          <w:sz w:val="24"/>
          <w:szCs w:val="24"/>
        </w:rPr>
        <w:fldChar w:fldCharType="end"/>
      </w:r>
      <w:r w:rsidR="00C768C2" w:rsidRPr="00D765D3">
        <w:rPr>
          <w:rFonts w:cs="Arial"/>
          <w:sz w:val="24"/>
          <w:szCs w:val="24"/>
        </w:rPr>
        <w:t xml:space="preserve">. </w:t>
      </w:r>
      <w:r w:rsidR="004A6CE7">
        <w:rPr>
          <w:rFonts w:cs="Arial"/>
          <w:sz w:val="24"/>
          <w:szCs w:val="24"/>
        </w:rPr>
        <w:t>Variation in findings may reflect variation in SES measure used</w:t>
      </w:r>
      <w:r w:rsidR="00567F05">
        <w:rPr>
          <w:rFonts w:cs="Arial"/>
          <w:sz w:val="24"/>
          <w:szCs w:val="24"/>
        </w:rPr>
        <w:t xml:space="preserve"> and study size</w:t>
      </w:r>
      <w:r w:rsidR="004A6CE7">
        <w:rPr>
          <w:rFonts w:cs="Arial"/>
          <w:sz w:val="24"/>
          <w:szCs w:val="24"/>
        </w:rPr>
        <w:t xml:space="preserve">. </w:t>
      </w:r>
      <w:r w:rsidR="001D1F7F">
        <w:rPr>
          <w:rFonts w:cs="Arial"/>
          <w:sz w:val="24"/>
          <w:szCs w:val="24"/>
        </w:rPr>
        <w:t>Some</w:t>
      </w:r>
      <w:r w:rsidR="00C46EE8">
        <w:rPr>
          <w:rFonts w:cs="Arial"/>
          <w:sz w:val="24"/>
          <w:szCs w:val="24"/>
        </w:rPr>
        <w:t>, as with our study,</w:t>
      </w:r>
      <w:r w:rsidR="00C768C2" w:rsidRPr="00D765D3">
        <w:rPr>
          <w:rFonts w:cs="Arial"/>
          <w:sz w:val="24"/>
          <w:szCs w:val="24"/>
        </w:rPr>
        <w:t xml:space="preserve"> </w:t>
      </w:r>
      <w:r w:rsidR="00341B77">
        <w:rPr>
          <w:rFonts w:cs="Arial"/>
          <w:sz w:val="24"/>
          <w:szCs w:val="24"/>
        </w:rPr>
        <w:t xml:space="preserve">used area-based indices that include several weighted domains, such as </w:t>
      </w:r>
      <w:r w:rsidR="00C768C2" w:rsidRPr="00D765D3">
        <w:rPr>
          <w:rFonts w:cs="Arial"/>
          <w:sz w:val="24"/>
          <w:szCs w:val="24"/>
        </w:rPr>
        <w:t>IMD</w:t>
      </w:r>
      <w:r w:rsidR="00341B77">
        <w:rPr>
          <w:rFonts w:cs="Arial"/>
          <w:sz w:val="24"/>
          <w:szCs w:val="24"/>
        </w:rPr>
        <w:t xml:space="preserve"> and</w:t>
      </w:r>
      <w:r w:rsidR="00C768C2" w:rsidRPr="00D765D3">
        <w:rPr>
          <w:rFonts w:cs="Arial"/>
          <w:sz w:val="24"/>
          <w:szCs w:val="24"/>
        </w:rPr>
        <w:t xml:space="preserve"> </w:t>
      </w:r>
      <w:r w:rsidR="00C768C2" w:rsidRPr="00D0223B">
        <w:rPr>
          <w:rFonts w:cs="Arial"/>
          <w:sz w:val="24"/>
          <w:szCs w:val="24"/>
        </w:rPr>
        <w:t>S</w:t>
      </w:r>
      <w:r w:rsidR="00DB7384" w:rsidRPr="00D0223B">
        <w:rPr>
          <w:rFonts w:cs="Arial"/>
          <w:sz w:val="24"/>
          <w:szCs w:val="24"/>
        </w:rPr>
        <w:t>cottish IMD</w:t>
      </w:r>
      <w:r w:rsidR="00C46EE8">
        <w:rPr>
          <w:rFonts w:cs="Arial"/>
          <w:sz w:val="24"/>
          <w:szCs w:val="24"/>
        </w:rPr>
        <w:t>, or estimates of area income.</w:t>
      </w:r>
      <w:r w:rsidR="00341B77">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"ISSN" : "00071161", "author" : [ { "dropping-particle" : "", "family" : "Sharma", "given" : "H E", "non-dropping-particle" : "", "parse-names" : false, "suffix" : "" }, { "dropping-particle" : "", "family" : "Mathewson", "given" : "P A", "non-dropping-particle" : "", "parse-names" : false, "suffix" : "" }, { "dropping-particle" : "", "family" : "Lane", "given" : "M", "non-dropping-particle" : "", "parse-names" : false, "suffix" : "" }, { "dropping-particle" : "", "family" : "Shah", "given" : "P", "non-dropping-particle" : "", "parse-names" : false, "suffix" : "" }, { "dropping-particle" : "", "family" : "Glover", "given" : "N", "non-dropping-particle" : "", "parse-names" : false, "suffix" : "" }, { "dropping-particle" : "", "family" : "Palmer", "given" : "H", "non-dropping-particle" : "", "parse-names" : false, "suffix" : "" }, { "dropping-particle" : "", "family" : "Haque", "given" : "M S", "non-dropping-particle" : "", "parse-names" : false, "suffix" : "" }, { "dropping-particle" : "", "family" : "Denniston", "given" : "A K", "non-dropping-particle" : "", "parse-names" : false, "suffix" : "" }, { "dropping-particle" : "", "family" : "Tsaloumas", "given" : "M D", "non-dropping-particle" : "", "parse-names" : false, "suffix" : "" } ], "container-title" : "BRITISH JOURNAL OF OPHTHALMOLOGY", "id" : "ITEM-1", "issue" : "12", "issued" : { "date-parts" : [ [ "2014" ] ] }, "page" : "1625-1628", "title" : "The role of social deprivation in severe neovascular age-related macular degeneration", "type" : "article-journal", "volume" : "98" }, "uris" : [ "http://www.mendeley.com/documents/?uuid=8fe36f41-64e2-4fe3-96b8-9c9870cf76bf" ] } ], "mendeley" : { "formattedCitation" : "&lt;sup&gt;14&lt;/sup&gt;", "plainTextFormattedCitation" : "14", "previouslyFormattedCitation" : "&lt;sup&gt;14&lt;/sup&gt;" }, "properties" : { "noteIndex" : 0 }, "schema" : "https://github.com/citation-style-language/schema/raw/master/csl-citation.json" }</w:instrText>
      </w:r>
      <w:r w:rsidR="00C768C2" w:rsidRPr="00D765D3">
        <w:rPr>
          <w:rFonts w:cs="Arial"/>
          <w:sz w:val="24"/>
          <w:szCs w:val="24"/>
        </w:rPr>
        <w:fldChar w:fldCharType="separate"/>
      </w:r>
      <w:r w:rsidR="00603A93" w:rsidRPr="00603A93">
        <w:rPr>
          <w:rFonts w:cs="Arial"/>
          <w:noProof/>
          <w:sz w:val="24"/>
          <w:szCs w:val="24"/>
          <w:vertAlign w:val="superscript"/>
        </w:rPr>
        <w:t>14</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"Yip", "given" : "J L", "non-dropping-particle" : "", "parse-names" : false, "suffix" : "" }, { "dropping-particle" : "", "family" : "Khawaja", "given" : "A P", "non-dropping-particle" : "", "parse-names" : false, "suffix" : "" }, { "dropping-particle" : "", "family" : "Chan", "given" : "M P", "non-dropping-particle" : "", "parse-names" : false, "suffix" : "" }, { "dropping-particle" : "", "family" : "Broadway", "given" : "D C", "non-dropping-particle" : "", "parse-names" : false, "suffix" : "" }, { "dropping-particle" : "", "family" : "Peto", "given" : "T", "non-dropping-particle" : "", "parse-names" : false, "suffix" : "" }, { "dropping-particle" : "", "family" : "Luben", "given" : "R", "non-dropping-particle" : "", "parse-names" : false, "suffix" : "" }, { "dropping-particle" : "", "family" : "Hayat", "given" : "S", "non-dropping-particle" : "", "parse-names" : false, "suffix" : "" }, { "dropping-particle" : "", "family" : "Bhaniani", "given" : "A", "non-dropping-particle" : "", "parse-names" : false, "suffix" : "" }, { "dropping-particle" : "", "family" : "Wareham", "given" : "N", "non-dropping-particle" : "", "parse-names" : false, "suffix" : "" }, { "dropping-particle" : "", "family" : "Foster", "given" : "P J", "non-dropping-particle" : "", "parse-names" : false, "suffix" : "" }, { "dropping-particle" : "", "family" : "Khaw", "given" : "K T", "non-dropping-particle" : "", "parse-names" : false, "suffix" : "" } ], "container-title" : "Public Health", "id" : "ITEM-1", "issue" : "2", "issued" : { "date-parts" : [ [ "0" ] ] }, "page" : "103-109", "title" : "Area deprivation and age related macular degeneration in the EPIC-Norfolk Eye Study", "type" : "article-journal", "volume" : "129" }, "uris" : [ "http://www.mendeley.com/documents/?uuid=5d45e26b-735e-407a-80a7-6a0955ccb935" ] } ], "mendeley" : { "formattedCitation" : "&lt;sup&gt;15&lt;/sup&gt;", "plainTextFormattedCitation" : "15", "previouslyFormattedCitation" : "&lt;sup&gt;15&lt;/sup&gt;" }, "properties" : { "noteIndex" : 0 }, "schema" : "https://github.com/citation-style-language/schema/raw/master/csl-citation.json" }</w:instrText>
      </w:r>
      <w:r w:rsidR="00C768C2" w:rsidRPr="00D765D3">
        <w:rPr>
          <w:rFonts w:cs="Arial"/>
          <w:sz w:val="24"/>
          <w:szCs w:val="24"/>
        </w:rPr>
        <w:fldChar w:fldCharType="separate"/>
      </w:r>
      <w:r w:rsidR="00603A93" w:rsidRPr="00603A93">
        <w:rPr>
          <w:rFonts w:cs="Arial"/>
          <w:noProof/>
          <w:sz w:val="24"/>
          <w:szCs w:val="24"/>
          <w:vertAlign w:val="superscript"/>
        </w:rPr>
        <w:t>15</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"DOI" : "10.1136/bjo.2008.147231", "ISSN" : "1468-2079", "author" : [ { "dropping-particle" : "", "family" : "Acharya", "given" : "N", "non-dropping-particle" : "", "parse-names" : false, "suffix" : "" }, { "dropping-particle" : "", "family" : "Lois", "given" : "N", "non-dropping-particle" : "", "parse-names" : false, "suffix" : "" }, { "dropping-particle" : "", "family" : "Townend", "given" : "J", "non-dropping-particle" : "", "parse-names" : false, "suffix" : "" }, { "dropping-particle" : "", "family" : "Zaher", "given" : "S", "non-dropping-particle" : "", "parse-names" : false, "suffix" : "" }, { "dropping-particle" : "", "family" : "Gallagher", "given" : "M", "non-dropping-particle" : "", "parse-names" : false, "suffix" : "" }, { "dropping-particle" : "", "family" : "Gavin", "given" : "M", "non-dropping-particle" : "", "parse-names" : false, "suffix" : "" } ], "container-title" : "The British Journal Of Ophthalmology", "id" : "ITEM-1", "issue" : "5", "issued" : { "date-parts" : [ [ "2009" ] ] }, "page" : "627-629", "title" : "Socio-economic deprivation and visual acuity at presentation in exudative age-related macular degeneration", "type" : "article-journal", "volume" : "93" }, "uris" : [ "http://www.mendeley.com/documents/?uuid=bef2eabf-ed16-414b-bfa1-33d51425a25b" ] } ], "mendeley" : { "formattedCitation" : "&lt;sup&gt;16&lt;/sup&gt;", "plainTextFormattedCitation" : "16", "previouslyFormattedCitation" : "&lt;sup&gt;16&lt;/sup&gt;" }, "properties" : { "noteIndex" : 0 }, "schema" : "https://github.com/citation-style-language/schema/raw/master/csl-citation.json" }</w:instrText>
      </w:r>
      <w:r w:rsidR="00C768C2" w:rsidRPr="00D765D3">
        <w:rPr>
          <w:rFonts w:cs="Arial"/>
          <w:sz w:val="24"/>
          <w:szCs w:val="24"/>
        </w:rPr>
        <w:fldChar w:fldCharType="separate"/>
      </w:r>
      <w:r w:rsidR="00603A93" w:rsidRPr="00603A93">
        <w:rPr>
          <w:rFonts w:cs="Arial"/>
          <w:noProof/>
          <w:sz w:val="24"/>
          <w:szCs w:val="24"/>
          <w:vertAlign w:val="superscript"/>
        </w:rPr>
        <w:t>16</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"Hamano", "given" : "T", "non-dropping-particle" : "", "parse-names" : false, "suffix" : "" }, { "dropping-particle" : "", "family" : "Li", "given" : "X", "non-dropping-particle" : "", "parse-names" : false, "suffix" : "" }, { "dropping-particle" : "", "family" : "Tanito", "given" : "M", "non-dropping-particle" : "", "parse-names" : false, "suffix" : "" }, { "dropping-particle" : "", "family" : "Nabika", "given" : "T", "non-dropping-particle" : "", "parse-names" : false, "suffix" : "" }, { "dropping-particle" : "", "family" : "Shiwaku", "given" : "K", "non-dropping-particle" : "", "parse-names" : false, "suffix" : "" }, { "dropping-particle" : "", "family" : "Sundquist", "given" : "J", "non-dropping-particle" : "", "parse-names" : false, "suffix" : "" }, { "dropping-particle" : "", "family" : "Sundquist", "given" : "K", "non-dropping-particle" : "", "parse-names" : false, "suffix" : "" } ], "container-title" : "Ophthalmic Epidemiology", "id" : "ITEM-1", "issue" : "5", "issued" : { "date-parts" : [ [ "0" ] ] }, "page" : "308-320", "title" : "Neighborhood Deprivation and Risk of Age-Related Eye Diseases: A Follow-up Study in Sweden", "type" : "article-journal", "volume" : "22" }, "uris" : [ "http://www.mendeley.com/documents/?uuid=e0e1fa8f-79d1-4dd4-8665-2a1587b322a7" ] } ], "mendeley" : { "formattedCitation" : "&lt;sup&gt;33&lt;/sup&gt;", "plainTextFormattedCitation" : "33", "previouslyFormattedCitation" : "&lt;sup&gt;32&lt;/sup&gt;"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33</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"Chew", "given" : "H", "non-dropping-particle" : "", "parse-names" : false, "suffix" : "" }, { "dropping-particle" : "", "family" : "Maberley", "given" : "D A", "non-dropping-particle" : "", "parse-names" : false, "suffix" : "" }, { "dropping-particle" : "", "family" : "Ma", "given" : "P", "non-dropping-particle" : "", "parse-names" : false, "suffix" : "" }, { "dropping-particle" : "", "family" : "Chang", "given" : "A", "non-dropping-particle" : "", "parse-names" : false, "suffix" : "" }, { "dropping-particle" : "", "family" : "Maberley", "given" : "A", "non-dropping-particle" : "", "parse-names" : false, "suffix" : "" } ], "container-title" : "Canadian Journal of Ophthalmology", "id" : "ITEM-1", "issue" : "3", "issued" : { "date-parts" : [ [ "0" ] ] }, "page" : "384-388", "title" : "Socioeconomic status and clinical features of patients undergoing photodynamic therapy or transpupillary thermotherapy for subfoveal choroidal neovascularization due to age-related macular degeneration", "type" : "article-journal", "volume" : "40" }, "uris" : [ "http://www.mendeley.com/documents/?uuid=55e2a374-417f-480a-82ee-e0489d001169" ] } ], "mendeley" : { "formattedCitation" : "&lt;sup&gt;34&lt;/sup&gt;", "plainTextFormattedCitation" : "34", "previouslyFormattedCitation" : "&lt;sup&gt;33&lt;/sup&gt;"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34</w:t>
      </w:r>
      <w:r w:rsidR="00C768C2" w:rsidRPr="00D765D3">
        <w:rPr>
          <w:rFonts w:cs="Arial"/>
          <w:sz w:val="24"/>
          <w:szCs w:val="24"/>
        </w:rPr>
        <w:fldChar w:fldCharType="end"/>
      </w:r>
      <w:r w:rsidR="00C768C2" w:rsidRPr="00D765D3">
        <w:rPr>
          <w:rFonts w:cs="Arial"/>
          <w:sz w:val="24"/>
          <w:szCs w:val="24"/>
        </w:rPr>
        <w:t xml:space="preserve"> </w:t>
      </w:r>
      <w:r w:rsidR="00C46EE8">
        <w:rPr>
          <w:rFonts w:cs="Arial"/>
          <w:sz w:val="24"/>
          <w:szCs w:val="24"/>
        </w:rPr>
        <w:t>O</w:t>
      </w:r>
      <w:r w:rsidR="00C46EE8" w:rsidRPr="00D765D3">
        <w:rPr>
          <w:rFonts w:cs="Arial"/>
          <w:sz w:val="24"/>
          <w:szCs w:val="24"/>
        </w:rPr>
        <w:t xml:space="preserve">thers used </w:t>
      </w:r>
      <w:r w:rsidR="00C46EE8">
        <w:rPr>
          <w:rFonts w:cs="Arial"/>
          <w:sz w:val="24"/>
          <w:szCs w:val="24"/>
        </w:rPr>
        <w:t>individual SES measures such as</w:t>
      </w:r>
      <w:r w:rsidR="00C46EE8" w:rsidRPr="00D765D3">
        <w:rPr>
          <w:rFonts w:cs="Arial"/>
          <w:sz w:val="24"/>
          <w:szCs w:val="24"/>
        </w:rPr>
        <w:t xml:space="preserve"> education, </w:t>
      </w:r>
      <w:r w:rsidR="00C46EE8">
        <w:rPr>
          <w:rFonts w:cs="Arial"/>
          <w:sz w:val="24"/>
          <w:szCs w:val="24"/>
        </w:rPr>
        <w:t xml:space="preserve">income and </w:t>
      </w:r>
      <w:r w:rsidR="00C46EE8" w:rsidRPr="00D765D3">
        <w:rPr>
          <w:rFonts w:cs="Arial"/>
          <w:sz w:val="24"/>
          <w:szCs w:val="24"/>
        </w:rPr>
        <w:t>occupation</w:t>
      </w:r>
      <w:r w:rsidR="00C46EE8">
        <w:rPr>
          <w:rFonts w:cs="Arial"/>
          <w:sz w:val="24"/>
          <w:szCs w:val="24"/>
        </w:rPr>
        <w:t>.</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"Klein", "given" : "R", "non-dropping-particle" : "", "parse-names" : false, "suffix" : "" }, { "dropping-particle" : "", "family" : "Klein", "given" : "B E", "non-dropping-particle" : "", "parse-names" : false, "suffix" : "" }, { "dropping-particle" : "", "family" : "Jensen", "given" : "S C", "non-dropping-particle" : "", "parse-names" : false, "suffix" : "" }, { "dropping-particle" : "", "family" : "Moss", "given" : "S E", "non-dropping-particle" : "", "parse-names" : false, "suffix" : "" } ], "container-title" : "American Journal of Ophthalmology", "id" : "ITEM-1", "issue" : "1", "issued" : { "date-parts" : [ [ "0" ] ] }, "page" : "128-131", "title" : "The relation of socioeconomic factors to the incidence of early age-related maculopathy: the Beaver Dam eye study", "type" : "article-journal", "volume" : "132" }, "uris" : [ "http://www.mendeley.com/documents/?uuid=79144fd1-1dcd-481c-8237-e61e7303f25c" ] } ], "mendeley" : { "formattedCitation" : "&lt;sup&gt;35&lt;/sup&gt;", "plainTextFormattedCitation" : "35", "previouslyFormattedCitation" : "&lt;sup&gt;34&lt;/sup&gt;"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35</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"Park", "given" : "S J", "non-dropping-particle" : "", "parse-names" : false, "suffix" : "" }, { "dropping-particle" : "", "family" : "Lee", "given" : "J H", "non-dropping-particle" : "", "parse-names" : false, "suffix" : "" }, { "dropping-particle" : "", "family" : "Woo", "given" : "S J", "non-dropping-particle" : "", "parse-names" : false, "suffix" : "" }, { "dropping-particle" : "", "family" : "Ahn", "given" : "J", "non-dropping-particle" : "", "parse-names" : false, "suffix" : "" }, { "dropping-particle" : "", "family" : "Shin", "given" : "J P", "non-dropping-particle" : "", "parse-names" : false, "suffix" : "" }, { "dropping-particle" : "", "family" : "Song", "given" : "S J", "non-dropping-particle" : "", "parse-names" : false, "suffix" : "" }, { "dropping-particle" : "", "family" : "Kang", "given" : "S W", "non-dropping-particle" : "", "parse-names" : false, "suffix" : "" }, { "dropping-particle" : "", "family" : "Park", "given" : "K H", "non-dropping-particle" : "", "parse-names" : false, "suffix" : "" }, { "dropping-particle" : "", "family" : "of the Korean Ophthalmologic", "given" : "Society", "non-dropping-particle" : "", "parse-names" : false, "suffix" : "" } ], "container-title" : "Ophthalmology", "id" : "ITEM-1", "issue" : "9", "issued" : { "date-parts" : [ [ "0" ] ] }, "page" : "1756-1765", "title" : "Age-related macular degeneration: prevalence and risk factors from Korean National Health and Nutrition Examination Survey, 2008 through 2011", "type" : "article-journal", "volume" : "121" }, "uris" : [ "http://www.mendeley.com/documents/?uuid=1c6768df-e4fd-48dc-9c56-1c065d2b9632" ] } ], "mendeley" : { "formattedCitation" : "&lt;sup&gt;36&lt;/sup&gt;", "plainTextFormattedCitation" : "36", "previouslyFormattedCitation" : "&lt;sup&gt;35&lt;/sup&gt;"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36</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"DOI" : "10.1136/bjo.2007.136077", "ISSN" : "1468-2079", "author" : [ { "dropping-particle" : "", "family" : "Cackett", "given" : "P", "non-dropping-particle" : "", "parse-names" : false, "suffix" : "" }, { "dropping-particle" : "", "family" : "Tay", "given" : "W T", "non-dropping-particle" : "", "parse-names" : false, "suffix" : "" }, { "dropping-particle" : "", "family" : "Aung", "given" : "T", "non-dropping-particle" : "", "parse-names" : false, "suffix" : "" }, { "dropping-particle" : "", "family" : "Wang", "given" : "J J", "non-dropping-particle" : "", "parse-names" : false, "suffix" : "" }, { "dropping-particle" : "", "family" : "Shankar", "given" : "A", "non-dropping-particle" : "", "parse-names" : false, "suffix" : "" }, { "dropping-particle" : "", "family" : "Saw", "given" : "S M", "non-dropping-particle" : "", "parse-names" : false, "suffix" : "" }, { "dropping-particle" : "", "family" : "Mitchell", "given" : "P", "non-dropping-particle" : "", "parse-names" : false, "suffix" : "" }, { "dropping-particle" : "", "family" : "Wong", "given" : "T Y", "non-dropping-particle" : "", "parse-names" : false, "suffix" : "" } ], "container-title" : "The British Journal Of Ophthalmology", "id" : "ITEM-1", "issue" : "10", "issued" : { "date-parts" : [ [ "2008" ] ] }, "page" : "1312-1315", "title" : "Education, socio-economic status and age-related macular degeneration in Asians: the Singapore Malay Eye Study", "type" : "article-journal", "volume" : "92" }, "uris" : [ "http://www.mendeley.com/documents/?uuid=1341940d-a5b6-405f-b890-62580038923f" ] } ], "mendeley" : { "formattedCitation" : "&lt;sup&gt;37&lt;/sup&gt;", "plainTextFormattedCitation" : "37", "previouslyFormattedCitation" : "&lt;sup&gt;36&lt;/sup&gt;"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37</w:t>
      </w:r>
      <w:r w:rsidR="00C768C2" w:rsidRPr="00D765D3">
        <w:rPr>
          <w:rFonts w:cs="Arial"/>
          <w:sz w:val="24"/>
          <w:szCs w:val="24"/>
        </w:rPr>
        <w:fldChar w:fldCharType="end"/>
      </w:r>
      <w:r w:rsidR="00C768C2" w:rsidRPr="00D765D3">
        <w:rPr>
          <w:rFonts w:cs="Arial"/>
          <w:sz w:val="24"/>
          <w:szCs w:val="24"/>
        </w:rPr>
        <w:t xml:space="preserve">. </w:t>
      </w:r>
      <w:r w:rsidR="001D1F7F">
        <w:rPr>
          <w:rFonts w:cs="Arial"/>
          <w:sz w:val="24"/>
          <w:szCs w:val="24"/>
        </w:rPr>
        <w:t>Our</w:t>
      </w:r>
      <w:r w:rsidR="001D1F7F" w:rsidRPr="00D765D3">
        <w:rPr>
          <w:rFonts w:cs="Arial"/>
          <w:sz w:val="24"/>
          <w:szCs w:val="24"/>
        </w:rPr>
        <w:t xml:space="preserve"> </w:t>
      </w:r>
      <w:r w:rsidR="00C768C2" w:rsidRPr="00D765D3">
        <w:rPr>
          <w:rFonts w:cs="Arial"/>
          <w:sz w:val="24"/>
          <w:szCs w:val="24"/>
        </w:rPr>
        <w:t xml:space="preserve">results are consistent with </w:t>
      </w:r>
      <w:r w:rsidR="00400C15">
        <w:rPr>
          <w:rFonts w:cs="Arial"/>
          <w:sz w:val="24"/>
          <w:szCs w:val="24"/>
        </w:rPr>
        <w:t xml:space="preserve">many of </w:t>
      </w:r>
      <w:r w:rsidR="00C768C2" w:rsidRPr="00D765D3">
        <w:rPr>
          <w:rFonts w:cs="Arial"/>
          <w:sz w:val="24"/>
          <w:szCs w:val="24"/>
        </w:rPr>
        <w:t>th</w:t>
      </w:r>
      <w:r w:rsidR="0024554C">
        <w:rPr>
          <w:rFonts w:cs="Arial"/>
          <w:sz w:val="24"/>
          <w:szCs w:val="24"/>
        </w:rPr>
        <w:t>e</w:t>
      </w:r>
      <w:r w:rsidR="00C768C2" w:rsidRPr="00D765D3">
        <w:rPr>
          <w:rFonts w:cs="Arial"/>
          <w:sz w:val="24"/>
          <w:szCs w:val="24"/>
        </w:rPr>
        <w:t>se studies</w:t>
      </w:r>
      <w:r w:rsidR="0024554C">
        <w:rPr>
          <w:rFonts w:cs="Arial"/>
          <w:sz w:val="24"/>
          <w:szCs w:val="24"/>
        </w:rPr>
        <w:t>:</w:t>
      </w:r>
      <w:r w:rsidR="00C768C2" w:rsidRPr="00D765D3">
        <w:rPr>
          <w:rFonts w:cs="Arial"/>
          <w:sz w:val="24"/>
          <w:szCs w:val="24"/>
        </w:rPr>
        <w:t xml:space="preserve"> showing most deprived patients presented with severe </w:t>
      </w:r>
      <w:r w:rsidR="00F057ED">
        <w:rPr>
          <w:rFonts w:cs="Arial"/>
          <w:sz w:val="24"/>
          <w:szCs w:val="24"/>
        </w:rPr>
        <w:t>VA</w:t>
      </w:r>
      <w:r w:rsidR="00C768C2" w:rsidRPr="00D765D3">
        <w:rPr>
          <w:rFonts w:cs="Arial"/>
          <w:sz w:val="24"/>
          <w:szCs w:val="24"/>
        </w:rPr>
        <w:t xml:space="preserve"> at baseline, as compared to less deprived patients. </w:t>
      </w:r>
      <w:r w:rsidR="00400C15">
        <w:rPr>
          <w:rFonts w:cs="Arial"/>
          <w:sz w:val="24"/>
          <w:szCs w:val="24"/>
        </w:rPr>
        <w:t xml:space="preserve">One Scottish study did not demonstrate association between </w:t>
      </w:r>
      <w:r w:rsidR="00567F05">
        <w:rPr>
          <w:rFonts w:cs="Arial"/>
          <w:sz w:val="24"/>
          <w:szCs w:val="24"/>
        </w:rPr>
        <w:t xml:space="preserve">higher </w:t>
      </w:r>
      <w:r w:rsidR="00400C15">
        <w:rPr>
          <w:rFonts w:cs="Arial"/>
          <w:sz w:val="24"/>
          <w:szCs w:val="24"/>
        </w:rPr>
        <w:t xml:space="preserve">area deprivation and </w:t>
      </w:r>
      <w:r w:rsidR="00567F05">
        <w:rPr>
          <w:rFonts w:cs="Arial"/>
          <w:sz w:val="24"/>
          <w:szCs w:val="24"/>
        </w:rPr>
        <w:t>poor visual acuity, though numbers were small</w:t>
      </w:r>
      <w:r w:rsidR="00802D5C">
        <w:rPr>
          <w:rFonts w:cs="Arial"/>
          <w:sz w:val="24"/>
          <w:szCs w:val="24"/>
        </w:rPr>
        <w:t xml:space="preserve"> (n=240)</w:t>
      </w:r>
      <w:r w:rsidR="00567F05">
        <w:rPr>
          <w:rFonts w:cs="Arial"/>
          <w:sz w:val="24"/>
          <w:szCs w:val="24"/>
        </w:rPr>
        <w:t>.</w:t>
      </w:r>
      <w:r w:rsidR="00567F05" w:rsidRPr="00620B41">
        <w:rPr>
          <w:rFonts w:cs="Arial"/>
          <w:sz w:val="24"/>
          <w:szCs w:val="24"/>
          <w:vertAlign w:val="superscript"/>
        </w:rPr>
        <w:t>17</w:t>
      </w:r>
      <w:r w:rsidR="00567F05">
        <w:rPr>
          <w:rFonts w:cs="Arial"/>
          <w:sz w:val="24"/>
          <w:szCs w:val="24"/>
        </w:rPr>
        <w:t xml:space="preserve"> </w:t>
      </w:r>
      <w:r w:rsidR="00CC0FE5">
        <w:rPr>
          <w:rFonts w:cs="Arial"/>
          <w:sz w:val="24"/>
          <w:szCs w:val="24"/>
        </w:rPr>
        <w:t>In our study</w:t>
      </w:r>
      <w:r w:rsidR="00C768C2" w:rsidRPr="00D765D3">
        <w:rPr>
          <w:rFonts w:cs="Arial"/>
          <w:sz w:val="24"/>
          <w:szCs w:val="24"/>
        </w:rPr>
        <w:t xml:space="preserve">, median </w:t>
      </w:r>
      <w:r w:rsidR="00E44B9F">
        <w:rPr>
          <w:rFonts w:cs="Arial"/>
          <w:sz w:val="24"/>
          <w:szCs w:val="24"/>
        </w:rPr>
        <w:t>B</w:t>
      </w:r>
      <w:r w:rsidR="00F057ED">
        <w:rPr>
          <w:rFonts w:cs="Arial"/>
          <w:sz w:val="24"/>
          <w:szCs w:val="24"/>
        </w:rPr>
        <w:t>VA</w:t>
      </w:r>
      <w:r w:rsidR="00C768C2" w:rsidRPr="00D765D3">
        <w:rPr>
          <w:rFonts w:cs="Arial"/>
          <w:sz w:val="24"/>
          <w:szCs w:val="24"/>
        </w:rPr>
        <w:t xml:space="preserve">, when measured as </w:t>
      </w:r>
      <w:r w:rsidR="0024554C">
        <w:rPr>
          <w:rFonts w:cs="Arial"/>
          <w:sz w:val="24"/>
          <w:szCs w:val="24"/>
        </w:rPr>
        <w:t xml:space="preserve">the </w:t>
      </w:r>
      <w:r w:rsidR="00C768C2" w:rsidRPr="00D765D3">
        <w:rPr>
          <w:rFonts w:cs="Arial"/>
          <w:sz w:val="24"/>
          <w:szCs w:val="24"/>
        </w:rPr>
        <w:t>number of letters read on</w:t>
      </w:r>
      <w:r w:rsidR="007D57BA">
        <w:rPr>
          <w:rFonts w:cs="Arial"/>
          <w:sz w:val="24"/>
          <w:szCs w:val="24"/>
        </w:rPr>
        <w:t xml:space="preserve"> ETDRS</w:t>
      </w:r>
      <w:r w:rsidR="00C768C2" w:rsidRPr="00D765D3">
        <w:rPr>
          <w:rFonts w:cs="Arial"/>
          <w:sz w:val="24"/>
          <w:szCs w:val="24"/>
        </w:rPr>
        <w:t xml:space="preserve"> </w:t>
      </w:r>
      <w:r w:rsidR="001D1F7F">
        <w:rPr>
          <w:rFonts w:cs="Arial"/>
          <w:sz w:val="24"/>
          <w:szCs w:val="24"/>
        </w:rPr>
        <w:t>c</w:t>
      </w:r>
      <w:r w:rsidR="00C768C2" w:rsidRPr="00D765D3">
        <w:rPr>
          <w:rFonts w:cs="Arial"/>
          <w:sz w:val="24"/>
          <w:szCs w:val="24"/>
        </w:rPr>
        <w:t>hart, d</w:t>
      </w:r>
      <w:r w:rsidR="006156F1">
        <w:rPr>
          <w:rFonts w:cs="Arial"/>
          <w:sz w:val="24"/>
          <w:szCs w:val="24"/>
        </w:rPr>
        <w:t>idn’t</w:t>
      </w:r>
      <w:r w:rsidR="00C768C2" w:rsidRPr="00D765D3">
        <w:rPr>
          <w:rFonts w:cs="Arial"/>
          <w:sz w:val="24"/>
          <w:szCs w:val="24"/>
        </w:rPr>
        <w:t xml:space="preserve"> show</w:t>
      </w:r>
      <w:r w:rsidR="00FD3615">
        <w:rPr>
          <w:rFonts w:cs="Arial"/>
          <w:sz w:val="24"/>
          <w:szCs w:val="24"/>
        </w:rPr>
        <w:t xml:space="preserve"> a</w:t>
      </w:r>
      <w:r w:rsidR="00C768C2" w:rsidRPr="00D765D3">
        <w:rPr>
          <w:rFonts w:cs="Arial"/>
          <w:sz w:val="24"/>
          <w:szCs w:val="24"/>
        </w:rPr>
        <w:t xml:space="preserve"> significant difference across the </w:t>
      </w:r>
      <w:r w:rsidR="00DB7384">
        <w:rPr>
          <w:rFonts w:cs="Arial"/>
          <w:sz w:val="24"/>
          <w:szCs w:val="24"/>
        </w:rPr>
        <w:t>q</w:t>
      </w:r>
      <w:r w:rsidR="00C768C2" w:rsidRPr="00D765D3">
        <w:rPr>
          <w:rFonts w:cs="Arial"/>
          <w:sz w:val="24"/>
          <w:szCs w:val="24"/>
        </w:rPr>
        <w:t>uintiles of deprivation</w:t>
      </w:r>
      <w:r w:rsidR="0024554C">
        <w:rPr>
          <w:rFonts w:cs="Arial"/>
          <w:sz w:val="24"/>
          <w:szCs w:val="24"/>
        </w:rPr>
        <w:t>.</w:t>
      </w:r>
      <w:r w:rsidR="00C768C2" w:rsidRPr="00D765D3">
        <w:rPr>
          <w:rFonts w:cs="Arial"/>
          <w:sz w:val="24"/>
          <w:szCs w:val="24"/>
        </w:rPr>
        <w:t xml:space="preserve"> </w:t>
      </w:r>
      <w:r w:rsidR="00555A31">
        <w:rPr>
          <w:rFonts w:cs="Arial"/>
          <w:sz w:val="24"/>
          <w:szCs w:val="24"/>
        </w:rPr>
        <w:t>I</w:t>
      </w:r>
      <w:r w:rsidR="00C768C2" w:rsidRPr="00D765D3">
        <w:rPr>
          <w:rFonts w:cs="Arial"/>
          <w:sz w:val="24"/>
          <w:szCs w:val="24"/>
        </w:rPr>
        <w:t>nsufficient number</w:t>
      </w:r>
      <w:r w:rsidR="00555A31">
        <w:rPr>
          <w:rFonts w:cs="Arial"/>
          <w:sz w:val="24"/>
          <w:szCs w:val="24"/>
        </w:rPr>
        <w:t>s</w:t>
      </w:r>
      <w:r w:rsidR="00C768C2" w:rsidRPr="00D765D3">
        <w:rPr>
          <w:rFonts w:cs="Arial"/>
          <w:sz w:val="24"/>
          <w:szCs w:val="24"/>
        </w:rPr>
        <w:t xml:space="preserve"> of participants from</w:t>
      </w:r>
      <w:r w:rsidR="0024554C">
        <w:rPr>
          <w:rFonts w:cs="Arial"/>
          <w:sz w:val="24"/>
          <w:szCs w:val="24"/>
        </w:rPr>
        <w:t xml:space="preserve"> the</w:t>
      </w:r>
      <w:r w:rsidR="00C768C2" w:rsidRPr="00D765D3">
        <w:rPr>
          <w:rFonts w:cs="Arial"/>
          <w:sz w:val="24"/>
          <w:szCs w:val="24"/>
        </w:rPr>
        <w:t xml:space="preserve"> most deprived areas</w:t>
      </w:r>
      <w:r w:rsidR="00555A31">
        <w:rPr>
          <w:rFonts w:cs="Arial"/>
          <w:sz w:val="24"/>
          <w:szCs w:val="24"/>
        </w:rPr>
        <w:t xml:space="preserve"> may mean that</w:t>
      </w:r>
      <w:r w:rsidR="00C768C2" w:rsidRPr="00D765D3">
        <w:rPr>
          <w:rFonts w:cs="Arial"/>
          <w:sz w:val="24"/>
          <w:szCs w:val="24"/>
        </w:rPr>
        <w:t xml:space="preserve"> </w:t>
      </w:r>
      <w:r w:rsidR="00555A31">
        <w:rPr>
          <w:rFonts w:cs="Arial"/>
          <w:sz w:val="24"/>
          <w:szCs w:val="24"/>
        </w:rPr>
        <w:t>o</w:t>
      </w:r>
      <w:r w:rsidR="00CC0FE5">
        <w:rPr>
          <w:rFonts w:cs="Arial"/>
          <w:sz w:val="24"/>
          <w:szCs w:val="24"/>
        </w:rPr>
        <w:t>ur</w:t>
      </w:r>
      <w:r w:rsidR="00C768C2" w:rsidRPr="00D765D3">
        <w:rPr>
          <w:rFonts w:cs="Arial"/>
          <w:sz w:val="24"/>
          <w:szCs w:val="24"/>
        </w:rPr>
        <w:t xml:space="preserve"> study </w:t>
      </w:r>
      <w:r w:rsidR="00555A31">
        <w:rPr>
          <w:rFonts w:cs="Arial"/>
          <w:sz w:val="24"/>
          <w:szCs w:val="24"/>
        </w:rPr>
        <w:t>was</w:t>
      </w:r>
      <w:r w:rsidR="00C768C2" w:rsidRPr="00D765D3">
        <w:rPr>
          <w:rFonts w:cs="Arial"/>
          <w:sz w:val="24"/>
          <w:szCs w:val="24"/>
        </w:rPr>
        <w:t xml:space="preserve"> underpowered to detect such a difference. </w:t>
      </w:r>
    </w:p>
    <w:p w14:paraId="33781FE5" w14:textId="4DF33E1A" w:rsidR="00C768C2" w:rsidRPr="00D765D3" w:rsidRDefault="003E18DC" w:rsidP="00D34244">
      <w:pPr>
        <w:spacing w:line="480" w:lineRule="auto"/>
        <w:rPr>
          <w:rFonts w:cs="Arial"/>
          <w:sz w:val="24"/>
          <w:szCs w:val="24"/>
        </w:rPr>
      </w:pPr>
      <w:r>
        <w:rPr>
          <w:rFonts w:cs="Arial"/>
          <w:sz w:val="24"/>
          <w:szCs w:val="24"/>
        </w:rPr>
        <w:lastRenderedPageBreak/>
        <w:t>T</w:t>
      </w:r>
      <w:r w:rsidR="00C768C2" w:rsidRPr="00D765D3">
        <w:rPr>
          <w:rFonts w:cs="Arial"/>
          <w:sz w:val="24"/>
          <w:szCs w:val="24"/>
        </w:rPr>
        <w:t xml:space="preserve">he positive association between AMD </w:t>
      </w:r>
      <w:r>
        <w:rPr>
          <w:rFonts w:cs="Arial"/>
          <w:sz w:val="24"/>
          <w:szCs w:val="24"/>
        </w:rPr>
        <w:t xml:space="preserve">severity </w:t>
      </w:r>
      <w:r w:rsidR="00C768C2" w:rsidRPr="00D765D3">
        <w:rPr>
          <w:rFonts w:cs="Arial"/>
          <w:sz w:val="24"/>
          <w:szCs w:val="24"/>
        </w:rPr>
        <w:t>and SES may</w:t>
      </w:r>
      <w:r w:rsidR="0024554C">
        <w:rPr>
          <w:rFonts w:cs="Arial"/>
          <w:sz w:val="24"/>
          <w:szCs w:val="24"/>
        </w:rPr>
        <w:t xml:space="preserve"> </w:t>
      </w:r>
      <w:r>
        <w:rPr>
          <w:rFonts w:cs="Arial"/>
          <w:sz w:val="24"/>
          <w:szCs w:val="24"/>
        </w:rPr>
        <w:t>relate to</w:t>
      </w:r>
      <w:r w:rsidR="0024554C">
        <w:rPr>
          <w:rFonts w:cs="Arial"/>
          <w:sz w:val="24"/>
          <w:szCs w:val="24"/>
        </w:rPr>
        <w:t xml:space="preserve"> </w:t>
      </w:r>
      <w:r w:rsidR="00C768C2" w:rsidRPr="00D765D3">
        <w:rPr>
          <w:rFonts w:cs="Arial"/>
          <w:sz w:val="24"/>
          <w:szCs w:val="24"/>
        </w:rPr>
        <w:t xml:space="preserve">higher prevalence of adverse lifestyle factors in more deprived groups. </w:t>
      </w:r>
      <w:r>
        <w:rPr>
          <w:rFonts w:cs="Arial"/>
          <w:sz w:val="24"/>
          <w:szCs w:val="24"/>
        </w:rPr>
        <w:t>For example, s</w:t>
      </w:r>
      <w:r w:rsidR="00C768C2" w:rsidRPr="00D765D3">
        <w:rPr>
          <w:rFonts w:cs="Arial"/>
          <w:sz w:val="24"/>
          <w:szCs w:val="24"/>
        </w:rPr>
        <w:t>moking</w:t>
      </w:r>
      <w:r>
        <w:rPr>
          <w:rFonts w:cs="Arial"/>
          <w:sz w:val="24"/>
          <w:szCs w:val="24"/>
        </w:rPr>
        <w:t xml:space="preserve"> is known to be more prevalent in lower SES groups and</w:t>
      </w:r>
      <w:r w:rsidR="00C768C2" w:rsidRPr="00D765D3">
        <w:rPr>
          <w:rFonts w:cs="Arial"/>
          <w:sz w:val="24"/>
          <w:szCs w:val="24"/>
        </w:rPr>
        <w:t xml:space="preserve"> </w:t>
      </w:r>
      <w:r>
        <w:rPr>
          <w:rFonts w:cs="Arial"/>
          <w:sz w:val="24"/>
          <w:szCs w:val="24"/>
        </w:rPr>
        <w:t>may</w:t>
      </w:r>
      <w:r w:rsidR="00C768C2" w:rsidRPr="00D765D3">
        <w:rPr>
          <w:rFonts w:cs="Arial"/>
          <w:sz w:val="24"/>
          <w:szCs w:val="24"/>
        </w:rPr>
        <w:t xml:space="preserve"> have mediated the </w:t>
      </w:r>
      <w:r>
        <w:rPr>
          <w:rFonts w:cs="Arial"/>
          <w:sz w:val="24"/>
          <w:szCs w:val="24"/>
        </w:rPr>
        <w:t>relationship between</w:t>
      </w:r>
      <w:r w:rsidRPr="00D765D3">
        <w:rPr>
          <w:rFonts w:cs="Arial"/>
          <w:sz w:val="24"/>
          <w:szCs w:val="24"/>
        </w:rPr>
        <w:t xml:space="preserve"> </w:t>
      </w:r>
      <w:r w:rsidR="00C768C2" w:rsidRPr="00D765D3">
        <w:rPr>
          <w:rFonts w:cs="Arial"/>
          <w:sz w:val="24"/>
          <w:szCs w:val="24"/>
        </w:rPr>
        <w:t xml:space="preserve">SES </w:t>
      </w:r>
      <w:r>
        <w:rPr>
          <w:rFonts w:cs="Arial"/>
          <w:sz w:val="24"/>
          <w:szCs w:val="24"/>
        </w:rPr>
        <w:t>and</w:t>
      </w:r>
      <w:r w:rsidR="00C768C2" w:rsidRPr="00D765D3">
        <w:rPr>
          <w:rFonts w:cs="Arial"/>
          <w:sz w:val="24"/>
          <w:szCs w:val="24"/>
        </w:rPr>
        <w:t xml:space="preserve"> AMD</w:t>
      </w:r>
      <w:r>
        <w:rPr>
          <w:rFonts w:cs="Arial"/>
          <w:sz w:val="24"/>
          <w:szCs w:val="24"/>
        </w:rPr>
        <w:t>. Unfortunately</w:t>
      </w:r>
      <w:r w:rsidR="00C768C2" w:rsidRPr="00D765D3">
        <w:rPr>
          <w:rFonts w:cs="Arial"/>
          <w:sz w:val="24"/>
          <w:szCs w:val="24"/>
        </w:rPr>
        <w:t xml:space="preserve"> </w:t>
      </w:r>
      <w:r>
        <w:rPr>
          <w:rFonts w:cs="Arial"/>
          <w:sz w:val="24"/>
          <w:szCs w:val="24"/>
        </w:rPr>
        <w:t xml:space="preserve">we were unable to assess this </w:t>
      </w:r>
      <w:r w:rsidR="00C768C2" w:rsidRPr="00D765D3">
        <w:rPr>
          <w:rFonts w:cs="Arial"/>
          <w:sz w:val="24"/>
          <w:szCs w:val="24"/>
        </w:rPr>
        <w:t>due to  missing smoking data</w:t>
      </w:r>
      <w:r w:rsidR="00C768C2" w:rsidRPr="00D765D3">
        <w:rPr>
          <w:rFonts w:cs="Arial"/>
          <w:sz w:val="24"/>
          <w:szCs w:val="24"/>
        </w:rPr>
        <w:fldChar w:fldCharType="begin" w:fldLock="1"/>
      </w:r>
      <w:r w:rsidR="00C768C2" w:rsidRPr="00D765D3">
        <w:rPr>
          <w:rFonts w:cs="Arial"/>
          <w:sz w:val="24"/>
          <w:szCs w:val="24"/>
        </w:rPr>
        <w:instrText>ADDIN CSL_CITATION { "citationItems" : [ { "id" : "ITEM-1", "itemData" : { "DOI" : "10.1186/1471-2415-10-31", "ISSN" : "1471-2415", "author" : [ { "dropping-particle" : "", "family" : "Chakravarthy", "given" : "U", "non-dropping-particle" : "", "parse-names" : false, "suffix" : "" }, { "dropping-particle" : "", "family" : "Wong", "given" : "T Y", "non-dropping-particle" : "", "parse-names" : false, "suffix" : "" }, { "dropping-particle" : "", "family" : "Fletcher", "given" : "A", "non-dropping-particle" : "", "parse-names" : false, "suffix" : "" }, { "dropping-particle" : "", "family" : "Piault", "given" : "E", "non-dropping-particle" : "", "parse-names" : false, "suffix" : "" }, { "dropping-particle" : "", "family" : "Evans", "given" : "C", "non-dropping-particle" : "", "parse-names" : false, "suffix" : "" }, { "dropping-particle" : "", "family" : "Zlateva", "given" : "G", "non-dropping-particle" : "", "parse-names" : false, "suffix" : "" }, { "dropping-particle" : "", "family" : "Buggage", "given" : "R", "non-dropping-particle" : "", "parse-names" : false, "suffix" : "" }, { "dropping-particle" : "", "family" : "Pleil", "given" : "A", "non-dropping-particle" : "", "parse-names" : false, "suffix" : "" }, { "dropping-particle" : "", "family" : "Mitchell", "given" : "P", "non-dropping-particle" : "", "parse-names" : false, "suffix" : "" } ], "container-title" : "BMC Ophthalmol", "id" : "ITEM-1", "issued" : { "date-parts" : [ [ "2010" ] ] }, "page" : "31", "title" : "Clinical risk factors for age-related macular degeneration: a systematic review and meta-analysis", "type" : "article-journal", "volume" : "10" }, "uris" : [ "http://www.mendeley.com/documents/?uuid=f316921e-f522-4bba-a795-85ae0d4d6956" ] } ], "mendeley" : { "formattedCitation" : "&lt;sup&gt;3&lt;/sup&gt;", "plainTextFormattedCitation" : "3", "previouslyFormattedCitation" : "&lt;sup&gt;3&lt;/sup&gt;" }, "properties" : { "noteIndex" : 0 }, "schema" : "https://github.com/citation-style-language/schema/raw/master/csl-citation.json" }</w:instrText>
      </w:r>
      <w:r w:rsidR="00C768C2" w:rsidRPr="00D765D3">
        <w:rPr>
          <w:rFonts w:cs="Arial"/>
          <w:sz w:val="24"/>
          <w:szCs w:val="24"/>
        </w:rPr>
        <w:fldChar w:fldCharType="separate"/>
      </w:r>
      <w:r w:rsidR="00C768C2" w:rsidRPr="00D765D3">
        <w:rPr>
          <w:rFonts w:cs="Arial"/>
          <w:noProof/>
          <w:sz w:val="24"/>
          <w:szCs w:val="24"/>
          <w:vertAlign w:val="superscript"/>
        </w:rPr>
        <w:t>3</w:t>
      </w:r>
      <w:r w:rsidR="00C768C2" w:rsidRPr="00D765D3">
        <w:rPr>
          <w:rFonts w:cs="Arial"/>
          <w:sz w:val="24"/>
          <w:szCs w:val="24"/>
        </w:rPr>
        <w:fldChar w:fldCharType="end"/>
      </w:r>
      <w:r w:rsidR="00C768C2" w:rsidRPr="00D765D3">
        <w:rPr>
          <w:rFonts w:cs="Arial"/>
          <w:sz w:val="24"/>
          <w:szCs w:val="24"/>
        </w:rPr>
        <w:t xml:space="preserve">. Poor diet </w:t>
      </w:r>
      <w:r w:rsidR="0004013F">
        <w:rPr>
          <w:rFonts w:cs="Arial"/>
          <w:sz w:val="24"/>
          <w:szCs w:val="24"/>
        </w:rPr>
        <w:t>leading</w:t>
      </w:r>
      <w:r w:rsidR="00C768C2" w:rsidRPr="00D765D3">
        <w:rPr>
          <w:rFonts w:cs="Arial"/>
          <w:sz w:val="24"/>
          <w:szCs w:val="24"/>
        </w:rPr>
        <w:t xml:space="preserve"> to lower levels of serum carotenoids and lutein zeaxanthin</w:t>
      </w:r>
      <w:r w:rsidR="0024554C">
        <w:rPr>
          <w:rFonts w:cs="Arial"/>
          <w:sz w:val="24"/>
          <w:szCs w:val="24"/>
        </w:rPr>
        <w:t xml:space="preserve"> </w:t>
      </w:r>
      <w:r>
        <w:rPr>
          <w:rFonts w:cs="Arial"/>
          <w:sz w:val="24"/>
          <w:szCs w:val="24"/>
        </w:rPr>
        <w:t>(</w:t>
      </w:r>
      <w:r w:rsidR="00C768C2" w:rsidRPr="00D765D3">
        <w:rPr>
          <w:rFonts w:cs="Arial"/>
          <w:sz w:val="24"/>
          <w:szCs w:val="24"/>
        </w:rPr>
        <w:t>important components of macular pigments</w:t>
      </w:r>
      <w:r w:rsidR="00703F5D">
        <w:rPr>
          <w:rFonts w:cs="Arial"/>
          <w:sz w:val="24"/>
          <w:szCs w:val="24"/>
        </w:rPr>
        <w:t>,</w:t>
      </w:r>
      <w:r w:rsidR="00C768C2" w:rsidRPr="00D765D3">
        <w:rPr>
          <w:rFonts w:cs="Arial"/>
          <w:sz w:val="24"/>
          <w:szCs w:val="24"/>
        </w:rPr>
        <w:t xml:space="preserve"> </w:t>
      </w:r>
      <w:r w:rsidR="0004013F">
        <w:rPr>
          <w:rFonts w:cs="Arial"/>
          <w:sz w:val="24"/>
          <w:szCs w:val="24"/>
        </w:rPr>
        <w:t>play</w:t>
      </w:r>
      <w:r w:rsidR="00703F5D">
        <w:rPr>
          <w:rFonts w:cs="Arial"/>
          <w:sz w:val="24"/>
          <w:szCs w:val="24"/>
        </w:rPr>
        <w:t>ing</w:t>
      </w:r>
      <w:r w:rsidR="00C768C2" w:rsidRPr="00D765D3">
        <w:rPr>
          <w:rFonts w:cs="Arial"/>
          <w:sz w:val="24"/>
          <w:szCs w:val="24"/>
        </w:rPr>
        <w:t xml:space="preserve"> a crucial role in vis</w:t>
      </w:r>
      <w:r w:rsidR="0024554C">
        <w:rPr>
          <w:rFonts w:cs="Arial"/>
          <w:sz w:val="24"/>
          <w:szCs w:val="24"/>
        </w:rPr>
        <w:t>ual</w:t>
      </w:r>
      <w:r w:rsidR="00C768C2" w:rsidRPr="00D765D3">
        <w:rPr>
          <w:rFonts w:cs="Arial"/>
          <w:sz w:val="24"/>
          <w:szCs w:val="24"/>
        </w:rPr>
        <w:t xml:space="preserve"> function</w:t>
      </w:r>
      <w:r w:rsidR="00703F5D">
        <w:rPr>
          <w:rFonts w:cs="Arial"/>
          <w:sz w:val="24"/>
          <w:szCs w:val="24"/>
        </w:rPr>
        <w:t>) may be another mediator</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"Nicklett", "given" : "E J", "non-dropping-particle" : "", "parse-names" : false, "suffix" : "" }, { "dropping-particle" : "", "family" : "Szanton", "given" : "S", "non-dropping-particle" : "", "parse-names" : false, "suffix" : "" }, { "dropping-particle" : "", "family" : "Sun", "given" : "K", "non-dropping-particle" : "", "parse-names" : false, "suffix" : "" }, { "dropping-particle" : "", "family" : "Ferucci", "given" : "L", "non-dropping-particle" : "", "parse-names" : false, "suffix" : "" }, { "dropping-particle" : "", "family" : "Fried", "given" : "L P", "non-dropping-particle" : "", "parse-names" : false, "suffix" : "" }, { "dropping-particle" : "", "family" : "Guralnik", "given" : "J M", "non-dropping-particle" : "", "parse-names" : false, "suffix" : "" }, { "dropping-particle" : "", "family" : "Semba", "given" : "R D", "non-dropping-particle" : "", "parse-names" : false, "suffix" : "" } ], "container-title" : "The Journal of Nutrition", "id" : "ITEM-1", "issue" : "2", "issued" : { "date-parts" : [ [ "2011" ] ] }, "page" : "284-9", "title" : "Neighborhood socioeconomic status is associated with serum carotenoid concentrations in older, community-dwelling women", "type" : "article-journal", "volume" : "141" }, "uris" : [ "http://www.mendeley.com/documents/?uuid=f92da53f-542e-45ca-85b8-0cc891cad38b" ] } ], "mendeley" : { "formattedCitation" : "&lt;sup&gt;38&lt;/sup&gt;", "plainTextFormattedCitation" : "38", "previouslyFormattedCitation" : "&lt;sup&gt;37&lt;/sup&gt;"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38</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"DOI" : "10.1016/J.VISRES.2009.10.014", "ISSN" : "0042-6989", "author" : [ { "dropping-particle" : "", "family" : "Bernstein", "given" : "Paul", "non-dropping-particle" : "", "parse-names" : false, "suffix" : "" }, { "dropping-particle" : "", "family" : "Delori", "given" : "F C", "non-dropping-particle" : "", "parse-names" : false, "suffix" : "" }, { "dropping-particle" : "", "family" : "Richer", "given" : "S", "non-dropping-particle" : "", "parse-names" : false, "suffix" : "" }, { "dropping-particle" : "", "family" : "Kuijk", "given" : "F J M", "non-dropping-particle" : "", "parse-names" : false, "suffix" : "" }, { "dropping-particle" : "", "family" : "Wenzel", "given" : "Adam", "non-dropping-particle" : "", "parse-names" : false, "suffix" : "" } ], "container-title" : "Vision Research", "id" : "ITEM-1", "issue" : "7", "issued" : { "date-parts" : [ [ "2010" ] ] }, "page" : "716-728", "publisher" : "Pergamon", "title" : "The value of measurement of macular carotenoid pigment optical densities and distributions in age-related macular degeneration and other retinal disorders", "type" : "article-journal", "volume" : "50" }, "uris" : [ "http://www.mendeley.com/documents/?uuid=db31c5c2-c274-3109-8f21-1f3d548b8659" ] } ], "mendeley" : { "formattedCitation" : "&lt;sup&gt;39&lt;/sup&gt;", "plainTextFormattedCitation" : "39", "previouslyFormattedCitation" : "&lt;sup&gt;38&lt;/sup&gt;"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39</w:t>
      </w:r>
      <w:r w:rsidR="00C768C2" w:rsidRPr="00D765D3">
        <w:rPr>
          <w:rFonts w:cs="Arial"/>
          <w:sz w:val="24"/>
          <w:szCs w:val="24"/>
        </w:rPr>
        <w:fldChar w:fldCharType="end"/>
      </w:r>
      <w:r w:rsidR="00C768C2" w:rsidRPr="00D765D3">
        <w:rPr>
          <w:rFonts w:cs="Arial"/>
          <w:sz w:val="24"/>
          <w:szCs w:val="24"/>
        </w:rPr>
        <w:t>.</w:t>
      </w:r>
      <w:r w:rsidR="006A14EA" w:rsidRPr="00D765D3">
        <w:rPr>
          <w:rFonts w:cs="Arial"/>
          <w:sz w:val="24"/>
          <w:szCs w:val="24"/>
        </w:rPr>
        <w:t xml:space="preserve"> </w:t>
      </w:r>
      <w:r w:rsidR="00D61792">
        <w:rPr>
          <w:rFonts w:cs="Arial"/>
          <w:sz w:val="24"/>
          <w:szCs w:val="24"/>
        </w:rPr>
        <w:t xml:space="preserve">Greater lack of awareness of AMD, and </w:t>
      </w:r>
      <w:r w:rsidR="00CD3BE0">
        <w:rPr>
          <w:rFonts w:cs="Arial"/>
          <w:sz w:val="24"/>
          <w:szCs w:val="24"/>
        </w:rPr>
        <w:t>the fact that its</w:t>
      </w:r>
      <w:r w:rsidR="00D61792">
        <w:rPr>
          <w:rFonts w:cs="Arial"/>
          <w:sz w:val="24"/>
          <w:szCs w:val="24"/>
        </w:rPr>
        <w:t xml:space="preserve"> associated </w:t>
      </w:r>
      <w:r w:rsidR="00C768C2" w:rsidRPr="00D765D3">
        <w:rPr>
          <w:rFonts w:cs="Arial"/>
          <w:sz w:val="24"/>
          <w:szCs w:val="24"/>
        </w:rPr>
        <w:t>sight loss</w:t>
      </w:r>
      <w:r w:rsidR="00CD3BE0">
        <w:rPr>
          <w:rFonts w:cs="Arial"/>
          <w:sz w:val="24"/>
          <w:szCs w:val="24"/>
        </w:rPr>
        <w:t xml:space="preserve"> is painless</w:t>
      </w:r>
      <w:r w:rsidR="00D61792">
        <w:rPr>
          <w:rFonts w:cs="Arial"/>
          <w:sz w:val="24"/>
          <w:szCs w:val="24"/>
        </w:rPr>
        <w:t xml:space="preserve"> </w:t>
      </w:r>
      <w:r w:rsidR="00C768C2" w:rsidRPr="00D765D3">
        <w:rPr>
          <w:rFonts w:cs="Arial"/>
          <w:sz w:val="24"/>
          <w:szCs w:val="24"/>
        </w:rPr>
        <w:t xml:space="preserve">, may contribute to </w:t>
      </w:r>
      <w:r w:rsidR="00D61792">
        <w:rPr>
          <w:rFonts w:cs="Arial"/>
          <w:sz w:val="24"/>
          <w:szCs w:val="24"/>
        </w:rPr>
        <w:t>later presentation among more deprived groups.</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"Cross", "given" : "V", "non-dropping-particle" : "", "parse-names" : false, "suffix" : "" }, { "dropping-particle" : "", "family" : "Shah", "given" : "P", "non-dropping-particle" : "", "parse-names" : false, "suffix" : "" }, { "dropping-particle" : "", "family" : "Bativala", "given" : "R", "non-dropping-particle" : "", "parse-names" : false, "suffix" : "" }, { "dropping-particle" : "", "family" : "P", "given" : "Spurgeon", "non-dropping-particle" : "", "parse-names" : false, "suffix" : "" } ], "container-title" : "Eye (London, England)", "id" : "ITEM-1", "issue" : "7", "issued" : { "date-parts" : [ [ "2007" ] ] }, "page" : "912-20", "title" : "ReGAE 2: glaucoma awareness and the primary eye-care service: some perceptions among African Caribbeans in Birmingham UK", "type" : "article-journal", "volume" : "21" }, "uris" : [ "http://www.mendeley.com/documents/?uuid=0c7ea115-d1ba-40e7-b659-61bdae3112cb" ] } ], "mendeley" : { "formattedCitation" : "&lt;sup&gt;40&lt;/sup&gt;", "plainTextFormattedCitation" : "40", "previouslyFormattedCitation" : "&lt;sup&gt;39&lt;/sup&gt;"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40</w:t>
      </w:r>
      <w:r w:rsidR="00C768C2" w:rsidRPr="00D765D3">
        <w:rPr>
          <w:rFonts w:cs="Arial"/>
          <w:sz w:val="24"/>
          <w:szCs w:val="24"/>
        </w:rPr>
        <w:fldChar w:fldCharType="end"/>
      </w:r>
      <w:r w:rsidR="00C768C2" w:rsidRPr="00D765D3">
        <w:rPr>
          <w:rFonts w:cs="Arial"/>
          <w:sz w:val="24"/>
          <w:szCs w:val="24"/>
        </w:rPr>
        <w:t xml:space="preserve">. </w:t>
      </w:r>
      <w:r w:rsidR="002F6FEB">
        <w:rPr>
          <w:rFonts w:cs="Arial"/>
          <w:sz w:val="24"/>
          <w:szCs w:val="24"/>
        </w:rPr>
        <w:t>Moreover</w:t>
      </w:r>
      <w:r w:rsidR="00C768C2" w:rsidRPr="00D765D3">
        <w:rPr>
          <w:rFonts w:cs="Arial"/>
          <w:sz w:val="24"/>
          <w:szCs w:val="24"/>
        </w:rPr>
        <w:t>, poor</w:t>
      </w:r>
      <w:r w:rsidR="002F6FEB">
        <w:rPr>
          <w:rFonts w:cs="Arial"/>
          <w:sz w:val="24"/>
          <w:szCs w:val="24"/>
        </w:rPr>
        <w:t>er</w:t>
      </w:r>
      <w:r w:rsidR="00C768C2" w:rsidRPr="00D765D3">
        <w:rPr>
          <w:rFonts w:cs="Arial"/>
          <w:sz w:val="24"/>
          <w:szCs w:val="24"/>
        </w:rPr>
        <w:t xml:space="preserve"> access to health services </w:t>
      </w:r>
      <w:r w:rsidR="002F6FEB">
        <w:rPr>
          <w:rFonts w:cs="Arial"/>
          <w:sz w:val="24"/>
          <w:szCs w:val="24"/>
        </w:rPr>
        <w:t>among</w:t>
      </w:r>
      <w:r w:rsidR="00C768C2" w:rsidRPr="00D765D3">
        <w:rPr>
          <w:rFonts w:cs="Arial"/>
          <w:sz w:val="24"/>
          <w:szCs w:val="24"/>
        </w:rPr>
        <w:t xml:space="preserve"> old</w:t>
      </w:r>
      <w:r w:rsidR="002F6FEB">
        <w:rPr>
          <w:rFonts w:cs="Arial"/>
          <w:sz w:val="24"/>
          <w:szCs w:val="24"/>
        </w:rPr>
        <w:t>er</w:t>
      </w:r>
      <w:r w:rsidR="00C768C2" w:rsidRPr="00D765D3">
        <w:rPr>
          <w:rFonts w:cs="Arial"/>
          <w:sz w:val="24"/>
          <w:szCs w:val="24"/>
        </w:rPr>
        <w:t xml:space="preserve"> people, financial constraints</w:t>
      </w:r>
      <w:r w:rsidR="002F6FEB">
        <w:rPr>
          <w:rFonts w:cs="Arial"/>
          <w:sz w:val="24"/>
          <w:szCs w:val="24"/>
        </w:rPr>
        <w:t>, transport issues,</w:t>
      </w:r>
      <w:r w:rsidR="00C768C2" w:rsidRPr="00D765D3">
        <w:rPr>
          <w:rFonts w:cs="Arial"/>
          <w:sz w:val="24"/>
          <w:szCs w:val="24"/>
        </w:rPr>
        <w:t xml:space="preserve"> and </w:t>
      </w:r>
      <w:r w:rsidR="002F6FEB">
        <w:rPr>
          <w:rFonts w:cs="Arial"/>
          <w:sz w:val="24"/>
          <w:szCs w:val="24"/>
        </w:rPr>
        <w:t xml:space="preserve">low </w:t>
      </w:r>
      <w:r w:rsidR="00C768C2" w:rsidRPr="00D765D3">
        <w:rPr>
          <w:rFonts w:cs="Arial"/>
          <w:sz w:val="24"/>
          <w:szCs w:val="24"/>
        </w:rPr>
        <w:t>health literacy can be barriers to initiate preventive examination</w:t>
      </w:r>
      <w:r w:rsidR="00C768C2" w:rsidRPr="00D765D3">
        <w:rPr>
          <w:rFonts w:cs="Arial"/>
          <w:sz w:val="24"/>
          <w:szCs w:val="24"/>
        </w:rPr>
        <w:fldChar w:fldCharType="begin" w:fldLock="1"/>
      </w:r>
      <w:r w:rsidR="009F72CF">
        <w:rPr>
          <w:rFonts w:cs="Arial"/>
          <w:sz w:val="24"/>
          <w:szCs w:val="24"/>
        </w:rPr>
        <w:instrText>ADDIN CSL_CITATION { "citationItems" : [ { "id" : "ITEM-1", "itemData" : { "DOI" : "10.1111/hex.12440", "ISSN" : "1369-7625", "PMID" : "26774107", "abstract" : "BACKGROUND Lower health literacy is a public health issue that follows a social gradient, potentially reinforcing existing health inequalities. However, levels of health literacy in particular populations can be unclear and are a key to identifying effective public health interventions. This research examined health literacy levels in Stoke-on-Trent, where 31.2% of the population live in areas classified amongst the 10% most deprived in England. METHODS A cross-sectional survey using the Newest Vital Sign examined associations with demographic factors, lifestyle behaviours, Internet use and self-rated health. The sample (n = 1046) took account of variance in levels of health literacy by age, educational attainment and deprivation. Bivariate logistic regression and multivariate logistic regression were used to estimate associations with health literacy when adjusted for other demographic factors and lifestyle behaviours. RESULTS Nine hundred and seventy-two respondents completed the health literacy measure (93%): 277 (28.5%) scored low, 228 (23.5%) scored marginal and 467 (48.0%) scored adequate. Associations with higher rates of limited health literacy included older age, lower educational level, lower income, perceived poor health and lack of access to the Internet. CONCLUSIONS Given the complexity of factors influencing health literacy interdisciplinary approaches across health and social care and the voluntary sector are essential in identifying and developing appropriate interventions.", "author" : [ { "dropping-particle" : "", "family" : "Protheroe", "given" : "Joanne", "non-dropping-particle" : "", "parse-names" : false, "suffix" : "" }, { "dropping-particle" : "", "family" : "Whittle", "given" : "Rebecca", "non-dropping-particle" : "", "parse-names" : false, "suffix" : "" }, { "dropping-particle" : "", "family" : "Bartlam", "given" : "Bernadette", "non-dropping-particle" : "", "parse-names" : false, "suffix" : "" }, { "dropping-particle" : "", "family" : "Estacio", "given" : "Emee Vida", "non-dropping-particle" : "", "parse-names" : false, "suffix" : "" }, { "dropping-particle" : "", "family" : "Clark", "given" : "Linda", "non-dropping-particle" : "", "parse-names" : false, "suffix" : "" }, { "dropping-particle" : "", "family" : "Kurth", "given" : "Judith", "non-dropping-particle" : "", "parse-names" : false, "suffix" : "" } ], "container-title" : "Health expectations : an international journal of public participation in health care and health policy", "id" : "ITEM-1", "issue" : "1", "issued" : { "date-parts" : [ [ "2017" ] ] }, "page" : "112-119", "title" : "Health literacy, associated lifestyle and demographic factors in adult population of an English city: a cross-sectional survey.", "type" : "article-journal", "volume" : "20" }, "uris" : [ "http://www.mendeley.com/documents/?uuid=79185aab-9d6c-3e43-b7c2-d6f0d4a44db0" ] } ], "mendeley" : { "formattedCitation" : "&lt;sup&gt;41&lt;/sup&gt;", "plainTextFormattedCitation" : "41", "previouslyFormattedCitation" : "&lt;sup&gt;40&lt;/sup&gt;"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41</w:t>
      </w:r>
      <w:r w:rsidR="00C768C2" w:rsidRPr="00D765D3">
        <w:rPr>
          <w:rFonts w:cs="Arial"/>
          <w:sz w:val="24"/>
          <w:szCs w:val="24"/>
        </w:rPr>
        <w:fldChar w:fldCharType="end"/>
      </w:r>
      <w:r w:rsidR="00C768C2" w:rsidRPr="00D765D3">
        <w:rPr>
          <w:rFonts w:cs="Arial"/>
          <w:sz w:val="24"/>
          <w:szCs w:val="24"/>
        </w:rPr>
        <w:t xml:space="preserve"> </w:t>
      </w:r>
      <w:r w:rsidR="00C768C2" w:rsidRPr="00D765D3">
        <w:rPr>
          <w:rFonts w:cs="Arial"/>
          <w:sz w:val="24"/>
          <w:szCs w:val="24"/>
        </w:rPr>
        <w:fldChar w:fldCharType="begin" w:fldLock="1"/>
      </w:r>
      <w:r w:rsidR="009F72CF">
        <w:rPr>
          <w:rFonts w:cs="Arial"/>
          <w:sz w:val="24"/>
          <w:szCs w:val="24"/>
        </w:rPr>
        <w:instrText>ADDIN CSL_CITATION { "citationItems" : [ { "id" : "ITEM-1", "itemData" : { "DOI" : "10.3399/bjgp09X472584", "ISSN" : "1478-5242", "PMID" : "19843420", "author" : [ { "dropping-particle" : "", "family" : "Protheroe", "given" : "Joanne", "non-dropping-particle" : "", "parse-names" : false, "suffix" : "" }, { "dropping-particle" : "", "family" : "Nutbeam", "given" : "Don", "non-dropping-particle" : "", "parse-names" : false, "suffix" : "" }, { "dropping-particle" : "", "family" : "Rowlands", "given" : "Gill", "non-dropping-particle" : "", "parse-names" : false, "suffix" : "" } ], "container-title" : "The British journal of general practice : the journal of the Royal College of General Practitioners", "id" : "ITEM-1", "issue" : "567", "issued" : { "date-parts" : [ [ "2009" ] ] }, "page" : "721-3", "title" : "Health literacy: a necessity for increasing participation in health care.", "type" : "article-journal", "volume" : "59" }, "uris" : [ "http://www.mendeley.com/documents/?uuid=1b774eaa-ab57-3bd5-ae97-203f4e879e85" ] } ], "mendeley" : { "formattedCitation" : "&lt;sup&gt;42&lt;/sup&gt;", "plainTextFormattedCitation" : "42", "previouslyFormattedCitation" : "&lt;sup&gt;41&lt;/sup&gt;"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42</w:t>
      </w:r>
      <w:r w:rsidR="00C768C2" w:rsidRPr="00D765D3">
        <w:rPr>
          <w:rFonts w:cs="Arial"/>
          <w:sz w:val="24"/>
          <w:szCs w:val="24"/>
        </w:rPr>
        <w:fldChar w:fldCharType="end"/>
      </w:r>
      <w:r w:rsidR="00C768C2" w:rsidRPr="00D765D3">
        <w:rPr>
          <w:rFonts w:cs="Arial"/>
          <w:sz w:val="24"/>
          <w:szCs w:val="24"/>
        </w:rPr>
        <w:t xml:space="preserve">. </w:t>
      </w:r>
    </w:p>
    <w:p w14:paraId="226C63EB" w14:textId="32761862" w:rsidR="00C768C2" w:rsidRPr="00D765D3" w:rsidRDefault="008F5E46" w:rsidP="00D34244">
      <w:pPr>
        <w:spacing w:line="480" w:lineRule="auto"/>
        <w:rPr>
          <w:rFonts w:cs="Arial"/>
          <w:sz w:val="24"/>
          <w:szCs w:val="24"/>
        </w:rPr>
      </w:pPr>
      <w:r>
        <w:rPr>
          <w:rFonts w:cs="Arial"/>
          <w:sz w:val="24"/>
          <w:szCs w:val="24"/>
        </w:rPr>
        <w:t>Unlike our UK-based study, g</w:t>
      </w:r>
      <w:r w:rsidR="00C768C2" w:rsidRPr="00D765D3">
        <w:rPr>
          <w:rFonts w:cs="Arial"/>
          <w:sz w:val="24"/>
          <w:szCs w:val="24"/>
        </w:rPr>
        <w:t xml:space="preserve">reater distance from home to hospital was reported </w:t>
      </w:r>
      <w:r>
        <w:rPr>
          <w:rFonts w:cs="Arial"/>
          <w:sz w:val="24"/>
          <w:szCs w:val="24"/>
        </w:rPr>
        <w:t xml:space="preserve">as influencing referral refusals </w:t>
      </w:r>
      <w:r w:rsidR="00C768C2" w:rsidRPr="00D765D3">
        <w:rPr>
          <w:rFonts w:cs="Arial"/>
          <w:sz w:val="24"/>
          <w:szCs w:val="24"/>
        </w:rPr>
        <w:t>in an Australia</w:t>
      </w:r>
      <w:r>
        <w:rPr>
          <w:rFonts w:cs="Arial"/>
          <w:sz w:val="24"/>
          <w:szCs w:val="24"/>
        </w:rPr>
        <w:t>n study</w:t>
      </w:r>
      <w:r w:rsidRPr="008F5E46">
        <w:t xml:space="preserve"> </w:t>
      </w:r>
      <w:r w:rsidRPr="008F5E46">
        <w:rPr>
          <w:rFonts w:cs="Arial"/>
          <w:sz w:val="24"/>
          <w:szCs w:val="24"/>
        </w:rPr>
        <w:t>of a new low-vision rehabilitation service.</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"O'Connor", "given" : "P M", "non-dropping-particle" : "", "parse-names" : false, "suffix" : "" }, { "dropping-particle" : "", "family" : "Mu", "given" : "L C", "non-dropping-particle" : "", "parse-names" : false, "suffix" : "" }, { "dropping-particle" : "", "family" : "Keeffe", "given" : "J E", "non-dropping-particle" : "", "parse-names" : false, "suffix" : "" } ], "container-title" : "Clinical &amp; Experimental Ophthalmology", "id" : "ITEM-1", "issue" : "6", "issued" : { "date-parts" : [ [ "0" ] ] }, "page" : "547-552", "title" : "Access and utilization of a new low-vision rehabilitation service", "type" : "article-journal", "volume" : "36" }, "uris" : [ "http://www.mendeley.com/documents/?uuid=426c5e72-b36f-4f92-ab96-121fe22da70e" ] } ], "mendeley" : { "formattedCitation" : "&lt;sup&gt;43&lt;/sup&gt;", "plainTextFormattedCitation" : "43", "previouslyFormattedCitation" : "&lt;sup&gt;42&lt;/sup&gt;"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43</w:t>
      </w:r>
      <w:r w:rsidR="00C768C2" w:rsidRPr="00D765D3">
        <w:rPr>
          <w:rFonts w:cs="Arial"/>
          <w:sz w:val="24"/>
          <w:szCs w:val="24"/>
        </w:rPr>
        <w:fldChar w:fldCharType="end"/>
      </w:r>
      <w:r w:rsidR="00C768C2" w:rsidRPr="00D765D3">
        <w:rPr>
          <w:rFonts w:cs="Arial"/>
          <w:sz w:val="24"/>
          <w:szCs w:val="24"/>
        </w:rPr>
        <w:t xml:space="preserve">. </w:t>
      </w:r>
      <w:r>
        <w:rPr>
          <w:rFonts w:cs="Arial"/>
          <w:sz w:val="24"/>
          <w:szCs w:val="24"/>
        </w:rPr>
        <w:t>Similarly,</w:t>
      </w:r>
      <w:r w:rsidR="002C5EF0">
        <w:rPr>
          <w:rFonts w:cs="Arial"/>
          <w:sz w:val="24"/>
          <w:szCs w:val="24"/>
        </w:rPr>
        <w:t xml:space="preserve"> </w:t>
      </w:r>
      <w:r w:rsidR="00C768C2" w:rsidRPr="00D765D3">
        <w:rPr>
          <w:rFonts w:cs="Arial"/>
          <w:sz w:val="24"/>
          <w:szCs w:val="24"/>
        </w:rPr>
        <w:t>a US based study</w:t>
      </w:r>
      <w:r w:rsidRPr="008F5E46">
        <w:rPr>
          <w:rFonts w:cs="Arial"/>
          <w:sz w:val="24"/>
          <w:szCs w:val="24"/>
        </w:rPr>
        <w:t xml:space="preserve"> </w:t>
      </w:r>
      <w:r>
        <w:rPr>
          <w:rFonts w:cs="Arial"/>
          <w:sz w:val="24"/>
          <w:szCs w:val="24"/>
        </w:rPr>
        <w:t xml:space="preserve">among </w:t>
      </w:r>
      <w:r w:rsidRPr="00D765D3">
        <w:rPr>
          <w:rFonts w:cs="Arial"/>
          <w:sz w:val="24"/>
          <w:szCs w:val="24"/>
        </w:rPr>
        <w:t>Medicare beneficiaries</w:t>
      </w:r>
      <w:r w:rsidR="00C768C2" w:rsidRPr="00D765D3">
        <w:rPr>
          <w:rFonts w:cs="Arial"/>
          <w:sz w:val="24"/>
          <w:szCs w:val="24"/>
        </w:rPr>
        <w:t>, showed reduction in frequency of eye examination</w:t>
      </w:r>
      <w:r w:rsidR="0009625A">
        <w:rPr>
          <w:rFonts w:cs="Arial"/>
          <w:sz w:val="24"/>
          <w:szCs w:val="24"/>
        </w:rPr>
        <w:t>s</w:t>
      </w:r>
      <w:r w:rsidR="00C768C2" w:rsidRPr="00D765D3">
        <w:rPr>
          <w:rFonts w:cs="Arial"/>
          <w:sz w:val="24"/>
          <w:szCs w:val="24"/>
        </w:rPr>
        <w:t xml:space="preserve"> due to greater distance</w:t>
      </w:r>
      <w:r>
        <w:rPr>
          <w:rFonts w:cs="Arial"/>
          <w:sz w:val="24"/>
          <w:szCs w:val="24"/>
        </w:rPr>
        <w:t xml:space="preserve"> from an ophthalmologist</w:t>
      </w:r>
      <w:r w:rsidR="00C768C2"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"Sloan", "given" : "F A", "non-dropping-particle" : "", "parse-names" : false, "suffix" : "" }, { "dropping-particle" : "", "family" : "Yashkin", "given" : "A P", "non-dropping-particle" : "", "parse-names" : false, "suffix" : "" }, { "dropping-particle" : "", "family" : "Chen", "given" : "Y", "non-dropping-particle" : "", "parse-names" : false, "suffix" : "" } ], "container-title" : "Ophthalmology", "id" : "ITEM-1", "issue" : "12", "issued" : { "date-parts" : [ [ "0" ] ] }, "page" : "2452-2460", "title" : "Gaps in receipt of regular eye examinations among medicare beneficiaries diagnosed with diabetes or chronic eye diseases", "type" : "article-journal", "volume" : "121" }, "uris" : [ "http://www.mendeley.com/documents/?uuid=23d5bd20-a38f-44fe-abb1-03ae3c895e5e" ] } ], "mendeley" : { "formattedCitation" : "&lt;sup&gt;44&lt;/sup&gt;", "plainTextFormattedCitation" : "44", "previouslyFormattedCitation" : "&lt;sup&gt;43&lt;/sup&gt;" }, "properties" : { "noteIndex" : 0 }, "schema" : "https://github.com/citation-style-language/schema/raw/master/csl-citation.json" }</w:instrText>
      </w:r>
      <w:r w:rsidR="00C768C2" w:rsidRPr="00D765D3">
        <w:rPr>
          <w:rFonts w:cs="Arial"/>
          <w:sz w:val="24"/>
          <w:szCs w:val="24"/>
        </w:rPr>
        <w:fldChar w:fldCharType="separate"/>
      </w:r>
      <w:r w:rsidR="009F72CF" w:rsidRPr="009F72CF">
        <w:rPr>
          <w:rFonts w:cs="Arial"/>
          <w:noProof/>
          <w:sz w:val="24"/>
          <w:szCs w:val="24"/>
          <w:vertAlign w:val="superscript"/>
        </w:rPr>
        <w:t>44</w:t>
      </w:r>
      <w:r w:rsidR="00C768C2" w:rsidRPr="00D765D3">
        <w:rPr>
          <w:rFonts w:cs="Arial"/>
          <w:sz w:val="24"/>
          <w:szCs w:val="24"/>
        </w:rPr>
        <w:fldChar w:fldCharType="end"/>
      </w:r>
      <w:r w:rsidR="00C768C2" w:rsidRPr="00D765D3">
        <w:rPr>
          <w:rFonts w:cs="Arial"/>
          <w:sz w:val="24"/>
          <w:szCs w:val="24"/>
        </w:rPr>
        <w:t>.</w:t>
      </w:r>
    </w:p>
    <w:p w14:paraId="614DC86A" w14:textId="2F08EE9D" w:rsidR="00C768C2" w:rsidRPr="00D765D3" w:rsidRDefault="00C768C2" w:rsidP="00D34244">
      <w:pPr>
        <w:spacing w:line="480" w:lineRule="auto"/>
        <w:rPr>
          <w:rFonts w:cs="Arial"/>
          <w:sz w:val="24"/>
          <w:szCs w:val="24"/>
        </w:rPr>
      </w:pPr>
      <w:r w:rsidRPr="00D765D3">
        <w:rPr>
          <w:rFonts w:cs="Arial"/>
          <w:sz w:val="24"/>
          <w:szCs w:val="24"/>
        </w:rPr>
        <w:t xml:space="preserve">To the best of </w:t>
      </w:r>
      <w:r w:rsidR="00CD15A6">
        <w:rPr>
          <w:rFonts w:cs="Arial"/>
          <w:sz w:val="24"/>
          <w:szCs w:val="24"/>
        </w:rPr>
        <w:t>our</w:t>
      </w:r>
      <w:r w:rsidR="00CD15A6" w:rsidRPr="00D765D3">
        <w:rPr>
          <w:rFonts w:cs="Arial"/>
          <w:sz w:val="24"/>
          <w:szCs w:val="24"/>
        </w:rPr>
        <w:t xml:space="preserve"> </w:t>
      </w:r>
      <w:r w:rsidRPr="00D765D3">
        <w:rPr>
          <w:rFonts w:cs="Arial"/>
          <w:sz w:val="24"/>
          <w:szCs w:val="24"/>
        </w:rPr>
        <w:t xml:space="preserve">knowledge, no prior studies </w:t>
      </w:r>
      <w:r w:rsidR="00AA1D52">
        <w:rPr>
          <w:rFonts w:cs="Arial"/>
          <w:sz w:val="24"/>
          <w:szCs w:val="24"/>
        </w:rPr>
        <w:t xml:space="preserve">have </w:t>
      </w:r>
      <w:r w:rsidRPr="00D765D3">
        <w:rPr>
          <w:rFonts w:cs="Arial"/>
          <w:sz w:val="24"/>
          <w:szCs w:val="24"/>
        </w:rPr>
        <w:t>examin</w:t>
      </w:r>
      <w:r w:rsidR="00AA1D52">
        <w:rPr>
          <w:rFonts w:cs="Arial"/>
          <w:sz w:val="24"/>
          <w:szCs w:val="24"/>
        </w:rPr>
        <w:t>ed</w:t>
      </w:r>
      <w:r w:rsidRPr="00D765D3">
        <w:rPr>
          <w:rFonts w:cs="Arial"/>
          <w:sz w:val="24"/>
          <w:szCs w:val="24"/>
        </w:rPr>
        <w:t xml:space="preserve"> the relationship between distance from home to</w:t>
      </w:r>
      <w:r w:rsidR="002C5EF0">
        <w:rPr>
          <w:rFonts w:cs="Arial"/>
          <w:sz w:val="24"/>
          <w:szCs w:val="24"/>
        </w:rPr>
        <w:t xml:space="preserve"> hospital</w:t>
      </w:r>
      <w:r w:rsidRPr="00D765D3">
        <w:rPr>
          <w:rFonts w:cs="Arial"/>
          <w:sz w:val="24"/>
          <w:szCs w:val="24"/>
        </w:rPr>
        <w:t xml:space="preserve"> and treatment outcomes of </w:t>
      </w:r>
      <w:r w:rsidR="002C5EF0">
        <w:rPr>
          <w:rFonts w:cs="Arial"/>
          <w:sz w:val="24"/>
          <w:szCs w:val="24"/>
        </w:rPr>
        <w:t>aflibercept therapy</w:t>
      </w:r>
      <w:r w:rsidR="00DF78A1" w:rsidRPr="00D765D3">
        <w:rPr>
          <w:rFonts w:cs="Arial"/>
          <w:sz w:val="24"/>
          <w:szCs w:val="24"/>
        </w:rPr>
        <w:t xml:space="preserve"> in people with AMD</w:t>
      </w:r>
      <w:r w:rsidR="00AA1D52">
        <w:rPr>
          <w:rFonts w:cs="Arial"/>
          <w:sz w:val="24"/>
          <w:szCs w:val="24"/>
        </w:rPr>
        <w:t>, although the</w:t>
      </w:r>
      <w:r w:rsidRPr="00D765D3">
        <w:rPr>
          <w:rFonts w:cs="Arial"/>
          <w:sz w:val="24"/>
          <w:szCs w:val="24"/>
        </w:rPr>
        <w:t xml:space="preserve"> relationship between </w:t>
      </w:r>
      <w:r w:rsidR="00E74689">
        <w:rPr>
          <w:rFonts w:cs="Arial"/>
          <w:sz w:val="24"/>
          <w:szCs w:val="24"/>
        </w:rPr>
        <w:t>r</w:t>
      </w:r>
      <w:r w:rsidRPr="00D765D3">
        <w:rPr>
          <w:rFonts w:cs="Arial"/>
          <w:sz w:val="24"/>
          <w:szCs w:val="24"/>
        </w:rPr>
        <w:t>anibizumab injection outcomes and distance</w:t>
      </w:r>
      <w:r w:rsidR="00AA1D52">
        <w:rPr>
          <w:rFonts w:cs="Arial"/>
          <w:sz w:val="24"/>
          <w:szCs w:val="24"/>
        </w:rPr>
        <w:t xml:space="preserve"> has been explored</w:t>
      </w:r>
      <w:r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"Boulanger-Scemama", "given" : "E", "non-dropping-particle" : "", "parse-names" : false, "suffix" : "" }, { "dropping-particle" : "", "family" : "Querques", "given" : "G", "non-dropping-particle" : "", "parse-names" : false, "suffix" : "" }, { "dropping-particle" : "", "family" : "About", "given" : "F", "non-dropping-particle" : "", "parse-names" : false, "suffix" : "" }, { "dropping-particle" : "", "family" : "Puche", "given" : "N", "non-dropping-particle" : "", "parse-names" : false, "suffix" : "" }, { "dropping-particle" : "", "family" : "Srour", "given" : "M", "non-dropping-particle" : "", "parse-names" : false, "suffix" : "" }, { "dropping-particle" : "", "family" : "Mane", "given" : "V", "non-dropping-particle" : "", "parse-names" : false, "suffix" : "" }, { "dropping-particle" : "", "family" : "Massamba", "given" : "N", "non-dropping-particle" : "", "parse-names" : false, "suffix" : "" }, { "dropping-particle" : "", "family" : "Canoui-Poitrine", "given" : "F", "non-dropping-particle" : "", "parse-names" : false, "suffix" : "" }, { "dropping-particle" : "", "family" : "Souied", "given" : "E H", "non-dropping-particle" : "", "parse-names" : false, "suffix" : "" } ], "container-title" : "Journal Francais d Opthalmologie", "id" : "ITEM-1", "issue" : "7", "issued" : { "date-parts" : [ [ "0" ] ] }, "page" : "620-627", "title" : "Ranibizumab for exudative age-related macular degeneration: A five year study of adherence to follow-up in a real-life setting", "type" : "article-journal", "volume" : "38" }, "uris" : [ "http://www.mendeley.com/documents/?uuid=84606668-f5d4-49a5-902a-7d22a32aac00" ] } ], "mendeley" : { "formattedCitation" : "&lt;sup&gt;18&lt;/sup&gt;", "plainTextFormattedCitation" : "18", "previouslyFormattedCitation" : "&lt;sup&gt;18&lt;/sup&gt;" }, "properties" : { "noteIndex" : 0 }, "schema" : "https://github.com/citation-style-language/schema/raw/master/csl-citation.json" }</w:instrText>
      </w:r>
      <w:r w:rsidRPr="00D765D3">
        <w:rPr>
          <w:rFonts w:cs="Arial"/>
          <w:sz w:val="24"/>
          <w:szCs w:val="24"/>
        </w:rPr>
        <w:fldChar w:fldCharType="separate"/>
      </w:r>
      <w:r w:rsidR="00603A93" w:rsidRPr="00603A93">
        <w:rPr>
          <w:rFonts w:cs="Arial"/>
          <w:noProof/>
          <w:sz w:val="24"/>
          <w:szCs w:val="24"/>
          <w:vertAlign w:val="superscript"/>
        </w:rPr>
        <w:t>18</w:t>
      </w:r>
      <w:r w:rsidRPr="00D765D3">
        <w:rPr>
          <w:rFonts w:cs="Arial"/>
          <w:sz w:val="24"/>
          <w:szCs w:val="24"/>
        </w:rPr>
        <w:fldChar w:fldCharType="end"/>
      </w:r>
      <w:r w:rsidRPr="00D765D3">
        <w:rPr>
          <w:rFonts w:cs="Arial"/>
          <w:sz w:val="24"/>
          <w:szCs w:val="24"/>
        </w:rPr>
        <w:t xml:space="preserve"> </w:t>
      </w:r>
      <w:r w:rsidRPr="00D765D3">
        <w:rPr>
          <w:rFonts w:cs="Arial"/>
          <w:sz w:val="24"/>
          <w:szCs w:val="24"/>
        </w:rPr>
        <w:fldChar w:fldCharType="begin" w:fldLock="1"/>
      </w:r>
      <w:r w:rsidR="009F72CF">
        <w:rPr>
          <w:rFonts w:cs="Arial"/>
          <w:sz w:val="24"/>
          <w:szCs w:val="24"/>
        </w:rPr>
        <w:instrText>ADDIN CSL_CITATION { "citationItems" : [ { "id" : "ITEM-1", "itemData" : { "DOI" : "10.4274/tjo.28003", "ISSN" : "13000659", "PMID" : "28845324", "abstract" : "OBJECTIVES To determine factors influencing compliance in patients with neovascular age-related macular degeneration (n-AMD) undergoing intravitreal anti-vascular endothelial growth factor (VEGF) therapy. MATERIALS AND METHODS The files of n-AMD patients recommended treatment with ranibizumab were reviewed retrospectively. The treatment regimen was 3 consecutive monthly injections followed by monthly follow-up with intravitreal injections as needed (pro re nata, PRN). Demographic and ocular characteristics were recorded. The patients were categorized into 2 groups: full compliance to treatment, or incomplete loading schedule and/or irregular maintenance treatment. All patients were interviewed by phone about factors affecting continuation of treatment. RESULTS Mean age of the 314 patients (160 female, 154 male) included in the study was 71.6\u00b19.1 years. A total of 246 patients (78.3%) could complete 3 consecutive injections at 1-month intervals after the start of treatment; 57 patients (18.2%) did not attend monthly follow-up during the 1-year follow-up period following the 3 consecutive monthly injections. Overall, 39.8% of the patients were not able to fully comply with the ranibizumab treatment by PRN regimen for 1 year. Better visual acuity at baseline, smaller lesion size, living closer to the hospital, higher education and sociocultural level, and better financial status were determined as factors affecting patient compliance. The most frequent reasons to discontinue treatment were fear of injection, disbelief in the benefit of the treatment, financial limitations, continuation of treatment at another center, and comorbid systemic diseases. CONCLUSION Patient compliance and success rates of anti-VEGF therapy may be increased by determining the factors affecting patient compliance and raising awareness about n-AMD among patients and their relatives.", "author" : [ { "dropping-particle" : "", "family" : "Polat", "given" : "Onur", "non-dropping-particle" : "", "parse-names" : false, "suffix" : "" }, { "dropping-particle" : "", "family" : "\u0130nan", "given" : "Sibel", "non-dropping-particle" : "", "parse-names" : false, "suffix" : "" }, { "dropping-particle" : "", "family" : "\u00d6zcan", "given" : "Serkan", "non-dropping-particle" : "", "parse-names" : false, "suffix" : "" }, { "dropping-particle" : "", "family" : "Do\u011fan", "given" : "Mustafa", "non-dropping-particle" : "", "parse-names" : false, "suffix" : "" }, { "dropping-particle" : "", "family" : "K\u00fcsbeci", "given" : "Tuncay", "non-dropping-particle" : "", "parse-names" : false, "suffix" : "" }, { "dropping-particle" : "", "family" : "Yava\u015f", "given" : "G\u00fcliz Fatma", "non-dropping-particle" : "", "parse-names" : false, "suffix" : "" }, { "dropping-particle" : "", "family" : "\u0130nan", "given" : "\u00dcmit \u00dcbeyt", "non-dropping-particle" : "", "parse-names" : false, "suffix" : "" } ], "container-title" : "T\u00fcrk Oftalmoloji Dergisi", "id" : "ITEM-1", "issue" : "4", "issued" : { "date-parts" : [ [ "2017", "8", "9" ] ] }, "page" : "205-210", "title" : "Factors Affecting Compliance to Intravitreal Anti-Vascular Endothelial Growth Factor Therapy in Patients with Age-Related Macular Degeneration", "type" : "article-journal", "volume" : "47" }, "uris" : [ "http://www.mendeley.com/documents/?uuid=b349a565-6a27-3657-83e7-b7cb18eccfcc" ] } ], "mendeley" : { "formattedCitation" : "&lt;sup&gt;19&lt;/sup&gt;", "plainTextFormattedCitation" : "19", "previouslyFormattedCitation" : "&lt;sup&gt;19&lt;/sup&gt;" }, "properties" : { "noteIndex" : 0 }, "schema" : "https://github.com/citation-style-language/schema/raw/master/csl-citation.json" }</w:instrText>
      </w:r>
      <w:r w:rsidRPr="00D765D3">
        <w:rPr>
          <w:rFonts w:cs="Arial"/>
          <w:sz w:val="24"/>
          <w:szCs w:val="24"/>
        </w:rPr>
        <w:fldChar w:fldCharType="separate"/>
      </w:r>
      <w:r w:rsidR="00603A93" w:rsidRPr="00603A93">
        <w:rPr>
          <w:rFonts w:cs="Arial"/>
          <w:noProof/>
          <w:sz w:val="24"/>
          <w:szCs w:val="24"/>
          <w:vertAlign w:val="superscript"/>
        </w:rPr>
        <w:t>19</w:t>
      </w:r>
      <w:r w:rsidRPr="00D765D3">
        <w:rPr>
          <w:rFonts w:cs="Arial"/>
          <w:sz w:val="24"/>
          <w:szCs w:val="24"/>
        </w:rPr>
        <w:fldChar w:fldCharType="end"/>
      </w:r>
      <w:r w:rsidRPr="00D765D3">
        <w:rPr>
          <w:rFonts w:cs="Arial"/>
          <w:sz w:val="24"/>
          <w:szCs w:val="24"/>
        </w:rPr>
        <w:t xml:space="preserve">. Both drugs are anti-VEGF therapies </w:t>
      </w:r>
      <w:r w:rsidR="00AA1D52">
        <w:rPr>
          <w:rFonts w:cs="Arial"/>
          <w:sz w:val="24"/>
          <w:szCs w:val="24"/>
        </w:rPr>
        <w:t>with</w:t>
      </w:r>
      <w:r w:rsidR="00AA1D52" w:rsidRPr="00D765D3">
        <w:rPr>
          <w:rFonts w:cs="Arial"/>
          <w:sz w:val="24"/>
          <w:szCs w:val="24"/>
        </w:rPr>
        <w:t xml:space="preserve"> </w:t>
      </w:r>
      <w:r w:rsidRPr="00D765D3">
        <w:rPr>
          <w:rFonts w:cs="Arial"/>
          <w:sz w:val="24"/>
          <w:szCs w:val="24"/>
        </w:rPr>
        <w:t>similar NICE guidelines for administration and duration</w:t>
      </w:r>
      <w:r w:rsidRPr="00D765D3">
        <w:rPr>
          <w:rFonts w:cs="Arial"/>
          <w:sz w:val="24"/>
          <w:szCs w:val="24"/>
        </w:rPr>
        <w:fldChar w:fldCharType="begin" w:fldLock="1"/>
      </w:r>
      <w:r w:rsidR="009F72CF">
        <w:rPr>
          <w:rFonts w:cs="Arial"/>
          <w:sz w:val="24"/>
          <w:szCs w:val="24"/>
        </w:rPr>
        <w:instrText>ADDIN CSL_CITATION { "citationItems" : [ { "id" : "ITEM-1", "itemData" : { "abstract" : "Age-related macular degeneration 1 2 NICE guideline: short version 3 Draft for consultation, April 2017 4 This guideline covers diagnosing and managing age-related macular degeneration (AMD) in adults aged 18 and over. It aims to optimise service organisation and identification of risk factors, and improve diagnosis, management and review of this condition. It also aims to improve support and availability of information for people with AMD. Who is it for? \uf0b7 People with age-related macular degeneration, their families and carers \uf0b7 Healthcare professionals in primary and secondary care \uf0b7 Social care professionals \uf0b7 Commissioners and providers of ophthalmic and optometric services This version of the guideline contains the draft recommendations, context and recommendations for research. Information about how the guideline was developed is on the guideline's page on the NICE website. This includes the guideline committee's discussion and the evidence reviews (in the full guideline), the scope, and details of the committee and any declarations of interest. 5 DRAFT FOR CONSULTATION Age-related macular degeneration: NICE guideline short version DRAFT (February 2017)", "id" : "ITEM-1", "issued" : { "date-parts" : [ [ "0" ] ] }, "title" : "Age-related macular degeneration", "type" : "article-journal" }, "uris" : [ "http://www.mendeley.com/documents/?uuid=2e6ea84e-dd3e-39fa-893c-a8cabf8b395a" ] } ], "mendeley" : { "formattedCitation" : "&lt;sup&gt;23&lt;/sup&gt;", "plainTextFormattedCitation" : "23", "previouslyFormattedCitation" : "&lt;sup&gt;22&lt;/sup&gt;" }, "properties" : { "noteIndex" : 0 }, "schema" : "https://github.com/citation-style-language/schema/raw/master/csl-citation.json" }</w:instrText>
      </w:r>
      <w:r w:rsidRPr="00D765D3">
        <w:rPr>
          <w:rFonts w:cs="Arial"/>
          <w:sz w:val="24"/>
          <w:szCs w:val="24"/>
        </w:rPr>
        <w:fldChar w:fldCharType="separate"/>
      </w:r>
      <w:r w:rsidR="009F72CF" w:rsidRPr="009F72CF">
        <w:rPr>
          <w:rFonts w:cs="Arial"/>
          <w:noProof/>
          <w:sz w:val="24"/>
          <w:szCs w:val="24"/>
          <w:vertAlign w:val="superscript"/>
        </w:rPr>
        <w:t>23</w:t>
      </w:r>
      <w:r w:rsidRPr="00D765D3">
        <w:rPr>
          <w:rFonts w:cs="Arial"/>
          <w:sz w:val="24"/>
          <w:szCs w:val="24"/>
        </w:rPr>
        <w:fldChar w:fldCharType="end"/>
      </w:r>
      <w:r w:rsidRPr="00D765D3">
        <w:rPr>
          <w:rFonts w:cs="Arial"/>
          <w:sz w:val="24"/>
          <w:szCs w:val="24"/>
        </w:rPr>
        <w:t xml:space="preserve">. Our </w:t>
      </w:r>
      <w:r w:rsidR="00CD15A6">
        <w:rPr>
          <w:rFonts w:cs="Arial"/>
          <w:sz w:val="24"/>
          <w:szCs w:val="24"/>
        </w:rPr>
        <w:t>results</w:t>
      </w:r>
      <w:r w:rsidRPr="00D765D3">
        <w:rPr>
          <w:rFonts w:cs="Arial"/>
          <w:sz w:val="24"/>
          <w:szCs w:val="24"/>
        </w:rPr>
        <w:t xml:space="preserve"> differ from </w:t>
      </w:r>
      <w:r w:rsidR="00AA1D52">
        <w:rPr>
          <w:rFonts w:cs="Arial"/>
          <w:sz w:val="24"/>
          <w:szCs w:val="24"/>
        </w:rPr>
        <w:t xml:space="preserve">the </w:t>
      </w:r>
      <w:r w:rsidR="00E74689">
        <w:rPr>
          <w:rFonts w:cs="Arial"/>
          <w:sz w:val="24"/>
          <w:szCs w:val="24"/>
        </w:rPr>
        <w:t>r</w:t>
      </w:r>
      <w:r w:rsidRPr="00D765D3">
        <w:rPr>
          <w:rFonts w:cs="Arial"/>
          <w:sz w:val="24"/>
          <w:szCs w:val="24"/>
        </w:rPr>
        <w:t>anibizumab studies</w:t>
      </w:r>
      <w:r w:rsidR="00CD15A6">
        <w:rPr>
          <w:rFonts w:cs="Arial"/>
          <w:sz w:val="24"/>
          <w:szCs w:val="24"/>
        </w:rPr>
        <w:t xml:space="preserve"> </w:t>
      </w:r>
      <w:r w:rsidR="00CD15A6" w:rsidRPr="00D765D3">
        <w:rPr>
          <w:rFonts w:cs="Arial"/>
          <w:sz w:val="24"/>
          <w:szCs w:val="24"/>
        </w:rPr>
        <w:fldChar w:fldCharType="begin" w:fldLock="1"/>
      </w:r>
      <w:r w:rsidR="009F72CF">
        <w:rPr>
          <w:rFonts w:cs="Arial"/>
          <w:sz w:val="24"/>
          <w:szCs w:val="24"/>
        </w:rPr>
        <w:instrText>ADDIN CSL_CITATION { "citationItems" : [ { "id" : "ITEM-1", "itemData" : { "author" : [ { "dropping-particle" : "", "family" : "Boulanger-Scemama", "given" : "E", "non-dropping-particle" : "", "parse-names" : false, "suffix" : "" }, { "dropping-particle" : "", "family" : "Querques", "given" : "G", "non-dropping-particle" : "", "parse-names" : false, "suffix" : "" }, { "dropping-particle" : "", "family" : "About", "given" : "F", "non-dropping-particle" : "", "parse-names" : false, "suffix" : "" }, { "dropping-particle" : "", "family" : "Puche", "given" : "N", "non-dropping-particle" : "", "parse-names" : false, "suffix" : "" }, { "dropping-particle" : "", "family" : "Srour", "given" : "M", "non-dropping-particle" : "", "parse-names" : false, "suffix" : "" }, { "dropping-particle" : "", "family" : "Mane", "given" : "V", "non-dropping-particle" : "", "parse-names" : false, "suffix" : "" }, { "dropping-particle" : "", "family" : "Massamba", "given" : "N", "non-dropping-particle" : "", "parse-names" : false, "suffix" : "" }, { "dropping-particle" : "", "family" : "Canoui-Poitrine", "given" : "F", "non-dropping-particle" : "", "parse-names" : false, "suffix" : "" }, { "dropping-particle" : "", "family" : "Souied", "given" : "E H", "non-dropping-particle" : "", "parse-names" : false, "suffix" : "" } ], "container-title" : "Journal Francais d Opthalmologie", "id" : "ITEM-1", "issue" : "7", "issued" : { "date-parts" : [ [ "0" ] ] }, "page" : "620-627", "title" : "Ranibizumab for exudative age-related macular degeneration: A five year study of adherence to follow-up in a real-life setting", "type" : "article-journal", "volume" : "38" }, "uris" : [ "http://www.mendeley.com/documents/?uuid=84606668-f5d4-49a5-902a-7d22a32aac00" ] } ], "mendeley" : { "formattedCitation" : "&lt;sup&gt;18&lt;/sup&gt;", "plainTextFormattedCitation" : "18", "previouslyFormattedCitation" : "&lt;sup&gt;18&lt;/sup&gt;" }, "properties" : { "noteIndex" : 0 }, "schema" : "https://github.com/citation-style-language/schema/raw/master/csl-citation.json" }</w:instrText>
      </w:r>
      <w:r w:rsidR="00CD15A6" w:rsidRPr="00D765D3">
        <w:rPr>
          <w:rFonts w:cs="Arial"/>
          <w:sz w:val="24"/>
          <w:szCs w:val="24"/>
        </w:rPr>
        <w:fldChar w:fldCharType="separate"/>
      </w:r>
      <w:r w:rsidR="00603A93" w:rsidRPr="00603A93">
        <w:rPr>
          <w:rFonts w:cs="Arial"/>
          <w:noProof/>
          <w:sz w:val="24"/>
          <w:szCs w:val="24"/>
          <w:vertAlign w:val="superscript"/>
        </w:rPr>
        <w:t>18</w:t>
      </w:r>
      <w:r w:rsidR="00CD15A6" w:rsidRPr="00D765D3">
        <w:rPr>
          <w:rFonts w:cs="Arial"/>
          <w:sz w:val="24"/>
          <w:szCs w:val="24"/>
        </w:rPr>
        <w:fldChar w:fldCharType="end"/>
      </w:r>
      <w:r w:rsidR="00CD15A6" w:rsidRPr="00D765D3">
        <w:rPr>
          <w:rFonts w:cs="Arial"/>
          <w:sz w:val="24"/>
          <w:szCs w:val="24"/>
        </w:rPr>
        <w:t xml:space="preserve"> </w:t>
      </w:r>
      <w:r w:rsidR="00CD15A6" w:rsidRPr="00D765D3">
        <w:rPr>
          <w:rFonts w:cs="Arial"/>
          <w:sz w:val="24"/>
          <w:szCs w:val="24"/>
        </w:rPr>
        <w:fldChar w:fldCharType="begin" w:fldLock="1"/>
      </w:r>
      <w:r w:rsidR="009F72CF">
        <w:rPr>
          <w:rFonts w:cs="Arial"/>
          <w:sz w:val="24"/>
          <w:szCs w:val="24"/>
        </w:rPr>
        <w:instrText>ADDIN CSL_CITATION { "citationItems" : [ { "id" : "ITEM-1", "itemData" : { "DOI" : "10.4274/tjo.28003", "ISSN" : "13000659", "PMID" : "28845324", "abstract" : "OBJECTIVES To determine factors influencing compliance in patients with neovascular age-related macular degeneration (n-AMD) undergoing intravitreal anti-vascular endothelial growth factor (VEGF) therapy. MATERIALS AND METHODS The files of n-AMD patients recommended treatment with ranibizumab were reviewed retrospectively. The treatment regimen was 3 consecutive monthly injections followed by monthly follow-up with intravitreal injections as needed (pro re nata, PRN). Demographic and ocular characteristics were recorded. The patients were categorized into 2 groups: full compliance to treatment, or incomplete loading schedule and/or irregular maintenance treatment. All patients were interviewed by phone about factors affecting continuation of treatment. RESULTS Mean age of the 314 patients (160 female, 154 male) included in the study was 71.6\u00b19.1 years. A total of 246 patients (78.3%) could complete 3 consecutive injections at 1-month intervals after the start of treatment; 57 patients (18.2%) did not attend monthly follow-up during the 1-year follow-up period following the 3 consecutive monthly injections. Overall, 39.8% of the patients were not able to fully comply with the ranibizumab treatment by PRN regimen for 1 year. Better visual acuity at baseline, smaller lesion size, living closer to the hospital, higher education and sociocultural level, and better financial status were determined as factors affecting patient compliance. The most frequent reasons to discontinue treatment were fear of injection, disbelief in the benefit of the treatment, financial limitations, continuation of treatment at another center, and comorbid systemic diseases. CONCLUSION Patient compliance and success rates of anti-VEGF therapy may be increased by determining the factors affecting patient compliance and raising awareness about n-AMD among patients and their relatives.", "author" : [ { "dropping-particle" : "", "family" : "Polat", "given" : "Onur", "non-dropping-particle" : "", "parse-names" : false, "suffix" : "" }, { "dropping-particle" : "", "family" : "\u0130nan", "given" : "Sibel", "non-dropping-particle" : "", "parse-names" : false, "suffix" : "" }, { "dropping-particle" : "", "family" : "\u00d6zcan", "given" : "Serkan", "non-dropping-particle" : "", "parse-names" : false, "suffix" : "" }, { "dropping-particle" : "", "family" : "Do\u011fan", "given" : "Mustafa", "non-dropping-particle" : "", "parse-names" : false, "suffix" : "" }, { "dropping-particle" : "", "family" : "K\u00fcsbeci", "given" : "Tuncay", "non-dropping-particle" : "", "parse-names" : false, "suffix" : "" }, { "dropping-particle" : "", "family" : "Yava\u015f", "given" : "G\u00fcliz Fatma", "non-dropping-particle" : "", "parse-names" : false, "suffix" : "" }, { "dropping-particle" : "", "family" : "\u0130nan", "given" : "\u00dcmit \u00dcbeyt", "non-dropping-particle" : "", "parse-names" : false, "suffix" : "" } ], "container-title" : "T\u00fcrk Oftalmoloji Dergisi", "id" : "ITEM-1", "issue" : "4", "issued" : { "date-parts" : [ [ "2017", "8", "9" ] ] }, "page" : "205-210", "title" : "Factors Affecting Compliance to Intravitreal Anti-Vascular Endothelial Growth Factor Therapy in Patients with Age-Related Macular Degeneration", "type" : "article-journal", "volume" : "47" }, "uris" : [ "http://www.mendeley.com/documents/?uuid=b349a565-6a27-3657-83e7-b7cb18eccfcc" ] } ], "mendeley" : { "formattedCitation" : "&lt;sup&gt;19&lt;/sup&gt;", "plainTextFormattedCitation" : "19", "previouslyFormattedCitation" : "&lt;sup&gt;19&lt;/sup&gt;" }, "properties" : { "noteIndex" : 0 }, "schema" : "https://github.com/citation-style-language/schema/raw/master/csl-citation.json" }</w:instrText>
      </w:r>
      <w:r w:rsidR="00CD15A6" w:rsidRPr="00D765D3">
        <w:rPr>
          <w:rFonts w:cs="Arial"/>
          <w:sz w:val="24"/>
          <w:szCs w:val="24"/>
        </w:rPr>
        <w:fldChar w:fldCharType="separate"/>
      </w:r>
      <w:r w:rsidR="00603A93" w:rsidRPr="00603A93">
        <w:rPr>
          <w:rFonts w:cs="Arial"/>
          <w:noProof/>
          <w:sz w:val="24"/>
          <w:szCs w:val="24"/>
          <w:vertAlign w:val="superscript"/>
        </w:rPr>
        <w:t>19</w:t>
      </w:r>
      <w:r w:rsidR="00CD15A6" w:rsidRPr="00D765D3">
        <w:rPr>
          <w:rFonts w:cs="Arial"/>
          <w:sz w:val="24"/>
          <w:szCs w:val="24"/>
        </w:rPr>
        <w:fldChar w:fldCharType="end"/>
      </w:r>
      <w:r w:rsidRPr="00D765D3">
        <w:rPr>
          <w:rFonts w:cs="Arial"/>
          <w:sz w:val="24"/>
          <w:szCs w:val="24"/>
        </w:rPr>
        <w:t xml:space="preserve">, where greater distance was </w:t>
      </w:r>
      <w:r w:rsidR="00AA1D52">
        <w:rPr>
          <w:rFonts w:cs="Arial"/>
          <w:sz w:val="24"/>
          <w:szCs w:val="24"/>
        </w:rPr>
        <w:t>associated with poor patient adherence to follow up and treatment</w:t>
      </w:r>
      <w:r w:rsidR="00CD15A6">
        <w:rPr>
          <w:rFonts w:cs="Arial"/>
          <w:sz w:val="24"/>
          <w:szCs w:val="24"/>
        </w:rPr>
        <w:t>. It</w:t>
      </w:r>
      <w:r w:rsidRPr="00D765D3">
        <w:rPr>
          <w:rFonts w:cs="Arial"/>
          <w:sz w:val="24"/>
          <w:szCs w:val="24"/>
        </w:rPr>
        <w:t xml:space="preserve"> is consistent with a Polish study where place of residence </w:t>
      </w:r>
      <w:r w:rsidR="00FB660A">
        <w:rPr>
          <w:rFonts w:cs="Arial"/>
          <w:sz w:val="24"/>
          <w:szCs w:val="24"/>
        </w:rPr>
        <w:t>was not associated with</w:t>
      </w:r>
      <w:r w:rsidRPr="00D765D3">
        <w:rPr>
          <w:rFonts w:cs="Arial"/>
          <w:sz w:val="24"/>
          <w:szCs w:val="24"/>
        </w:rPr>
        <w:t xml:space="preserve"> </w:t>
      </w:r>
      <w:r w:rsidR="00FB660A">
        <w:rPr>
          <w:rFonts w:cs="Arial"/>
          <w:sz w:val="24"/>
          <w:szCs w:val="24"/>
        </w:rPr>
        <w:t xml:space="preserve">AMD </w:t>
      </w:r>
      <w:r w:rsidR="000E05C3">
        <w:rPr>
          <w:rFonts w:cs="Arial"/>
          <w:sz w:val="24"/>
          <w:szCs w:val="24"/>
        </w:rPr>
        <w:t>outcome</w:t>
      </w:r>
      <w:r w:rsidR="003F6F1A">
        <w:rPr>
          <w:rFonts w:cs="Arial"/>
          <w:sz w:val="24"/>
          <w:szCs w:val="24"/>
        </w:rPr>
        <w:t>s</w:t>
      </w:r>
      <w:r w:rsidRPr="00D765D3">
        <w:rPr>
          <w:rFonts w:cs="Arial"/>
          <w:sz w:val="24"/>
          <w:szCs w:val="24"/>
        </w:rPr>
        <w:fldChar w:fldCharType="begin" w:fldLock="1"/>
      </w:r>
      <w:r w:rsidR="009F72CF">
        <w:rPr>
          <w:rFonts w:cs="Arial"/>
          <w:sz w:val="24"/>
          <w:szCs w:val="24"/>
        </w:rPr>
        <w:instrText>ADDIN CSL_CITATION { "citationItems" : [ { "id" : "ITEM-1", "itemData" : { "ISSN" : "1898-2263", "PMID" : "24364443", "abstract" : "OBJECTIVE Evaluation of the demographic profile of patients from south-eastern Poland treated due to wet age-related macular degeneration. MATERIAL AND METHODS Data concerning 201 patients were analyzed (133 F/ 68 M), aged from 50 -91, (mean age 76 \u00b1 8.6), with the wet form of age-related macular degeneration treated by intravitreal injections of vascular endothelial growth factor inhibiting drugs. The significance of the relationships between variables was investigated by means of chi-square test for independence. The differences between the empirical and theoretical sample distribution was examined by means of chi-square goodness-of-fit test. The significance level was set at p=0.05. RESULTS Analysis did not show any significant differences in the access to treatment with intravitreal injections of vascular endothelial growth factor inhibitors between the rural and urban patients. Urban males and females living in the rural areas received treatment statistically more often (p=0.05). No significant differences were observed with respect to either the waiting time for a visit in a specialist outpatient department, nor the duration of waiting for treatment. Patients from the rural and urban areas presented a similar degree of visual impairment, evidencing the advancement of the pathological process. CONCLUSIONS Place of residence has no effect on obtaining treatment by patients. The lack of significant differences in treatment between the rural and urban inhabitants may indicate a sufficient level of ophthalmological care in the area of south-eastern Poland. An improvement in the awareness of hazards resulting from inadequate diet and life style could exert a positive effect on the state of health of rural and urban inhabitants. At the same time, knowledge of the disease and risk of blindness related with this disease would increase alertness among rural and urban inhabitants, and in consequence, accelerate an early diagnosis and implementation of an effective treatment.", "author" : [ { "dropping-particle" : "", "family" : "Latalska", "given" : "Ma\u0142gorzata", "non-dropping-particle" : "", "parse-names" : false, "suffix" : "" }, { "dropping-particle" : "", "family" : "Matysik-Wo\u017aniak", "given" : "Anna", "non-dropping-particle" : "", "parse-names" : false, "suffix" : "" }, { "dropping-particle" : "", "family" : "Bylina", "given" : "Jerzy", "non-dropping-particle" : "", "parse-names" : false, "suffix" : "" }, { "dropping-particle" : "", "family" : "Latalski", "given" : "Micha\u0142", "non-dropping-particle" : "", "parse-names" : false, "suffix" : "" }, { "dropping-particle" : "", "family" : "Rejdak", "given" : "Robert", "non-dropping-particle" : "", "parse-names" : false, "suffix" : "" }, { "dropping-particle" : "", "family" : "Mackiewicz", "given" : "Jerzy", "non-dropping-particle" : "", "parse-names" : false, "suffix" : "" }, { "dropping-particle" : "", "family" : "Jarosz", "given" : "Miros\u0142aw J", "non-dropping-particle" : "", "parse-names" : false, "suffix" : "" } ], "container-title" : "Annals of agricultural and environmental medicine : AAEM", "id" : "ITEM-1", "issue" : "4", "issued" : { "date-parts" : [ [ "2013" ] ] }, "page" : "726-30", "title" : "Wet age-related macular degeneration (wet AMD) in rural and urban inhabitants in south-eastern Poland.", "type" : "article-journal", "volume" : "20" }, "uris" : [ "http://www.mendeley.com/documents/?uuid=6b6caf3f-b8dc-32f4-985d-abedf3e23d47" ] } ], "mendeley" : { "formattedCitation" : "&lt;sup&gt;20&lt;/sup&gt;", "plainTextFormattedCitation" : "20", "previouslyFormattedCitation" : "&lt;sup&gt;20&lt;/sup&gt;" }, "properties" : { "noteIndex" : 0 }, "schema" : "https://github.com/citation-style-language/schema/raw/master/csl-citation.json" }</w:instrText>
      </w:r>
      <w:r w:rsidRPr="00D765D3">
        <w:rPr>
          <w:rFonts w:cs="Arial"/>
          <w:sz w:val="24"/>
          <w:szCs w:val="24"/>
        </w:rPr>
        <w:fldChar w:fldCharType="separate"/>
      </w:r>
      <w:r w:rsidR="00603A93" w:rsidRPr="00603A93">
        <w:rPr>
          <w:rFonts w:cs="Arial"/>
          <w:noProof/>
          <w:sz w:val="24"/>
          <w:szCs w:val="24"/>
          <w:vertAlign w:val="superscript"/>
        </w:rPr>
        <w:t>20</w:t>
      </w:r>
      <w:r w:rsidRPr="00D765D3">
        <w:rPr>
          <w:rFonts w:cs="Arial"/>
          <w:sz w:val="24"/>
          <w:szCs w:val="24"/>
        </w:rPr>
        <w:fldChar w:fldCharType="end"/>
      </w:r>
      <w:r w:rsidRPr="00D765D3">
        <w:rPr>
          <w:rFonts w:cs="Arial"/>
          <w:sz w:val="24"/>
          <w:szCs w:val="24"/>
        </w:rPr>
        <w:t xml:space="preserve">. One explanation </w:t>
      </w:r>
      <w:r w:rsidR="001D1F7F">
        <w:rPr>
          <w:rFonts w:cs="Arial"/>
          <w:sz w:val="24"/>
          <w:szCs w:val="24"/>
        </w:rPr>
        <w:t>for these</w:t>
      </w:r>
      <w:r w:rsidR="001D1F7F" w:rsidRPr="00D765D3">
        <w:rPr>
          <w:rFonts w:cs="Arial"/>
          <w:sz w:val="24"/>
          <w:szCs w:val="24"/>
        </w:rPr>
        <w:t xml:space="preserve"> </w:t>
      </w:r>
      <w:r w:rsidR="001B30A5">
        <w:rPr>
          <w:rFonts w:cs="Arial"/>
          <w:sz w:val="24"/>
          <w:szCs w:val="24"/>
        </w:rPr>
        <w:t>differences</w:t>
      </w:r>
      <w:r w:rsidRPr="00D765D3">
        <w:rPr>
          <w:rFonts w:cs="Arial"/>
          <w:sz w:val="24"/>
          <w:szCs w:val="24"/>
        </w:rPr>
        <w:t xml:space="preserve"> may be </w:t>
      </w:r>
      <w:r w:rsidR="001B30A5">
        <w:rPr>
          <w:rFonts w:cs="Arial"/>
          <w:sz w:val="24"/>
          <w:szCs w:val="24"/>
        </w:rPr>
        <w:lastRenderedPageBreak/>
        <w:t>our</w:t>
      </w:r>
      <w:r w:rsidR="001B30A5" w:rsidRPr="00D765D3">
        <w:rPr>
          <w:rFonts w:cs="Arial"/>
          <w:sz w:val="24"/>
          <w:szCs w:val="24"/>
        </w:rPr>
        <w:t xml:space="preserve"> </w:t>
      </w:r>
      <w:r w:rsidRPr="00D765D3">
        <w:rPr>
          <w:rFonts w:cs="Arial"/>
          <w:sz w:val="24"/>
          <w:szCs w:val="24"/>
        </w:rPr>
        <w:t>sampling method</w:t>
      </w:r>
      <w:r w:rsidR="001B30A5">
        <w:rPr>
          <w:rFonts w:cs="Arial"/>
          <w:sz w:val="24"/>
          <w:szCs w:val="24"/>
        </w:rPr>
        <w:t>. This</w:t>
      </w:r>
      <w:r w:rsidRPr="00D765D3">
        <w:rPr>
          <w:rFonts w:cs="Arial"/>
          <w:sz w:val="24"/>
          <w:szCs w:val="24"/>
        </w:rPr>
        <w:t xml:space="preserve"> resulted in exclusion of eligible wet AMD patients who refused </w:t>
      </w:r>
      <w:r w:rsidR="00E74689">
        <w:rPr>
          <w:rFonts w:cs="Arial"/>
          <w:sz w:val="24"/>
          <w:szCs w:val="24"/>
        </w:rPr>
        <w:t>aflibercept</w:t>
      </w:r>
      <w:r w:rsidR="00E74689" w:rsidRPr="00D765D3">
        <w:rPr>
          <w:rFonts w:cs="Arial"/>
          <w:sz w:val="24"/>
          <w:szCs w:val="24"/>
        </w:rPr>
        <w:t xml:space="preserve"> </w:t>
      </w:r>
      <w:r w:rsidRPr="00D765D3">
        <w:rPr>
          <w:rFonts w:cs="Arial"/>
          <w:sz w:val="24"/>
          <w:szCs w:val="24"/>
        </w:rPr>
        <w:t xml:space="preserve">treatment for unknown reasons. </w:t>
      </w:r>
      <w:r w:rsidR="00EA59E8">
        <w:rPr>
          <w:rFonts w:cs="Arial"/>
          <w:sz w:val="24"/>
          <w:szCs w:val="24"/>
        </w:rPr>
        <w:t xml:space="preserve">The lack of association between </w:t>
      </w:r>
      <w:r w:rsidRPr="00D765D3">
        <w:rPr>
          <w:rFonts w:cs="Arial"/>
          <w:sz w:val="24"/>
          <w:szCs w:val="24"/>
        </w:rPr>
        <w:t xml:space="preserve">SES </w:t>
      </w:r>
      <w:r w:rsidR="001B30A5">
        <w:rPr>
          <w:rFonts w:cs="Arial"/>
          <w:sz w:val="24"/>
          <w:szCs w:val="24"/>
        </w:rPr>
        <w:t>or</w:t>
      </w:r>
      <w:r w:rsidR="001B30A5" w:rsidRPr="00D765D3">
        <w:rPr>
          <w:rFonts w:cs="Arial"/>
          <w:sz w:val="24"/>
          <w:szCs w:val="24"/>
        </w:rPr>
        <w:t xml:space="preserve"> </w:t>
      </w:r>
      <w:r w:rsidRPr="00D765D3">
        <w:rPr>
          <w:rFonts w:cs="Arial"/>
          <w:sz w:val="24"/>
          <w:szCs w:val="24"/>
        </w:rPr>
        <w:t>distance</w:t>
      </w:r>
      <w:r w:rsidR="001B30A5">
        <w:rPr>
          <w:rFonts w:cs="Arial"/>
          <w:sz w:val="24"/>
          <w:szCs w:val="24"/>
        </w:rPr>
        <w:t xml:space="preserve"> </w:t>
      </w:r>
      <w:r w:rsidR="00EA59E8">
        <w:rPr>
          <w:rFonts w:cs="Arial"/>
          <w:sz w:val="24"/>
          <w:szCs w:val="24"/>
        </w:rPr>
        <w:t xml:space="preserve">and </w:t>
      </w:r>
      <w:r w:rsidRPr="00D765D3">
        <w:rPr>
          <w:rFonts w:cs="Arial"/>
          <w:sz w:val="24"/>
          <w:szCs w:val="24"/>
        </w:rPr>
        <w:t xml:space="preserve">visual outcomes after </w:t>
      </w:r>
      <w:r w:rsidR="001B30A5">
        <w:rPr>
          <w:rFonts w:cs="Arial"/>
          <w:sz w:val="24"/>
          <w:szCs w:val="24"/>
        </w:rPr>
        <w:t>aflibercept</w:t>
      </w:r>
      <w:r w:rsidR="001B30A5" w:rsidRPr="00D765D3">
        <w:rPr>
          <w:rFonts w:cs="Arial"/>
          <w:sz w:val="24"/>
          <w:szCs w:val="24"/>
        </w:rPr>
        <w:t xml:space="preserve"> </w:t>
      </w:r>
      <w:r w:rsidRPr="00D765D3">
        <w:rPr>
          <w:rFonts w:cs="Arial"/>
          <w:sz w:val="24"/>
          <w:szCs w:val="24"/>
        </w:rPr>
        <w:t xml:space="preserve">treatment suggests </w:t>
      </w:r>
      <w:r w:rsidR="00EA59E8">
        <w:rPr>
          <w:rFonts w:cs="Arial"/>
          <w:sz w:val="24"/>
          <w:szCs w:val="24"/>
        </w:rPr>
        <w:t>an equitable</w:t>
      </w:r>
      <w:r w:rsidRPr="00D765D3">
        <w:rPr>
          <w:rFonts w:cs="Arial"/>
          <w:sz w:val="24"/>
          <w:szCs w:val="24"/>
        </w:rPr>
        <w:t xml:space="preserve"> </w:t>
      </w:r>
      <w:r w:rsidR="00EA59E8">
        <w:rPr>
          <w:rFonts w:cs="Arial"/>
          <w:sz w:val="24"/>
          <w:szCs w:val="24"/>
        </w:rPr>
        <w:t xml:space="preserve">appointment </w:t>
      </w:r>
      <w:r w:rsidRPr="00D765D3">
        <w:rPr>
          <w:rFonts w:cs="Arial"/>
          <w:sz w:val="24"/>
          <w:szCs w:val="24"/>
        </w:rPr>
        <w:t xml:space="preserve">system </w:t>
      </w:r>
      <w:r w:rsidR="00EA59E8">
        <w:rPr>
          <w:rFonts w:cs="Arial"/>
          <w:sz w:val="24"/>
          <w:szCs w:val="24"/>
        </w:rPr>
        <w:t>that is</w:t>
      </w:r>
      <w:r w:rsidRPr="00D765D3">
        <w:rPr>
          <w:rFonts w:cs="Arial"/>
          <w:sz w:val="24"/>
          <w:szCs w:val="24"/>
        </w:rPr>
        <w:t xml:space="preserve"> </w:t>
      </w:r>
      <w:r w:rsidR="00CD15A6">
        <w:rPr>
          <w:rFonts w:cs="Arial"/>
          <w:sz w:val="24"/>
          <w:szCs w:val="24"/>
        </w:rPr>
        <w:t>un</w:t>
      </w:r>
      <w:r w:rsidRPr="00D765D3">
        <w:rPr>
          <w:rFonts w:cs="Arial"/>
          <w:sz w:val="24"/>
          <w:szCs w:val="24"/>
        </w:rPr>
        <w:t xml:space="preserve">biased towards postcode areas. </w:t>
      </w:r>
      <w:r w:rsidR="00EA59E8">
        <w:rPr>
          <w:rFonts w:cs="Arial"/>
          <w:sz w:val="24"/>
          <w:szCs w:val="24"/>
        </w:rPr>
        <w:t>Additionally, d</w:t>
      </w:r>
      <w:r w:rsidRPr="00D765D3">
        <w:rPr>
          <w:rFonts w:cs="Arial"/>
          <w:sz w:val="24"/>
          <w:szCs w:val="24"/>
        </w:rPr>
        <w:t xml:space="preserve">ata validity and reliability of key variables </w:t>
      </w:r>
      <w:r w:rsidR="00CD15A6">
        <w:rPr>
          <w:rFonts w:cs="Arial"/>
          <w:sz w:val="24"/>
          <w:szCs w:val="24"/>
        </w:rPr>
        <w:t>were</w:t>
      </w:r>
      <w:r w:rsidR="00CD15A6" w:rsidRPr="00D765D3">
        <w:rPr>
          <w:rFonts w:cs="Arial"/>
          <w:sz w:val="24"/>
          <w:szCs w:val="24"/>
        </w:rPr>
        <w:t xml:space="preserve"> </w:t>
      </w:r>
      <w:r w:rsidRPr="00D765D3">
        <w:rPr>
          <w:rFonts w:cs="Arial"/>
          <w:sz w:val="24"/>
          <w:szCs w:val="24"/>
        </w:rPr>
        <w:t>maintained using standard protocols</w:t>
      </w:r>
      <w:r w:rsidR="00EA59E8">
        <w:rPr>
          <w:rFonts w:cs="Arial"/>
          <w:sz w:val="24"/>
          <w:szCs w:val="24"/>
        </w:rPr>
        <w:t xml:space="preserve"> and</w:t>
      </w:r>
      <w:r w:rsidRPr="00D765D3">
        <w:rPr>
          <w:rFonts w:cs="Arial"/>
          <w:sz w:val="24"/>
          <w:szCs w:val="24"/>
        </w:rPr>
        <w:t xml:space="preserve"> SES and distance </w:t>
      </w:r>
      <w:r w:rsidR="00EA59E8">
        <w:rPr>
          <w:rFonts w:cs="Arial"/>
          <w:sz w:val="24"/>
          <w:szCs w:val="24"/>
        </w:rPr>
        <w:t>were</w:t>
      </w:r>
      <w:r w:rsidRPr="00D765D3">
        <w:rPr>
          <w:rFonts w:cs="Arial"/>
          <w:sz w:val="24"/>
          <w:szCs w:val="24"/>
        </w:rPr>
        <w:t xml:space="preserve"> calculated using standard tools </w:t>
      </w:r>
      <w:r w:rsidR="00EA59E8">
        <w:rPr>
          <w:rFonts w:cs="Arial"/>
          <w:sz w:val="24"/>
          <w:szCs w:val="24"/>
        </w:rPr>
        <w:t>(</w:t>
      </w:r>
      <w:r w:rsidRPr="00D765D3">
        <w:rPr>
          <w:rFonts w:cs="Arial"/>
          <w:sz w:val="24"/>
          <w:szCs w:val="24"/>
        </w:rPr>
        <w:t>IMD and Geographic Information System</w:t>
      </w:r>
      <w:r w:rsidR="001B30A5">
        <w:rPr>
          <w:rFonts w:cs="Arial"/>
          <w:sz w:val="24"/>
          <w:szCs w:val="24"/>
        </w:rPr>
        <w:t xml:space="preserve"> </w:t>
      </w:r>
      <w:r w:rsidRPr="00D765D3">
        <w:rPr>
          <w:rFonts w:cs="Arial"/>
          <w:sz w:val="24"/>
          <w:szCs w:val="24"/>
        </w:rPr>
        <w:t>(ArcGIS software)</w:t>
      </w:r>
      <w:r w:rsidR="00EA59E8">
        <w:rPr>
          <w:rFonts w:cs="Arial"/>
          <w:sz w:val="24"/>
          <w:szCs w:val="24"/>
        </w:rPr>
        <w:t>)</w:t>
      </w:r>
      <w:r w:rsidRPr="00D765D3">
        <w:rPr>
          <w:rFonts w:cs="Arial"/>
          <w:sz w:val="24"/>
          <w:szCs w:val="24"/>
        </w:rPr>
        <w:t xml:space="preserve">. </w:t>
      </w:r>
      <w:r w:rsidR="00EA59E8">
        <w:rPr>
          <w:rFonts w:cs="Arial"/>
          <w:sz w:val="24"/>
          <w:szCs w:val="24"/>
        </w:rPr>
        <w:t>Our study</w:t>
      </w:r>
      <w:r w:rsidRPr="00D765D3">
        <w:rPr>
          <w:rFonts w:cs="Arial"/>
          <w:sz w:val="24"/>
          <w:szCs w:val="24"/>
        </w:rPr>
        <w:t xml:space="preserve"> sample size (756) </w:t>
      </w:r>
      <w:r w:rsidR="00EA59E8">
        <w:rPr>
          <w:rFonts w:cs="Arial"/>
          <w:sz w:val="24"/>
          <w:szCs w:val="24"/>
        </w:rPr>
        <w:t>was also</w:t>
      </w:r>
      <w:r w:rsidRPr="00D765D3">
        <w:rPr>
          <w:rFonts w:cs="Arial"/>
          <w:sz w:val="24"/>
          <w:szCs w:val="24"/>
        </w:rPr>
        <w:t xml:space="preserve"> relatively high </w:t>
      </w:r>
      <w:r w:rsidR="00CD15A6">
        <w:rPr>
          <w:rFonts w:cs="Arial"/>
          <w:sz w:val="24"/>
          <w:szCs w:val="24"/>
        </w:rPr>
        <w:t>compared to</w:t>
      </w:r>
      <w:r w:rsidRPr="00D765D3">
        <w:rPr>
          <w:rFonts w:cs="Arial"/>
          <w:sz w:val="24"/>
          <w:szCs w:val="24"/>
        </w:rPr>
        <w:t xml:space="preserve"> </w:t>
      </w:r>
      <w:r w:rsidR="00EA59E8">
        <w:rPr>
          <w:rFonts w:cs="Arial"/>
          <w:sz w:val="24"/>
          <w:szCs w:val="24"/>
        </w:rPr>
        <w:t>previous</w:t>
      </w:r>
      <w:r w:rsidR="00EA59E8" w:rsidRPr="00D765D3">
        <w:rPr>
          <w:rFonts w:cs="Arial"/>
          <w:sz w:val="24"/>
          <w:szCs w:val="24"/>
        </w:rPr>
        <w:t xml:space="preserve"> </w:t>
      </w:r>
      <w:r w:rsidR="00EA59E8">
        <w:rPr>
          <w:rFonts w:cs="Arial"/>
          <w:sz w:val="24"/>
          <w:szCs w:val="24"/>
        </w:rPr>
        <w:t xml:space="preserve">wet AMD </w:t>
      </w:r>
      <w:r w:rsidRPr="00D765D3">
        <w:rPr>
          <w:rFonts w:cs="Arial"/>
          <w:sz w:val="24"/>
          <w:szCs w:val="24"/>
        </w:rPr>
        <w:t xml:space="preserve">studies. </w:t>
      </w:r>
    </w:p>
    <w:p w14:paraId="30EFD4A2" w14:textId="19F47E0E" w:rsidR="00BB303A" w:rsidRDefault="00C768C2" w:rsidP="00D34244">
      <w:pPr>
        <w:spacing w:line="480" w:lineRule="auto"/>
        <w:rPr>
          <w:rFonts w:cs="Arial"/>
          <w:sz w:val="24"/>
          <w:szCs w:val="24"/>
        </w:rPr>
      </w:pPr>
      <w:r w:rsidRPr="00D765D3">
        <w:rPr>
          <w:rFonts w:cs="Arial"/>
          <w:sz w:val="24"/>
          <w:szCs w:val="24"/>
        </w:rPr>
        <w:t>Th</w:t>
      </w:r>
      <w:r w:rsidR="00E74689">
        <w:rPr>
          <w:rFonts w:cs="Arial"/>
          <w:sz w:val="24"/>
          <w:szCs w:val="24"/>
        </w:rPr>
        <w:t>is</w:t>
      </w:r>
      <w:r w:rsidRPr="00D765D3">
        <w:rPr>
          <w:rFonts w:cs="Arial"/>
          <w:sz w:val="24"/>
          <w:szCs w:val="24"/>
        </w:rPr>
        <w:t xml:space="preserve"> study </w:t>
      </w:r>
      <w:r w:rsidR="00E74689">
        <w:rPr>
          <w:rFonts w:cs="Arial"/>
          <w:sz w:val="24"/>
          <w:szCs w:val="24"/>
        </w:rPr>
        <w:t xml:space="preserve">has </w:t>
      </w:r>
      <w:r w:rsidR="004920D9">
        <w:rPr>
          <w:rFonts w:cs="Arial"/>
          <w:sz w:val="24"/>
          <w:szCs w:val="24"/>
        </w:rPr>
        <w:t xml:space="preserve">strengths and </w:t>
      </w:r>
      <w:r w:rsidRPr="00D765D3">
        <w:rPr>
          <w:rFonts w:cs="Arial"/>
          <w:sz w:val="24"/>
          <w:szCs w:val="24"/>
        </w:rPr>
        <w:t xml:space="preserve">limitations. </w:t>
      </w:r>
      <w:r w:rsidR="00C84D25">
        <w:rPr>
          <w:rFonts w:cs="Arial"/>
          <w:sz w:val="24"/>
          <w:szCs w:val="24"/>
        </w:rPr>
        <w:t xml:space="preserve">Strengths included the sample size and the </w:t>
      </w:r>
      <w:r w:rsidR="007E2C4A">
        <w:rPr>
          <w:rFonts w:cs="Arial"/>
          <w:sz w:val="24"/>
          <w:szCs w:val="24"/>
        </w:rPr>
        <w:t>availability</w:t>
      </w:r>
      <w:r w:rsidR="00C84D25">
        <w:rPr>
          <w:rFonts w:cs="Arial"/>
          <w:sz w:val="24"/>
          <w:szCs w:val="24"/>
        </w:rPr>
        <w:t xml:space="preserve"> of IMD data</w:t>
      </w:r>
      <w:r w:rsidR="007E2C4A">
        <w:rPr>
          <w:rFonts w:cs="Arial"/>
          <w:sz w:val="24"/>
          <w:szCs w:val="24"/>
        </w:rPr>
        <w:t xml:space="preserve"> to allow assessment of SES</w:t>
      </w:r>
      <w:r w:rsidR="00C84D25">
        <w:rPr>
          <w:rFonts w:cs="Arial"/>
          <w:sz w:val="24"/>
          <w:szCs w:val="24"/>
        </w:rPr>
        <w:t xml:space="preserve">. Consistency of treatment was also a strength, with all patients diagnosed with wet AMD receiving the same mandated treatment pathway of 7 aflibercept injections in the 11 months post diagnosis. </w:t>
      </w:r>
      <w:r w:rsidR="007E2C4A">
        <w:rPr>
          <w:rFonts w:cs="Arial"/>
          <w:sz w:val="24"/>
          <w:szCs w:val="24"/>
        </w:rPr>
        <w:t xml:space="preserve">However, </w:t>
      </w:r>
      <w:r w:rsidRPr="00D765D3">
        <w:rPr>
          <w:rFonts w:cs="Arial"/>
          <w:sz w:val="24"/>
          <w:szCs w:val="24"/>
        </w:rPr>
        <w:t xml:space="preserve">the data </w:t>
      </w:r>
      <w:r w:rsidR="007E2C4A">
        <w:rPr>
          <w:rFonts w:cs="Arial"/>
          <w:sz w:val="24"/>
          <w:szCs w:val="24"/>
        </w:rPr>
        <w:t>related</w:t>
      </w:r>
      <w:r w:rsidR="007E2C4A" w:rsidRPr="00D765D3">
        <w:rPr>
          <w:rFonts w:cs="Arial"/>
          <w:sz w:val="24"/>
          <w:szCs w:val="24"/>
        </w:rPr>
        <w:t xml:space="preserve"> </w:t>
      </w:r>
      <w:r w:rsidRPr="00D765D3">
        <w:rPr>
          <w:rFonts w:cs="Arial"/>
          <w:sz w:val="24"/>
          <w:szCs w:val="24"/>
        </w:rPr>
        <w:t xml:space="preserve">exclusively to </w:t>
      </w:r>
      <w:r w:rsidR="005E60BB">
        <w:rPr>
          <w:rFonts w:cs="Arial"/>
          <w:sz w:val="24"/>
          <w:szCs w:val="24"/>
        </w:rPr>
        <w:t>neovascular</w:t>
      </w:r>
      <w:r w:rsidRPr="00D765D3">
        <w:rPr>
          <w:rFonts w:cs="Arial"/>
          <w:sz w:val="24"/>
          <w:szCs w:val="24"/>
        </w:rPr>
        <w:t xml:space="preserve"> AMD patients, a larger set of patients with early AMD, dry AMD and those </w:t>
      </w:r>
      <w:r w:rsidR="001B30A5">
        <w:rPr>
          <w:rFonts w:cs="Arial"/>
          <w:sz w:val="24"/>
          <w:szCs w:val="24"/>
        </w:rPr>
        <w:t>undergoing</w:t>
      </w:r>
      <w:r w:rsidR="001B30A5" w:rsidRPr="00D765D3">
        <w:rPr>
          <w:rFonts w:cs="Arial"/>
          <w:sz w:val="24"/>
          <w:szCs w:val="24"/>
        </w:rPr>
        <w:t xml:space="preserve"> </w:t>
      </w:r>
      <w:r w:rsidRPr="00D765D3">
        <w:rPr>
          <w:rFonts w:cs="Arial"/>
          <w:sz w:val="24"/>
          <w:szCs w:val="24"/>
        </w:rPr>
        <w:t xml:space="preserve">different treatment </w:t>
      </w:r>
      <w:r w:rsidR="001B30A5">
        <w:rPr>
          <w:rFonts w:cs="Arial"/>
          <w:sz w:val="24"/>
          <w:szCs w:val="24"/>
        </w:rPr>
        <w:t>pathways</w:t>
      </w:r>
      <w:r w:rsidR="001B30A5" w:rsidRPr="00D765D3">
        <w:rPr>
          <w:rFonts w:cs="Arial"/>
          <w:sz w:val="24"/>
          <w:szCs w:val="24"/>
        </w:rPr>
        <w:t xml:space="preserve"> </w:t>
      </w:r>
      <w:r w:rsidR="001B30A5">
        <w:rPr>
          <w:rFonts w:cs="Arial"/>
          <w:sz w:val="24"/>
          <w:szCs w:val="24"/>
        </w:rPr>
        <w:t>were</w:t>
      </w:r>
      <w:r w:rsidR="001B30A5" w:rsidRPr="00D765D3">
        <w:rPr>
          <w:rFonts w:cs="Arial"/>
          <w:sz w:val="24"/>
          <w:szCs w:val="24"/>
        </w:rPr>
        <w:t xml:space="preserve"> </w:t>
      </w:r>
      <w:r w:rsidR="00E74689">
        <w:rPr>
          <w:rFonts w:cs="Arial"/>
          <w:sz w:val="24"/>
          <w:szCs w:val="24"/>
        </w:rPr>
        <w:t>excluded</w:t>
      </w:r>
      <w:r w:rsidRPr="00D765D3">
        <w:rPr>
          <w:rFonts w:cs="Arial"/>
          <w:sz w:val="24"/>
          <w:szCs w:val="24"/>
        </w:rPr>
        <w:t xml:space="preserve">. </w:t>
      </w:r>
      <w:r w:rsidR="004920D9">
        <w:rPr>
          <w:rFonts w:cs="Arial"/>
          <w:sz w:val="24"/>
          <w:szCs w:val="24"/>
        </w:rPr>
        <w:t>S</w:t>
      </w:r>
      <w:r w:rsidR="002066C1">
        <w:rPr>
          <w:rFonts w:cs="Arial"/>
          <w:sz w:val="24"/>
          <w:szCs w:val="24"/>
        </w:rPr>
        <w:t xml:space="preserve">election bias </w:t>
      </w:r>
      <w:r w:rsidR="004920D9">
        <w:rPr>
          <w:rFonts w:cs="Arial"/>
          <w:sz w:val="24"/>
          <w:szCs w:val="24"/>
        </w:rPr>
        <w:t xml:space="preserve">may </w:t>
      </w:r>
      <w:r w:rsidR="007E2C4A">
        <w:rPr>
          <w:rFonts w:cs="Arial"/>
          <w:sz w:val="24"/>
          <w:szCs w:val="24"/>
        </w:rPr>
        <w:t xml:space="preserve">also </w:t>
      </w:r>
      <w:r w:rsidR="004920D9">
        <w:rPr>
          <w:rFonts w:cs="Arial"/>
          <w:sz w:val="24"/>
          <w:szCs w:val="24"/>
        </w:rPr>
        <w:t xml:space="preserve">have arisen </w:t>
      </w:r>
      <w:r w:rsidR="002066C1">
        <w:rPr>
          <w:rFonts w:cs="Arial"/>
          <w:sz w:val="24"/>
          <w:szCs w:val="24"/>
        </w:rPr>
        <w:t xml:space="preserve">from the need to restrict the </w:t>
      </w:r>
      <w:r w:rsidR="00197983">
        <w:rPr>
          <w:rFonts w:cs="Arial"/>
          <w:sz w:val="24"/>
          <w:szCs w:val="24"/>
        </w:rPr>
        <w:t>analyses</w:t>
      </w:r>
      <w:r w:rsidR="002066C1">
        <w:rPr>
          <w:rFonts w:cs="Arial"/>
          <w:sz w:val="24"/>
          <w:szCs w:val="24"/>
        </w:rPr>
        <w:t xml:space="preserve"> to those with complete data.</w:t>
      </w:r>
      <w:r w:rsidRPr="00D765D3">
        <w:rPr>
          <w:rFonts w:cs="Arial"/>
          <w:sz w:val="24"/>
          <w:szCs w:val="24"/>
        </w:rPr>
        <w:t xml:space="preserve"> This </w:t>
      </w:r>
      <w:r w:rsidR="004920D9">
        <w:rPr>
          <w:rFonts w:cs="Arial"/>
          <w:sz w:val="24"/>
          <w:szCs w:val="24"/>
        </w:rPr>
        <w:t>restriction also meant we were unable to derive</w:t>
      </w:r>
      <w:r w:rsidRPr="00D765D3">
        <w:rPr>
          <w:rFonts w:cs="Arial"/>
          <w:sz w:val="24"/>
          <w:szCs w:val="24"/>
        </w:rPr>
        <w:t xml:space="preserve"> prevalence of </w:t>
      </w:r>
      <w:r w:rsidR="005E60BB">
        <w:rPr>
          <w:rFonts w:cs="Arial"/>
          <w:sz w:val="24"/>
          <w:szCs w:val="24"/>
        </w:rPr>
        <w:t>neovascular</w:t>
      </w:r>
      <w:r w:rsidR="005E60BB" w:rsidRPr="00D765D3">
        <w:rPr>
          <w:rFonts w:cs="Arial"/>
          <w:sz w:val="24"/>
          <w:szCs w:val="24"/>
        </w:rPr>
        <w:t xml:space="preserve"> </w:t>
      </w:r>
      <w:r w:rsidRPr="00D765D3">
        <w:rPr>
          <w:rFonts w:cs="Arial"/>
          <w:sz w:val="24"/>
          <w:szCs w:val="24"/>
        </w:rPr>
        <w:t>AMD patients</w:t>
      </w:r>
      <w:r w:rsidR="004920D9">
        <w:rPr>
          <w:rFonts w:cs="Arial"/>
          <w:sz w:val="24"/>
          <w:szCs w:val="24"/>
        </w:rPr>
        <w:t xml:space="preserve"> as a proportion of all AMD</w:t>
      </w:r>
      <w:r w:rsidR="0009625A" w:rsidRPr="0009625A">
        <w:rPr>
          <w:rFonts w:cs="Arial"/>
          <w:sz w:val="24"/>
          <w:szCs w:val="24"/>
        </w:rPr>
        <w:t xml:space="preserve"> </w:t>
      </w:r>
      <w:r w:rsidR="0009625A" w:rsidRPr="00D765D3">
        <w:rPr>
          <w:rFonts w:cs="Arial"/>
          <w:sz w:val="24"/>
          <w:szCs w:val="24"/>
        </w:rPr>
        <w:t>patients</w:t>
      </w:r>
      <w:r w:rsidRPr="00D765D3">
        <w:rPr>
          <w:rFonts w:cs="Arial"/>
          <w:sz w:val="24"/>
          <w:szCs w:val="24"/>
        </w:rPr>
        <w:t>.</w:t>
      </w:r>
      <w:r w:rsidR="00B61F66" w:rsidRPr="00D765D3">
        <w:rPr>
          <w:rFonts w:cs="Arial"/>
          <w:sz w:val="24"/>
          <w:szCs w:val="24"/>
        </w:rPr>
        <w:t xml:space="preserve"> </w:t>
      </w:r>
      <w:r w:rsidR="004920D9">
        <w:rPr>
          <w:rFonts w:cs="Arial"/>
          <w:sz w:val="24"/>
          <w:szCs w:val="24"/>
        </w:rPr>
        <w:t>M</w:t>
      </w:r>
      <w:r w:rsidRPr="00D765D3">
        <w:rPr>
          <w:rFonts w:cs="Arial"/>
          <w:sz w:val="24"/>
          <w:szCs w:val="24"/>
        </w:rPr>
        <w:t xml:space="preserve">issing data </w:t>
      </w:r>
      <w:r w:rsidR="004920D9">
        <w:rPr>
          <w:rFonts w:cs="Arial"/>
          <w:sz w:val="24"/>
          <w:szCs w:val="24"/>
        </w:rPr>
        <w:t>limited our ability to assess smoking as a</w:t>
      </w:r>
      <w:r w:rsidRPr="00D765D3">
        <w:rPr>
          <w:rFonts w:cs="Arial"/>
          <w:sz w:val="24"/>
          <w:szCs w:val="24"/>
        </w:rPr>
        <w:t xml:space="preserve"> confounding </w:t>
      </w:r>
      <w:r w:rsidR="004920D9">
        <w:rPr>
          <w:rFonts w:cs="Arial"/>
          <w:sz w:val="24"/>
          <w:szCs w:val="24"/>
        </w:rPr>
        <w:t xml:space="preserve">or mediating </w:t>
      </w:r>
      <w:r w:rsidRPr="00D765D3">
        <w:rPr>
          <w:rFonts w:cs="Arial"/>
          <w:sz w:val="24"/>
          <w:szCs w:val="24"/>
        </w:rPr>
        <w:t xml:space="preserve">factor. </w:t>
      </w:r>
    </w:p>
    <w:p w14:paraId="13CF421E" w14:textId="181B42DB" w:rsidR="00BF144D" w:rsidRDefault="00C768C2" w:rsidP="00D34244">
      <w:pPr>
        <w:spacing w:line="480" w:lineRule="auto"/>
        <w:rPr>
          <w:rFonts w:cs="Arial"/>
          <w:sz w:val="24"/>
          <w:szCs w:val="24"/>
        </w:rPr>
      </w:pPr>
      <w:r w:rsidRPr="00D765D3">
        <w:rPr>
          <w:rFonts w:cs="Arial"/>
          <w:sz w:val="24"/>
          <w:szCs w:val="24"/>
        </w:rPr>
        <w:t>Early detection and prevention can help reduce illness and overall cost burden, improving the quality of life of older people</w:t>
      </w:r>
      <w:r w:rsidRPr="00D765D3">
        <w:rPr>
          <w:rFonts w:cs="Arial"/>
          <w:sz w:val="24"/>
          <w:szCs w:val="24"/>
        </w:rPr>
        <w:fldChar w:fldCharType="begin" w:fldLock="1"/>
      </w:r>
      <w:r w:rsidR="00107CAF">
        <w:rPr>
          <w:rFonts w:cs="Arial"/>
          <w:sz w:val="24"/>
          <w:szCs w:val="24"/>
        </w:rPr>
        <w:instrText>ADDIN CSL_CITATION { "citationItems" : [ { "id" : "ITEM-1", "itemData" : { "author" : [ { "dropping-particle" : "", "family" : "Lotery", "given" : "Andrew", "non-dropping-particle" : "", "parse-names" : false, "suffix" : "" }, { "dropping-particle" : "", "family" : "Xu", "given" : "Xiao", "non-dropping-particle" : "", "parse-names" : false, "suffix" : "" }, { "dropping-particle" : "", "family" : "Zlatava", "given" : "Gergana", "non-dropping-particle" : "", "parse-names" : false, "suffix" : "" }, { "dropping-particle" : "", "family" : "Loftus", "given" : "Jane", "non-dropping-particle" : "", "parse-names" : false, "suffix" : "" } ], "container-title" : "British Journal of Ophthalmology", "id" : "ITEM-1", "issued" : { "date-parts" : [ [ "2007" ] ] }, "page" : "1303-07", "title" : "Burden of illness, visual impairment and health resource utilisation of patients with neovascular age-related macular degeneration", "type" : "article-journal", "volume" : "91" }, "uris" : [ "http://www.mendeley.com/documents/?uuid=3bba7a4f-6889-43e2-8ce1-ad874adb3409" ] } ], "mendeley" : { "formattedCitation" : "&lt;sup&gt;10&lt;/sup&gt;", "plainTextFormattedCitation" : "10", "previouslyFormattedCitation" : "&lt;sup&gt;10&lt;/sup&gt;" }, "properties" : { "noteIndex" : 0 }, "schema" : "https://github.com/citation-style-language/schema/raw/master/csl-citation.json" }</w:instrText>
      </w:r>
      <w:r w:rsidRPr="00D765D3">
        <w:rPr>
          <w:rFonts w:cs="Arial"/>
          <w:sz w:val="24"/>
          <w:szCs w:val="24"/>
        </w:rPr>
        <w:fldChar w:fldCharType="separate"/>
      </w:r>
      <w:r w:rsidR="008D6E7F" w:rsidRPr="00D765D3">
        <w:rPr>
          <w:rFonts w:cs="Arial"/>
          <w:noProof/>
          <w:sz w:val="24"/>
          <w:szCs w:val="24"/>
          <w:vertAlign w:val="superscript"/>
        </w:rPr>
        <w:t>10</w:t>
      </w:r>
      <w:r w:rsidRPr="00D765D3">
        <w:rPr>
          <w:rFonts w:cs="Arial"/>
          <w:sz w:val="24"/>
          <w:szCs w:val="24"/>
        </w:rPr>
        <w:fldChar w:fldCharType="end"/>
      </w:r>
      <w:r w:rsidRPr="00D765D3">
        <w:rPr>
          <w:rFonts w:cs="Arial"/>
          <w:sz w:val="24"/>
          <w:szCs w:val="24"/>
        </w:rPr>
        <w:t xml:space="preserve">. </w:t>
      </w:r>
      <w:r w:rsidR="00A36530">
        <w:rPr>
          <w:rFonts w:cs="Arial"/>
          <w:sz w:val="24"/>
          <w:szCs w:val="24"/>
        </w:rPr>
        <w:t xml:space="preserve">We explored </w:t>
      </w:r>
      <w:r w:rsidR="00A36530" w:rsidRPr="00D765D3">
        <w:rPr>
          <w:rFonts w:cs="Arial"/>
          <w:sz w:val="24"/>
          <w:szCs w:val="24"/>
        </w:rPr>
        <w:t xml:space="preserve">SES and distance </w:t>
      </w:r>
      <w:r w:rsidR="00A36530">
        <w:rPr>
          <w:rFonts w:cs="Arial"/>
          <w:sz w:val="24"/>
          <w:szCs w:val="24"/>
        </w:rPr>
        <w:t>as barriers to early detection, presentation</w:t>
      </w:r>
      <w:r w:rsidRPr="00D765D3">
        <w:rPr>
          <w:rFonts w:cs="Arial"/>
          <w:sz w:val="24"/>
          <w:szCs w:val="24"/>
        </w:rPr>
        <w:t xml:space="preserve"> </w:t>
      </w:r>
      <w:r w:rsidR="00A36530">
        <w:rPr>
          <w:rFonts w:cs="Arial"/>
          <w:sz w:val="24"/>
          <w:szCs w:val="24"/>
        </w:rPr>
        <w:t xml:space="preserve">and treatment in people with </w:t>
      </w:r>
      <w:r w:rsidR="005E60BB">
        <w:rPr>
          <w:rFonts w:cs="Arial"/>
          <w:sz w:val="24"/>
          <w:szCs w:val="24"/>
        </w:rPr>
        <w:t>neovascular</w:t>
      </w:r>
      <w:r w:rsidR="005E60BB" w:rsidRPr="00D765D3">
        <w:rPr>
          <w:rFonts w:cs="Arial"/>
          <w:sz w:val="24"/>
          <w:szCs w:val="24"/>
        </w:rPr>
        <w:t xml:space="preserve"> </w:t>
      </w:r>
      <w:r w:rsidRPr="00D765D3">
        <w:rPr>
          <w:rFonts w:cs="Arial"/>
          <w:sz w:val="24"/>
          <w:szCs w:val="24"/>
        </w:rPr>
        <w:t xml:space="preserve">AMD. </w:t>
      </w:r>
      <w:r w:rsidR="00A36530">
        <w:rPr>
          <w:rFonts w:cs="Arial"/>
          <w:sz w:val="24"/>
          <w:szCs w:val="24"/>
        </w:rPr>
        <w:t>Our findings</w:t>
      </w:r>
      <w:r w:rsidRPr="00D765D3">
        <w:rPr>
          <w:rFonts w:cs="Arial"/>
          <w:sz w:val="24"/>
          <w:szCs w:val="24"/>
        </w:rPr>
        <w:t xml:space="preserve"> </w:t>
      </w:r>
      <w:r w:rsidR="00A36530">
        <w:rPr>
          <w:rFonts w:cs="Arial"/>
          <w:sz w:val="24"/>
          <w:szCs w:val="24"/>
        </w:rPr>
        <w:t xml:space="preserve">imply that area deprivation is an important risk factor for late presentation of wet AMD (and more important than distance from hospital). This </w:t>
      </w:r>
      <w:r w:rsidR="005D16DB">
        <w:rPr>
          <w:rFonts w:cs="Arial"/>
          <w:sz w:val="24"/>
          <w:szCs w:val="24"/>
        </w:rPr>
        <w:t>may</w:t>
      </w:r>
      <w:r w:rsidR="005D16DB" w:rsidRPr="00D765D3">
        <w:rPr>
          <w:rFonts w:cs="Arial"/>
          <w:sz w:val="24"/>
          <w:szCs w:val="24"/>
        </w:rPr>
        <w:t xml:space="preserve"> </w:t>
      </w:r>
      <w:r w:rsidRPr="00D765D3">
        <w:rPr>
          <w:rFonts w:cs="Arial"/>
          <w:sz w:val="24"/>
          <w:szCs w:val="24"/>
        </w:rPr>
        <w:t xml:space="preserve">guide service </w:t>
      </w:r>
      <w:r w:rsidRPr="00D765D3">
        <w:rPr>
          <w:rFonts w:cs="Arial"/>
          <w:sz w:val="24"/>
          <w:szCs w:val="24"/>
        </w:rPr>
        <w:lastRenderedPageBreak/>
        <w:t xml:space="preserve">providers to </w:t>
      </w:r>
      <w:r w:rsidR="00A36530">
        <w:rPr>
          <w:rFonts w:cs="Arial"/>
          <w:sz w:val="24"/>
          <w:szCs w:val="24"/>
        </w:rPr>
        <w:t>consider innovative methods to reach</w:t>
      </w:r>
      <w:r w:rsidRPr="00D765D3">
        <w:rPr>
          <w:rFonts w:cs="Arial"/>
          <w:sz w:val="24"/>
          <w:szCs w:val="24"/>
        </w:rPr>
        <w:t xml:space="preserve"> people living in </w:t>
      </w:r>
      <w:r w:rsidR="00A36530">
        <w:rPr>
          <w:rFonts w:cs="Arial"/>
          <w:sz w:val="24"/>
          <w:szCs w:val="24"/>
        </w:rPr>
        <w:t>such</w:t>
      </w:r>
      <w:r w:rsidR="00A36530" w:rsidRPr="00D765D3">
        <w:rPr>
          <w:rFonts w:cs="Arial"/>
          <w:sz w:val="24"/>
          <w:szCs w:val="24"/>
        </w:rPr>
        <w:t xml:space="preserve"> </w:t>
      </w:r>
      <w:r w:rsidRPr="00D765D3">
        <w:rPr>
          <w:rFonts w:cs="Arial"/>
          <w:sz w:val="24"/>
          <w:szCs w:val="24"/>
        </w:rPr>
        <w:t>areas and those living further away from eye unit</w:t>
      </w:r>
      <w:r w:rsidR="005D16DB">
        <w:rPr>
          <w:rFonts w:cs="Arial"/>
          <w:sz w:val="24"/>
          <w:szCs w:val="24"/>
        </w:rPr>
        <w:t>.</w:t>
      </w:r>
      <w:r w:rsidR="00BF144D">
        <w:rPr>
          <w:rFonts w:cs="Arial"/>
          <w:sz w:val="24"/>
          <w:szCs w:val="24"/>
        </w:rPr>
        <w:t xml:space="preserve"> Such </w:t>
      </w:r>
      <w:r w:rsidR="00A36530">
        <w:rPr>
          <w:rFonts w:cs="Arial"/>
          <w:sz w:val="24"/>
          <w:szCs w:val="24"/>
        </w:rPr>
        <w:t xml:space="preserve">targeted </w:t>
      </w:r>
      <w:r w:rsidR="00BF144D">
        <w:rPr>
          <w:rFonts w:cs="Arial"/>
          <w:sz w:val="24"/>
          <w:szCs w:val="24"/>
        </w:rPr>
        <w:t xml:space="preserve">service provision </w:t>
      </w:r>
      <w:r w:rsidR="00A36530">
        <w:rPr>
          <w:rFonts w:cs="Arial"/>
          <w:sz w:val="24"/>
          <w:szCs w:val="24"/>
        </w:rPr>
        <w:t xml:space="preserve">may </w:t>
      </w:r>
      <w:r w:rsidR="00BF144D">
        <w:rPr>
          <w:rFonts w:cs="Arial"/>
          <w:sz w:val="24"/>
          <w:szCs w:val="24"/>
        </w:rPr>
        <w:t xml:space="preserve">improve </w:t>
      </w:r>
      <w:r w:rsidR="00351C89">
        <w:rPr>
          <w:rFonts w:cs="Arial"/>
          <w:sz w:val="24"/>
          <w:szCs w:val="24"/>
        </w:rPr>
        <w:t>treatment outcomes</w:t>
      </w:r>
      <w:r w:rsidR="00BF144D">
        <w:rPr>
          <w:rFonts w:cs="Arial"/>
          <w:sz w:val="24"/>
          <w:szCs w:val="24"/>
        </w:rPr>
        <w:t xml:space="preserve"> of this devastating disease.</w:t>
      </w:r>
    </w:p>
    <w:p w14:paraId="6778AD19" w14:textId="5AECB525" w:rsidR="00585EA9" w:rsidRPr="00D765D3" w:rsidRDefault="00585EA9" w:rsidP="00D34244">
      <w:pPr>
        <w:pStyle w:val="Heading1"/>
        <w:spacing w:line="480" w:lineRule="auto"/>
        <w:rPr>
          <w:noProof/>
          <w:sz w:val="24"/>
          <w:szCs w:val="24"/>
          <w:lang w:val="en-GB" w:eastAsia="en-GB"/>
        </w:rPr>
      </w:pPr>
      <w:r w:rsidRPr="00D765D3">
        <w:rPr>
          <w:noProof/>
          <w:sz w:val="24"/>
          <w:szCs w:val="24"/>
          <w:lang w:val="en-GB" w:eastAsia="en-GB"/>
        </w:rPr>
        <w:t>Author Statements</w:t>
      </w:r>
    </w:p>
    <w:p w14:paraId="1B957D03" w14:textId="77777777" w:rsidR="00585EA9" w:rsidRPr="00D765D3" w:rsidRDefault="00585EA9" w:rsidP="00D34244">
      <w:pPr>
        <w:widowControl w:val="0"/>
        <w:tabs>
          <w:tab w:val="left" w:pos="198"/>
        </w:tabs>
        <w:spacing w:after="0" w:line="480" w:lineRule="auto"/>
        <w:rPr>
          <w:rFonts w:cs="Arial"/>
          <w:b/>
          <w:noProof/>
          <w:spacing w:val="4"/>
          <w:sz w:val="24"/>
          <w:szCs w:val="24"/>
          <w:lang w:val="en-GB" w:eastAsia="en-GB"/>
        </w:rPr>
      </w:pPr>
    </w:p>
    <w:p w14:paraId="04C9501B" w14:textId="7B1953F7" w:rsidR="00585EA9" w:rsidRPr="00D765D3" w:rsidRDefault="00585EA9" w:rsidP="00D34244">
      <w:pPr>
        <w:spacing w:line="480" w:lineRule="auto"/>
        <w:rPr>
          <w:rFonts w:cs="Arial"/>
          <w:sz w:val="24"/>
          <w:szCs w:val="24"/>
        </w:rPr>
      </w:pPr>
      <w:r w:rsidRPr="00D765D3">
        <w:rPr>
          <w:rFonts w:cs="Arial"/>
          <w:sz w:val="24"/>
          <w:szCs w:val="24"/>
        </w:rPr>
        <w:t>Acknowledgements</w:t>
      </w:r>
    </w:p>
    <w:p w14:paraId="3EEFD0D4" w14:textId="33600411" w:rsidR="00585EA9" w:rsidRPr="00D765D3" w:rsidRDefault="005D16DB" w:rsidP="00D34244">
      <w:pPr>
        <w:spacing w:line="480" w:lineRule="auto"/>
        <w:rPr>
          <w:rFonts w:cs="Arial"/>
          <w:sz w:val="24"/>
          <w:szCs w:val="24"/>
        </w:rPr>
      </w:pPr>
      <w:r>
        <w:rPr>
          <w:rFonts w:cs="Arial"/>
          <w:sz w:val="24"/>
          <w:szCs w:val="24"/>
        </w:rPr>
        <w:t>We acknowledge</w:t>
      </w:r>
      <w:r w:rsidR="00585EA9" w:rsidRPr="00D765D3">
        <w:rPr>
          <w:rFonts w:cs="Arial"/>
          <w:sz w:val="24"/>
          <w:szCs w:val="24"/>
        </w:rPr>
        <w:t xml:space="preserve"> Dr. Penny </w:t>
      </w:r>
      <w:proofErr w:type="spellStart"/>
      <w:r w:rsidR="00585EA9" w:rsidRPr="00D765D3">
        <w:rPr>
          <w:rFonts w:cs="Arial"/>
          <w:sz w:val="24"/>
          <w:szCs w:val="24"/>
        </w:rPr>
        <w:t>Nestel</w:t>
      </w:r>
      <w:proofErr w:type="spellEnd"/>
      <w:r w:rsidR="00585EA9" w:rsidRPr="00D765D3">
        <w:rPr>
          <w:rFonts w:cs="Arial"/>
          <w:sz w:val="24"/>
          <w:szCs w:val="24"/>
        </w:rPr>
        <w:t xml:space="preserve">, Dr. Emma Parsons, and Paula Sands for </w:t>
      </w:r>
      <w:r>
        <w:rPr>
          <w:rFonts w:cs="Arial"/>
          <w:sz w:val="24"/>
          <w:szCs w:val="24"/>
        </w:rPr>
        <w:t>helpful guidance for this</w:t>
      </w:r>
      <w:r w:rsidR="00585EA9" w:rsidRPr="00D765D3">
        <w:rPr>
          <w:rFonts w:cs="Arial"/>
          <w:sz w:val="24"/>
          <w:szCs w:val="24"/>
        </w:rPr>
        <w:t xml:space="preserve"> project. </w:t>
      </w:r>
    </w:p>
    <w:p w14:paraId="4CE00244" w14:textId="6B1BCE7B" w:rsidR="00585EA9" w:rsidRPr="00D765D3" w:rsidRDefault="00585EA9" w:rsidP="00D34244">
      <w:pPr>
        <w:spacing w:line="480" w:lineRule="auto"/>
        <w:rPr>
          <w:rFonts w:cs="Arial"/>
          <w:sz w:val="24"/>
          <w:szCs w:val="24"/>
        </w:rPr>
      </w:pPr>
      <w:r w:rsidRPr="00D765D3">
        <w:rPr>
          <w:rFonts w:cs="Arial"/>
          <w:sz w:val="24"/>
          <w:szCs w:val="24"/>
        </w:rPr>
        <w:t>Ethical Approval</w:t>
      </w:r>
    </w:p>
    <w:p w14:paraId="24CD2A83" w14:textId="49CA4727" w:rsidR="00DB07C5" w:rsidRDefault="00DB07C5" w:rsidP="00D34244">
      <w:pPr>
        <w:spacing w:line="480" w:lineRule="auto"/>
        <w:rPr>
          <w:rFonts w:cs="Arial"/>
          <w:sz w:val="24"/>
          <w:szCs w:val="24"/>
        </w:rPr>
      </w:pPr>
      <w:r w:rsidRPr="00D765D3">
        <w:rPr>
          <w:rFonts w:cs="Arial"/>
          <w:sz w:val="24"/>
          <w:szCs w:val="24"/>
        </w:rPr>
        <w:t>Ethics approval was sought and was granted by Faculty of Medicine for data that is anonymized as well as postcode data to derive IMD and distance (</w:t>
      </w:r>
      <w:r w:rsidR="00F057ED" w:rsidRPr="00D765D3">
        <w:rPr>
          <w:rFonts w:cs="Arial"/>
          <w:sz w:val="24"/>
          <w:szCs w:val="24"/>
        </w:rPr>
        <w:t>Ethics and Research Governance Online</w:t>
      </w:r>
      <w:r w:rsidR="00F057ED">
        <w:rPr>
          <w:rFonts w:cs="Arial"/>
          <w:sz w:val="24"/>
          <w:szCs w:val="24"/>
        </w:rPr>
        <w:t xml:space="preserve"> </w:t>
      </w:r>
      <w:r w:rsidRPr="00D765D3">
        <w:rPr>
          <w:rFonts w:cs="Arial"/>
          <w:sz w:val="24"/>
          <w:szCs w:val="24"/>
        </w:rPr>
        <w:t>ID = 29347).</w:t>
      </w:r>
    </w:p>
    <w:p w14:paraId="70186E18" w14:textId="7C92E2D4" w:rsidR="00675007" w:rsidRDefault="00675007" w:rsidP="00D34244">
      <w:pPr>
        <w:spacing w:line="480" w:lineRule="auto"/>
        <w:rPr>
          <w:rFonts w:cs="Arial"/>
          <w:sz w:val="24"/>
          <w:szCs w:val="24"/>
        </w:rPr>
      </w:pPr>
    </w:p>
    <w:p w14:paraId="06888C79" w14:textId="77F3EF12" w:rsidR="00EA635D" w:rsidRPr="00D765D3" w:rsidRDefault="006F7F35" w:rsidP="00D34244">
      <w:pPr>
        <w:pStyle w:val="Heading1"/>
        <w:spacing w:line="480" w:lineRule="auto"/>
        <w:rPr>
          <w:noProof/>
          <w:sz w:val="24"/>
          <w:szCs w:val="24"/>
          <w:lang w:val="en-GB" w:eastAsia="en-GB"/>
        </w:rPr>
      </w:pPr>
      <w:r w:rsidRPr="00D765D3">
        <w:rPr>
          <w:noProof/>
          <w:sz w:val="24"/>
          <w:szCs w:val="24"/>
          <w:lang w:val="en-GB" w:eastAsia="en-GB"/>
        </w:rPr>
        <w:t>References</w:t>
      </w:r>
    </w:p>
    <w:p w14:paraId="54E44540" w14:textId="77777777" w:rsidR="004D0153" w:rsidRDefault="004D0153" w:rsidP="00D34244">
      <w:pPr>
        <w:widowControl w:val="0"/>
        <w:tabs>
          <w:tab w:val="left" w:pos="198"/>
        </w:tabs>
        <w:spacing w:after="0" w:line="480" w:lineRule="auto"/>
        <w:rPr>
          <w:rFonts w:cs="Arial"/>
        </w:rPr>
      </w:pPr>
    </w:p>
    <w:p w14:paraId="0955B54B" w14:textId="680A278A" w:rsidR="009F72CF" w:rsidRPr="009F72CF" w:rsidRDefault="00890477" w:rsidP="009F72CF">
      <w:pPr>
        <w:widowControl w:val="0"/>
        <w:autoSpaceDE w:val="0"/>
        <w:autoSpaceDN w:val="0"/>
        <w:adjustRightInd w:val="0"/>
        <w:spacing w:line="480" w:lineRule="auto"/>
        <w:ind w:left="640" w:hanging="640"/>
        <w:rPr>
          <w:rFonts w:cs="Arial"/>
          <w:noProof/>
          <w:sz w:val="18"/>
          <w:szCs w:val="24"/>
        </w:rPr>
      </w:pPr>
      <w:r w:rsidRPr="004D0153">
        <w:rPr>
          <w:rFonts w:cs="Arial"/>
          <w:sz w:val="18"/>
          <w:szCs w:val="18"/>
        </w:rPr>
        <w:fldChar w:fldCharType="begin" w:fldLock="1"/>
      </w:r>
      <w:r w:rsidRPr="004D0153">
        <w:rPr>
          <w:rFonts w:cs="Arial"/>
          <w:sz w:val="18"/>
          <w:szCs w:val="18"/>
        </w:rPr>
        <w:instrText xml:space="preserve">ADDIN Mendeley Bibliography CSL_BIBLIOGRAPHY </w:instrText>
      </w:r>
      <w:r w:rsidRPr="004D0153">
        <w:rPr>
          <w:rFonts w:cs="Arial"/>
          <w:sz w:val="18"/>
          <w:szCs w:val="18"/>
        </w:rPr>
        <w:fldChar w:fldCharType="separate"/>
      </w:r>
      <w:r w:rsidR="009F72CF" w:rsidRPr="009F72CF">
        <w:rPr>
          <w:rFonts w:cs="Arial"/>
          <w:noProof/>
          <w:sz w:val="18"/>
          <w:szCs w:val="24"/>
        </w:rPr>
        <w:t xml:space="preserve">1. </w:t>
      </w:r>
      <w:r w:rsidR="009F72CF" w:rsidRPr="009F72CF">
        <w:rPr>
          <w:rFonts w:cs="Arial"/>
          <w:noProof/>
          <w:sz w:val="18"/>
          <w:szCs w:val="24"/>
        </w:rPr>
        <w:tab/>
        <w:t>Access Economics. Future cost of sight loss UK (1): Economic impact of partial sight and blindness in the UK adult population [Internet]. 2009 [cited 2017 Nov 10]. Available from: http://www.rnib.org.uk/knowledge-and-research-hub/research-reports/general-research/future-sight-loss-uk-1</w:t>
      </w:r>
    </w:p>
    <w:p w14:paraId="3818B0E6"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 </w:t>
      </w:r>
      <w:r w:rsidRPr="009F72CF">
        <w:rPr>
          <w:rFonts w:cs="Arial"/>
          <w:noProof/>
          <w:sz w:val="18"/>
          <w:szCs w:val="24"/>
        </w:rPr>
        <w:tab/>
        <w:t xml:space="preserve">Owen CG, Jarrar Z, Wormald R, Cook DG, Fletcher AE, Rudnicka AR. The estimated prevalence and incidence of late stage age related macular degeneration in the UK. Br J Ophthalmol. 2012;96(5):752–6. </w:t>
      </w:r>
    </w:p>
    <w:p w14:paraId="2647394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 </w:t>
      </w:r>
      <w:r w:rsidRPr="009F72CF">
        <w:rPr>
          <w:rFonts w:cs="Arial"/>
          <w:noProof/>
          <w:sz w:val="18"/>
          <w:szCs w:val="24"/>
        </w:rPr>
        <w:tab/>
        <w:t xml:space="preserve">Chakravarthy U, Wong TY, Fletcher A, Piault E, Evans C, Zlateva G, et al. Clinical risk factors for age-related </w:t>
      </w:r>
      <w:r w:rsidRPr="009F72CF">
        <w:rPr>
          <w:rFonts w:cs="Arial"/>
          <w:noProof/>
          <w:sz w:val="18"/>
          <w:szCs w:val="24"/>
        </w:rPr>
        <w:lastRenderedPageBreak/>
        <w:t xml:space="preserve">macular degeneration: a systematic review and meta-analysis. BMC Ophthalmol. 2010;10:31. </w:t>
      </w:r>
    </w:p>
    <w:p w14:paraId="156E1F55"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4. </w:t>
      </w:r>
      <w:r w:rsidRPr="009F72CF">
        <w:rPr>
          <w:rFonts w:cs="Arial"/>
          <w:noProof/>
          <w:sz w:val="18"/>
          <w:szCs w:val="24"/>
        </w:rPr>
        <w:tab/>
        <w:t>National Population Projections - Office for National Statistics [Internet]. [cited 2017 Oct 10]. Available from: https://www.ons.gov.uk/peoplepopulationandcommunity/populationandmigration/populationprojections/bulletins/nationalpopulationprojections/2015-10-29</w:t>
      </w:r>
    </w:p>
    <w:p w14:paraId="3CB4C9F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5. </w:t>
      </w:r>
      <w:r w:rsidRPr="009F72CF">
        <w:rPr>
          <w:rFonts w:cs="Arial"/>
          <w:noProof/>
          <w:sz w:val="18"/>
          <w:szCs w:val="24"/>
        </w:rPr>
        <w:tab/>
        <w:t xml:space="preserve">Wong WL, Su X, Li X, Cheung CM, Klein R, Cheng CY, et al. Global prevalence of age-related macular degeneration and disease burden projection for 2020 and 2040: a systematic review and meta-analysis. Lancet Glob Heal. 2014;2(2):106–16. </w:t>
      </w:r>
    </w:p>
    <w:p w14:paraId="7EB594A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6. </w:t>
      </w:r>
      <w:r w:rsidRPr="009F72CF">
        <w:rPr>
          <w:rFonts w:cs="Arial"/>
          <w:noProof/>
          <w:sz w:val="18"/>
          <w:szCs w:val="24"/>
        </w:rPr>
        <w:tab/>
        <w:t>Macular Society. Age-related macular degeneration: collaborating to find a cure. 2016 [cited 2017 Oct 10]; Available from: https://www.macularsociety.org/sites/default/files/downloads/AMD Collaborating to find a cure Accessible FINAL.pdf</w:t>
      </w:r>
    </w:p>
    <w:p w14:paraId="1715794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7. </w:t>
      </w:r>
      <w:r w:rsidRPr="009F72CF">
        <w:rPr>
          <w:rFonts w:cs="Arial"/>
          <w:noProof/>
          <w:sz w:val="18"/>
          <w:szCs w:val="24"/>
        </w:rPr>
        <w:tab/>
        <w:t>McManus S, Lord C. Circumstances of people with sight loss. Secondary analysis of Understanding. Society the Life and Opportunities [Internet]. National Centre for Social Research. 2012 [cited 2017 Nov 11]. Available from: http://www.rnib.org.uk/sites/default/files/Circumstances_sight_loss_report.pdf</w:t>
      </w:r>
    </w:p>
    <w:p w14:paraId="2DDB71B0"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8. </w:t>
      </w:r>
      <w:r w:rsidRPr="009F72CF">
        <w:rPr>
          <w:rFonts w:cs="Arial"/>
          <w:noProof/>
          <w:sz w:val="18"/>
          <w:szCs w:val="24"/>
        </w:rPr>
        <w:tab/>
        <w:t xml:space="preserve">Owen CG, Fletcher AE, Donoghue M, Rudnicka AR. How big is the burden of visual loss caused by age related macular degeneration in the United Kingdom? Br J Ophthalmol. 2003;87(3):312–7. </w:t>
      </w:r>
    </w:p>
    <w:p w14:paraId="56A54A4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9. </w:t>
      </w:r>
      <w:r w:rsidRPr="009F72CF">
        <w:rPr>
          <w:rFonts w:cs="Arial"/>
          <w:noProof/>
          <w:sz w:val="18"/>
          <w:szCs w:val="24"/>
        </w:rPr>
        <w:tab/>
        <w:t xml:space="preserve">Scuffham P, Legood R, Wilson E, Kennedy-Martin T. Incidence and Cost of Injurious Falls Associated with Visual Impairment. Vis Impair Res. 2002;4:1–14. </w:t>
      </w:r>
    </w:p>
    <w:p w14:paraId="1E202BE4"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10. </w:t>
      </w:r>
      <w:r w:rsidRPr="009F72CF">
        <w:rPr>
          <w:rFonts w:cs="Arial"/>
          <w:noProof/>
          <w:sz w:val="18"/>
          <w:szCs w:val="24"/>
        </w:rPr>
        <w:tab/>
        <w:t xml:space="preserve">Lotery A, Xu X, Zlatava G, Loftus J. Burden of illness, visual impairment and health resource utilisation of patients with neovascular age-related macular degeneration. Br J Ophthalmol. 2007;91:1303–7. </w:t>
      </w:r>
    </w:p>
    <w:p w14:paraId="53407AFB"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11. </w:t>
      </w:r>
      <w:r w:rsidRPr="009F72CF">
        <w:rPr>
          <w:rFonts w:cs="Arial"/>
          <w:noProof/>
          <w:sz w:val="18"/>
          <w:szCs w:val="24"/>
        </w:rPr>
        <w:tab/>
        <w:t xml:space="preserve">Sivaprasad S, Hykin P, Chakravarthy U, Lotery A, McKibbin M, Napier J. A retrospective study of the real-life utilization and effectiveness of ranibizumab therapy for neovascular age-related macular degeneration in the UK. Clin Ophthalmol. 2016;10:87–96. </w:t>
      </w:r>
    </w:p>
    <w:p w14:paraId="6BBACF04"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12. </w:t>
      </w:r>
      <w:r w:rsidRPr="009F72CF">
        <w:rPr>
          <w:rFonts w:cs="Arial"/>
          <w:noProof/>
          <w:sz w:val="18"/>
          <w:szCs w:val="24"/>
        </w:rPr>
        <w:tab/>
        <w:t>Ashton JR. Sight loss: A public health priority [Internet]. 2009 [cited 2017 Dec 23]. Available from: https://www.rnib.org.uk/sites/default/files/Sight_loss_a public_health_priority_PT_1401.docx</w:t>
      </w:r>
    </w:p>
    <w:p w14:paraId="78A4B281"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13. </w:t>
      </w:r>
      <w:r w:rsidRPr="009F72CF">
        <w:rPr>
          <w:rFonts w:cs="Arial"/>
          <w:noProof/>
          <w:sz w:val="18"/>
          <w:szCs w:val="24"/>
        </w:rPr>
        <w:tab/>
        <w:t xml:space="preserve">Hiscock R, Bauld L, Amos A, Fidler JA, Munafò M. Socioeconomic status and smoking: a review. Ann N Y Acad Sci. 2012 Feb;1248(1):107–23. </w:t>
      </w:r>
    </w:p>
    <w:p w14:paraId="6160E7F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lastRenderedPageBreak/>
        <w:t xml:space="preserve">14. </w:t>
      </w:r>
      <w:r w:rsidRPr="009F72CF">
        <w:rPr>
          <w:rFonts w:cs="Arial"/>
          <w:noProof/>
          <w:sz w:val="18"/>
          <w:szCs w:val="24"/>
        </w:rPr>
        <w:tab/>
        <w:t xml:space="preserve">Sharma HE, Mathewson PA, Lane M, Shah P, Glover N, Palmer H, et al. The role of social deprivation in severe neovascular age-related macular degeneration. Br J Ophthalmol. 2014;98(12):1625–8. </w:t>
      </w:r>
    </w:p>
    <w:p w14:paraId="5DB0A8C1"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15. </w:t>
      </w:r>
      <w:r w:rsidRPr="009F72CF">
        <w:rPr>
          <w:rFonts w:cs="Arial"/>
          <w:noProof/>
          <w:sz w:val="18"/>
          <w:szCs w:val="24"/>
        </w:rPr>
        <w:tab/>
        <w:t xml:space="preserve">Yip JL, Khawaja AP, Chan MP, Broadway DC, Peto T, Luben R, et al. Area deprivation and age related macular degeneration in the EPIC-Norfolk Eye Study. Public Health. 129(2):103–9. </w:t>
      </w:r>
    </w:p>
    <w:p w14:paraId="5D46D7C4"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16. </w:t>
      </w:r>
      <w:r w:rsidRPr="009F72CF">
        <w:rPr>
          <w:rFonts w:cs="Arial"/>
          <w:noProof/>
          <w:sz w:val="18"/>
          <w:szCs w:val="24"/>
        </w:rPr>
        <w:tab/>
        <w:t xml:space="preserve">Acharya N, Lois N, Townend J, Zaher S, Gallagher M, Gavin M. Socio-economic deprivation and visual acuity at presentation in exudative age-related macular degeneration. Br J Ophthalmol. 2009;93(5):627–9. </w:t>
      </w:r>
    </w:p>
    <w:p w14:paraId="01D06A60"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17. </w:t>
      </w:r>
      <w:r w:rsidRPr="009F72CF">
        <w:rPr>
          <w:rFonts w:cs="Arial"/>
          <w:noProof/>
          <w:sz w:val="18"/>
          <w:szCs w:val="24"/>
        </w:rPr>
        <w:tab/>
        <w:t xml:space="preserve">Attebo K, Mitchell P, Smith W. Visual acuity and the causes of visual loss in Australia - The blue mountains eye study. Ophthalmology. 1996;103(3):357–64. </w:t>
      </w:r>
    </w:p>
    <w:p w14:paraId="338D9521"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18. </w:t>
      </w:r>
      <w:r w:rsidRPr="009F72CF">
        <w:rPr>
          <w:rFonts w:cs="Arial"/>
          <w:noProof/>
          <w:sz w:val="18"/>
          <w:szCs w:val="24"/>
        </w:rPr>
        <w:tab/>
        <w:t xml:space="preserve">Boulanger-Scemama E, Querques G, About F, Puche N, Srour M, Mane V, et al. Ranibizumab for exudative age-related macular degeneration: A five year study of adherence to follow-up in a real-life setting. J Fr d Opthalmologie. 38(7):620–7. </w:t>
      </w:r>
    </w:p>
    <w:p w14:paraId="599EEBE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19. </w:t>
      </w:r>
      <w:r w:rsidRPr="009F72CF">
        <w:rPr>
          <w:rFonts w:cs="Arial"/>
          <w:noProof/>
          <w:sz w:val="18"/>
          <w:szCs w:val="24"/>
        </w:rPr>
        <w:tab/>
        <w:t xml:space="preserve">Polat O, İnan S, Özcan S, Doğan M, Küsbeci T, Yavaş GF, et al. Factors Affecting Compliance to Intravitreal Anti-Vascular Endothelial Growth Factor Therapy in Patients with Age-Related Macular Degeneration. Türk Oftalmol Derg. 2017 Aug 9;47(4):205–10. </w:t>
      </w:r>
    </w:p>
    <w:p w14:paraId="40CDEB3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20. </w:t>
      </w:r>
      <w:r w:rsidRPr="009F72CF">
        <w:rPr>
          <w:rFonts w:cs="Arial"/>
          <w:noProof/>
          <w:sz w:val="18"/>
          <w:szCs w:val="24"/>
        </w:rPr>
        <w:tab/>
        <w:t xml:space="preserve">Latalska M, Matysik-Woźniak A, Bylina J, Latalski M, Rejdak R, Mackiewicz J, et al. Wet age-related macular degeneration (wet AMD) in rural and urban inhabitants in south-eastern Poland. Ann Agric Environ Med. 2013;20(4):726–30. </w:t>
      </w:r>
    </w:p>
    <w:p w14:paraId="36C684F0"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21. </w:t>
      </w:r>
      <w:r w:rsidRPr="009F72CF">
        <w:rPr>
          <w:rFonts w:cs="Arial"/>
          <w:noProof/>
          <w:sz w:val="18"/>
          <w:szCs w:val="24"/>
        </w:rPr>
        <w:tab/>
        <w:t>Kelly C, Hulme C, Farragher T, Clarke G. Are differences in travel time or distance to healthcare for adults in global north countries associated with an impact on health outcomes? A systematic review. BMJ Open [Internet]. 2016 [cited 2019 Jan 8]; Available from: http://bmjopen.bmj.com/</w:t>
      </w:r>
    </w:p>
    <w:p w14:paraId="78E6B5BD"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22. </w:t>
      </w:r>
      <w:r w:rsidRPr="009F72CF">
        <w:rPr>
          <w:rFonts w:cs="Arial"/>
          <w:noProof/>
          <w:sz w:val="18"/>
          <w:szCs w:val="24"/>
        </w:rPr>
        <w:tab/>
        <w:t>Aflibercept solution for injection for treating wet age</w:t>
      </w:r>
      <w:r w:rsidRPr="009F72CF">
        <w:rPr>
          <w:rFonts w:ascii="Cambria Math" w:hAnsi="Cambria Math" w:cs="Cambria Math"/>
          <w:noProof/>
          <w:sz w:val="18"/>
          <w:szCs w:val="24"/>
        </w:rPr>
        <w:t>‑</w:t>
      </w:r>
      <w:r w:rsidRPr="009F72CF">
        <w:rPr>
          <w:rFonts w:cs="Arial"/>
          <w:noProof/>
          <w:sz w:val="18"/>
          <w:szCs w:val="24"/>
        </w:rPr>
        <w:t>related macular degeneration | Guidance and guidelines | NICE. [cited 2018 May 2]; Available from: https://www.nice.org.uk/guidance/ta294</w:t>
      </w:r>
    </w:p>
    <w:p w14:paraId="45D70999"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23. </w:t>
      </w:r>
      <w:r w:rsidRPr="009F72CF">
        <w:rPr>
          <w:rFonts w:cs="Arial"/>
          <w:noProof/>
          <w:sz w:val="18"/>
          <w:szCs w:val="24"/>
        </w:rPr>
        <w:tab/>
        <w:t>Age-related macular degeneration. [cited 2017 Oct 15]; Available from: https://www.nice.org.uk/guidance/gid-cgwave0658/documents/short-version-of-draft-guideline-2</w:t>
      </w:r>
    </w:p>
    <w:p w14:paraId="659808D3"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24. </w:t>
      </w:r>
      <w:r w:rsidRPr="009F72CF">
        <w:rPr>
          <w:rFonts w:cs="Arial"/>
          <w:noProof/>
          <w:sz w:val="18"/>
          <w:szCs w:val="24"/>
        </w:rPr>
        <w:tab/>
        <w:t xml:space="preserve">Almuhtaseb H, Kanavati S, Rufai SR, Lotery AJ. One-year real-world outcomes in patients receiving fixed-dosing aflibercept for neovascular age-related macular degeneration. Eye. 2017;31(6):878–83. </w:t>
      </w:r>
    </w:p>
    <w:p w14:paraId="1497631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lastRenderedPageBreak/>
        <w:t xml:space="preserve">25. </w:t>
      </w:r>
      <w:r w:rsidRPr="009F72CF">
        <w:rPr>
          <w:rFonts w:cs="Arial"/>
          <w:noProof/>
          <w:sz w:val="18"/>
          <w:szCs w:val="24"/>
        </w:rPr>
        <w:tab/>
        <w:t xml:space="preserve">Dandona L, Dandona R. Revision of visual impairment definitions in the International Statistical Classification of Diseases. BMC Med. 2006;4(1):7. </w:t>
      </w:r>
    </w:p>
    <w:p w14:paraId="0EC22EE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26. </w:t>
      </w:r>
      <w:r w:rsidRPr="009F72CF">
        <w:rPr>
          <w:rFonts w:cs="Arial"/>
          <w:noProof/>
          <w:sz w:val="18"/>
          <w:szCs w:val="24"/>
        </w:rPr>
        <w:tab/>
        <w:t>The English Index of Multiple Deprivation (IMD) 2015 – Guidance. [cited 2017 Oct 15]; Available from: https://www.gov.uk/government/statistics/english-indices-of-deprivation-2015</w:t>
      </w:r>
    </w:p>
    <w:p w14:paraId="4A8ECFFA"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27. </w:t>
      </w:r>
      <w:r w:rsidRPr="009F72CF">
        <w:rPr>
          <w:rFonts w:cs="Arial"/>
          <w:noProof/>
          <w:sz w:val="18"/>
          <w:szCs w:val="24"/>
        </w:rPr>
        <w:tab/>
        <w:t>Support UDSC. GeoConvert, UK Data Service Census Support. 2015 Jul 29 [cited 2018 Mar 22]; Available from: http://geoconvert.mimas.ac.uk/</w:t>
      </w:r>
    </w:p>
    <w:p w14:paraId="63CD8528"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28. </w:t>
      </w:r>
      <w:r w:rsidRPr="009F72CF">
        <w:rPr>
          <w:rFonts w:cs="Arial"/>
          <w:noProof/>
          <w:sz w:val="18"/>
          <w:szCs w:val="24"/>
        </w:rPr>
        <w:tab/>
        <w:t>ArcGIS [Internet]. [cited 2017 Oct 15]. Available from: http://www.esri.com/arcgis/about-arcgis</w:t>
      </w:r>
    </w:p>
    <w:p w14:paraId="5E7A397A"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29. </w:t>
      </w:r>
      <w:r w:rsidRPr="009F72CF">
        <w:rPr>
          <w:rFonts w:cs="Arial"/>
          <w:noProof/>
          <w:sz w:val="18"/>
          <w:szCs w:val="24"/>
        </w:rPr>
        <w:tab/>
        <w:t>Royal National Institute of Blind People. The criteria for certification [Internet]. 2018 [cited 2018 Mar 22]. Available from: http://www.rnib.org.uk/eye-health/registering-your-sight-loss/criteria-certification</w:t>
      </w:r>
    </w:p>
    <w:p w14:paraId="11FBF762"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30. </w:t>
      </w:r>
      <w:r w:rsidRPr="009F72CF">
        <w:rPr>
          <w:rFonts w:cs="Arial"/>
          <w:noProof/>
          <w:sz w:val="18"/>
          <w:szCs w:val="24"/>
        </w:rPr>
        <w:tab/>
        <w:t xml:space="preserve">Bachmann M, Eachus J, Hopper CD. Socio-economic inequalities in diabetes complications, control, attitudes and health service use: a cross-sectional study. Diabet Med A J Br Diabet Assoc. 2003;20(11):921–9. </w:t>
      </w:r>
    </w:p>
    <w:p w14:paraId="0A4E19F6"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31. </w:t>
      </w:r>
      <w:r w:rsidRPr="009F72CF">
        <w:rPr>
          <w:rFonts w:cs="Arial"/>
          <w:noProof/>
          <w:sz w:val="18"/>
          <w:szCs w:val="24"/>
        </w:rPr>
        <w:tab/>
        <w:t xml:space="preserve">Ng W, Agarwal P, Sidiki S, McKay L, Townend J, Azuara-Blanco A. The effect of socio-economic deprivation on severity of glaucoma at presentation. Br J Ophthalmol. 2010;94(1):85–7. </w:t>
      </w:r>
    </w:p>
    <w:p w14:paraId="71469E0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32. </w:t>
      </w:r>
      <w:r w:rsidRPr="009F72CF">
        <w:rPr>
          <w:rFonts w:cs="Arial"/>
          <w:noProof/>
          <w:sz w:val="18"/>
          <w:szCs w:val="24"/>
        </w:rPr>
        <w:tab/>
        <w:t xml:space="preserve">Chua P, Mustafa M, Scott N, Kumarasamy M, Azuara-Blanco A. Relationship between socioeconomic deprivation or urban/rural residence and visual acuity before cataract surgery in northern Scotland. Eur J Ophthalology. 2013;23(6):831–5. </w:t>
      </w:r>
    </w:p>
    <w:p w14:paraId="3D2A2E97"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33. </w:t>
      </w:r>
      <w:r w:rsidRPr="009F72CF">
        <w:rPr>
          <w:rFonts w:cs="Arial"/>
          <w:noProof/>
          <w:sz w:val="18"/>
          <w:szCs w:val="24"/>
        </w:rPr>
        <w:tab/>
        <w:t xml:space="preserve">Hamano T, Li X, Tanito M, Nabika T, Shiwaku K, Sundquist J, et al. Neighborhood Deprivation and Risk of Age-Related Eye Diseases: A Follow-up Study in Sweden. Ophthalmic Epidemiol. 22(5):308–20. </w:t>
      </w:r>
    </w:p>
    <w:p w14:paraId="164A36FE"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34. </w:t>
      </w:r>
      <w:r w:rsidRPr="009F72CF">
        <w:rPr>
          <w:rFonts w:cs="Arial"/>
          <w:noProof/>
          <w:sz w:val="18"/>
          <w:szCs w:val="24"/>
        </w:rPr>
        <w:tab/>
        <w:t xml:space="preserve">Chew H, Maberley DA, Ma P, Chang A, Maberley A. Socioeconomic status and clinical features of patients undergoing photodynamic therapy or transpupillary thermotherapy for subfoveal choroidal neovascularization due to age-related macular degeneration. Can J Ophthalmol. 40(3):384–8. </w:t>
      </w:r>
    </w:p>
    <w:p w14:paraId="382C6379"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35. </w:t>
      </w:r>
      <w:r w:rsidRPr="009F72CF">
        <w:rPr>
          <w:rFonts w:cs="Arial"/>
          <w:noProof/>
          <w:sz w:val="18"/>
          <w:szCs w:val="24"/>
        </w:rPr>
        <w:tab/>
        <w:t xml:space="preserve">Klein R, Klein BE, Jensen SC, Moss SE. The relation of socioeconomic factors to the incidence of early age-related maculopathy: the Beaver Dam eye study. Am J Ophthalmol. 132(1):128–31. </w:t>
      </w:r>
    </w:p>
    <w:p w14:paraId="19F0F173"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36. </w:t>
      </w:r>
      <w:r w:rsidRPr="009F72CF">
        <w:rPr>
          <w:rFonts w:cs="Arial"/>
          <w:noProof/>
          <w:sz w:val="18"/>
          <w:szCs w:val="24"/>
        </w:rPr>
        <w:tab/>
        <w:t xml:space="preserve">Park SJ, Lee JH, Woo SJ, Ahn J, Shin JP, Song SJ, et al. Age-related macular degeneration: prevalence and risk factors from Korean National Health and Nutrition Examination Survey, 2008 through 2011. Ophthalmology. 121(9):1756–65. </w:t>
      </w:r>
    </w:p>
    <w:p w14:paraId="4B6B901C"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lastRenderedPageBreak/>
        <w:t xml:space="preserve">37. </w:t>
      </w:r>
      <w:r w:rsidRPr="009F72CF">
        <w:rPr>
          <w:rFonts w:cs="Arial"/>
          <w:noProof/>
          <w:sz w:val="18"/>
          <w:szCs w:val="24"/>
        </w:rPr>
        <w:tab/>
        <w:t xml:space="preserve">Cackett P, Tay WT, Aung T, Wang JJ, Shankar A, Saw SM, et al. Education, socio-economic status and age-related macular degeneration in Asians: the Singapore Malay Eye Study. Br J Ophthalmol. 2008;92(10):1312–5. </w:t>
      </w:r>
    </w:p>
    <w:p w14:paraId="78845903"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38. </w:t>
      </w:r>
      <w:r w:rsidRPr="009F72CF">
        <w:rPr>
          <w:rFonts w:cs="Arial"/>
          <w:noProof/>
          <w:sz w:val="18"/>
          <w:szCs w:val="24"/>
        </w:rPr>
        <w:tab/>
        <w:t xml:space="preserve">Nicklett EJ, Szanton S, Sun K, Ferucci L, Fried LP, Guralnik JM, et al. Neighborhood socioeconomic status is associated with serum carotenoid concentrations in older, community-dwelling women. J Nutr. 2011;141(2):284–9. </w:t>
      </w:r>
    </w:p>
    <w:p w14:paraId="0857B5F0"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39. </w:t>
      </w:r>
      <w:r w:rsidRPr="009F72CF">
        <w:rPr>
          <w:rFonts w:cs="Arial"/>
          <w:noProof/>
          <w:sz w:val="18"/>
          <w:szCs w:val="24"/>
        </w:rPr>
        <w:tab/>
        <w:t xml:space="preserve">Bernstein P, Delori FC, Richer S, Kuijk FJM, Wenzel A. The value of measurement of macular carotenoid pigment optical densities and distributions in age-related macular degeneration and other retinal disorders. Vision Res. 2010;50(7):716–28. </w:t>
      </w:r>
    </w:p>
    <w:p w14:paraId="27EB76C1"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40. </w:t>
      </w:r>
      <w:r w:rsidRPr="009F72CF">
        <w:rPr>
          <w:rFonts w:cs="Arial"/>
          <w:noProof/>
          <w:sz w:val="18"/>
          <w:szCs w:val="24"/>
        </w:rPr>
        <w:tab/>
        <w:t xml:space="preserve">Cross V, Shah P, Bativala R, P S. ReGAE 2: glaucoma awareness and the primary eye-care service: some perceptions among African Caribbeans in Birmingham UK. Eye (Lond). 2007;21(7):912–20. </w:t>
      </w:r>
    </w:p>
    <w:p w14:paraId="0F37974B"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41. </w:t>
      </w:r>
      <w:r w:rsidRPr="009F72CF">
        <w:rPr>
          <w:rFonts w:cs="Arial"/>
          <w:noProof/>
          <w:sz w:val="18"/>
          <w:szCs w:val="24"/>
        </w:rPr>
        <w:tab/>
        <w:t xml:space="preserve">Protheroe J, Whittle R, Bartlam B, Estacio EV, Clark L, Kurth J. Health literacy, associated lifestyle and demographic factors in adult population of an English city: a cross-sectional survey. Health Expect. 2017;20(1):112–9. </w:t>
      </w:r>
    </w:p>
    <w:p w14:paraId="62B3CF2B"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42. </w:t>
      </w:r>
      <w:r w:rsidRPr="009F72CF">
        <w:rPr>
          <w:rFonts w:cs="Arial"/>
          <w:noProof/>
          <w:sz w:val="18"/>
          <w:szCs w:val="24"/>
        </w:rPr>
        <w:tab/>
        <w:t xml:space="preserve">Protheroe J, Nutbeam D, Rowlands G. Health literacy: a necessity for increasing participation in health care. Br J Gen Pract. 2009;59(567):721–3. </w:t>
      </w:r>
    </w:p>
    <w:p w14:paraId="271F83EF" w14:textId="77777777" w:rsidR="009F72CF" w:rsidRPr="009F72CF" w:rsidRDefault="009F72CF" w:rsidP="009F72CF">
      <w:pPr>
        <w:widowControl w:val="0"/>
        <w:autoSpaceDE w:val="0"/>
        <w:autoSpaceDN w:val="0"/>
        <w:adjustRightInd w:val="0"/>
        <w:spacing w:line="480" w:lineRule="auto"/>
        <w:ind w:left="640" w:hanging="640"/>
        <w:rPr>
          <w:rFonts w:cs="Arial"/>
          <w:noProof/>
          <w:sz w:val="18"/>
          <w:szCs w:val="24"/>
        </w:rPr>
      </w:pPr>
      <w:r w:rsidRPr="009F72CF">
        <w:rPr>
          <w:rFonts w:cs="Arial"/>
          <w:noProof/>
          <w:sz w:val="18"/>
          <w:szCs w:val="24"/>
        </w:rPr>
        <w:t xml:space="preserve">43. </w:t>
      </w:r>
      <w:r w:rsidRPr="009F72CF">
        <w:rPr>
          <w:rFonts w:cs="Arial"/>
          <w:noProof/>
          <w:sz w:val="18"/>
          <w:szCs w:val="24"/>
        </w:rPr>
        <w:tab/>
        <w:t xml:space="preserve">O’Connor PM, Mu LC, Keeffe JE. Access and utilization of a new low-vision rehabilitation service. Clin Experiment Ophthalmol. 36(6):547–52. </w:t>
      </w:r>
    </w:p>
    <w:p w14:paraId="7F151D18" w14:textId="77777777" w:rsidR="009F72CF" w:rsidRPr="009F72CF" w:rsidRDefault="009F72CF" w:rsidP="009F72CF">
      <w:pPr>
        <w:widowControl w:val="0"/>
        <w:autoSpaceDE w:val="0"/>
        <w:autoSpaceDN w:val="0"/>
        <w:adjustRightInd w:val="0"/>
        <w:spacing w:line="480" w:lineRule="auto"/>
        <w:ind w:left="640" w:hanging="640"/>
        <w:rPr>
          <w:rFonts w:cs="Arial"/>
          <w:noProof/>
          <w:sz w:val="18"/>
        </w:rPr>
      </w:pPr>
      <w:r w:rsidRPr="009F72CF">
        <w:rPr>
          <w:rFonts w:cs="Arial"/>
          <w:noProof/>
          <w:sz w:val="18"/>
          <w:szCs w:val="24"/>
        </w:rPr>
        <w:t xml:space="preserve">44. </w:t>
      </w:r>
      <w:r w:rsidRPr="009F72CF">
        <w:rPr>
          <w:rFonts w:cs="Arial"/>
          <w:noProof/>
          <w:sz w:val="18"/>
          <w:szCs w:val="24"/>
        </w:rPr>
        <w:tab/>
        <w:t xml:space="preserve">Sloan FA, Yashkin AP, Chen Y. Gaps in receipt of regular eye examinations among medicare beneficiaries diagnosed with diabetes or chronic eye diseases. Ophthalmology. 121(12):2452–60. </w:t>
      </w:r>
    </w:p>
    <w:p w14:paraId="0297DBFF" w14:textId="2C5177F1" w:rsidR="004B407F" w:rsidRDefault="00890477" w:rsidP="00D34244">
      <w:pPr>
        <w:pStyle w:val="Heading1"/>
        <w:spacing w:before="100" w:beforeAutospacing="1" w:line="480" w:lineRule="auto"/>
        <w:rPr>
          <w:rFonts w:cs="Arial"/>
          <w:sz w:val="18"/>
          <w:szCs w:val="18"/>
        </w:rPr>
      </w:pPr>
      <w:r w:rsidRPr="004D0153">
        <w:rPr>
          <w:rFonts w:cs="Arial"/>
          <w:sz w:val="18"/>
          <w:szCs w:val="18"/>
        </w:rPr>
        <w:fldChar w:fldCharType="end"/>
      </w:r>
      <w:bookmarkStart w:id="3" w:name="_Toc496088366"/>
    </w:p>
    <w:p w14:paraId="4C733636" w14:textId="36E87460" w:rsidR="00675007" w:rsidRDefault="00675007" w:rsidP="00D34244">
      <w:pPr>
        <w:spacing w:line="480" w:lineRule="auto"/>
      </w:pPr>
    </w:p>
    <w:p w14:paraId="0EC54EA9" w14:textId="2B1DAAED" w:rsidR="00675007" w:rsidRDefault="00675007" w:rsidP="00D34244">
      <w:pPr>
        <w:spacing w:line="480" w:lineRule="auto"/>
      </w:pPr>
    </w:p>
    <w:p w14:paraId="2C331260" w14:textId="1DAB808F" w:rsidR="00675007" w:rsidRDefault="00675007" w:rsidP="00D34244">
      <w:pPr>
        <w:spacing w:line="480" w:lineRule="auto"/>
      </w:pPr>
    </w:p>
    <w:p w14:paraId="576FB67B" w14:textId="25FF7E68" w:rsidR="00675007" w:rsidRDefault="00675007" w:rsidP="00D34244">
      <w:pPr>
        <w:spacing w:line="480" w:lineRule="auto"/>
      </w:pPr>
    </w:p>
    <w:p w14:paraId="027521BE" w14:textId="2BC012A4" w:rsidR="00665B44" w:rsidRPr="00937AF7" w:rsidRDefault="00665B44" w:rsidP="00D34244">
      <w:pPr>
        <w:pStyle w:val="Heading1"/>
        <w:spacing w:before="100" w:beforeAutospacing="1" w:line="480" w:lineRule="auto"/>
        <w:rPr>
          <w:noProof/>
          <w:sz w:val="24"/>
          <w:szCs w:val="24"/>
          <w:lang w:val="en-GB" w:eastAsia="en-GB"/>
        </w:rPr>
      </w:pPr>
      <w:r w:rsidRPr="00937AF7">
        <w:rPr>
          <w:noProof/>
          <w:sz w:val="24"/>
          <w:szCs w:val="24"/>
          <w:lang w:val="en-GB" w:eastAsia="en-GB"/>
        </w:rPr>
        <w:lastRenderedPageBreak/>
        <w:t xml:space="preserve">Appendix A – </w:t>
      </w:r>
      <w:bookmarkEnd w:id="3"/>
      <w:r w:rsidRPr="00937AF7">
        <w:rPr>
          <w:noProof/>
          <w:sz w:val="24"/>
          <w:szCs w:val="24"/>
          <w:lang w:val="en-GB" w:eastAsia="en-GB"/>
        </w:rPr>
        <w:t>Treatment outcome measures by deprivation status and distance from eye unit (complete data subgroup – 524 patients and whole study population – 756 patients)</w:t>
      </w:r>
    </w:p>
    <w:p w14:paraId="548881D2" w14:textId="65CEEDBE" w:rsidR="00F40019" w:rsidRDefault="00F40019" w:rsidP="00D34244">
      <w:pPr>
        <w:widowControl w:val="0"/>
        <w:autoSpaceDE w:val="0"/>
        <w:autoSpaceDN w:val="0"/>
        <w:adjustRightInd w:val="0"/>
        <w:spacing w:line="480" w:lineRule="auto"/>
        <w:ind w:left="640" w:hanging="640"/>
        <w:rPr>
          <w:rFonts w:cs="Arial"/>
          <w:sz w:val="18"/>
          <w:szCs w:val="18"/>
        </w:rPr>
      </w:pPr>
    </w:p>
    <w:p w14:paraId="3B68E326" w14:textId="2FE8C052" w:rsidR="00665B44" w:rsidRPr="00B46F9B" w:rsidRDefault="00665B44" w:rsidP="00D34244">
      <w:pPr>
        <w:pStyle w:val="Caption"/>
        <w:keepNext/>
        <w:spacing w:line="480" w:lineRule="auto"/>
        <w:jc w:val="center"/>
        <w:rPr>
          <w:color w:val="auto"/>
          <w:sz w:val="16"/>
          <w:szCs w:val="16"/>
        </w:rPr>
      </w:pPr>
    </w:p>
    <w:tbl>
      <w:tblPr>
        <w:tblStyle w:val="GridTable2-Accent61"/>
        <w:tblpPr w:leftFromText="180" w:rightFromText="180" w:vertAnchor="text" w:tblpX="-1145" w:tblpY="1"/>
        <w:tblW w:w="5939" w:type="pct"/>
        <w:tblLayout w:type="fixed"/>
        <w:tblLook w:val="04A0" w:firstRow="1" w:lastRow="0" w:firstColumn="1" w:lastColumn="0" w:noHBand="0" w:noVBand="1"/>
      </w:tblPr>
      <w:tblGrid>
        <w:gridCol w:w="2492"/>
        <w:gridCol w:w="1025"/>
        <w:gridCol w:w="1030"/>
        <w:gridCol w:w="882"/>
        <w:gridCol w:w="882"/>
        <w:gridCol w:w="1041"/>
        <w:gridCol w:w="735"/>
        <w:gridCol w:w="293"/>
        <w:gridCol w:w="1025"/>
        <w:gridCol w:w="1030"/>
        <w:gridCol w:w="735"/>
      </w:tblGrid>
      <w:tr w:rsidR="00665B44" w:rsidRPr="00D0223B" w14:paraId="24107EA2" w14:textId="77777777" w:rsidTr="00C118DF">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A6A6A6" w:themeFill="background1" w:themeFillShade="A6"/>
          </w:tcPr>
          <w:p w14:paraId="41DF06B1" w14:textId="77777777" w:rsidR="00665B44" w:rsidRPr="00D0223B" w:rsidRDefault="00665B44" w:rsidP="00D34244">
            <w:pPr>
              <w:spacing w:line="480" w:lineRule="auto"/>
              <w:rPr>
                <w:rFonts w:cs="Arial"/>
                <w:b w:val="0"/>
                <w:sz w:val="24"/>
                <w:szCs w:val="24"/>
                <w:u w:val="single"/>
              </w:rPr>
            </w:pPr>
            <w:r w:rsidRPr="00D0223B">
              <w:rPr>
                <w:sz w:val="24"/>
                <w:szCs w:val="24"/>
              </w:rPr>
              <w:t>Treatment outcome measures by deprivation status and distance from eye unit (complete data subgroup – 524 patients)</w:t>
            </w:r>
          </w:p>
        </w:tc>
      </w:tr>
      <w:tr w:rsidR="00665B44" w:rsidRPr="00D0223B" w14:paraId="1EDCC293" w14:textId="77777777" w:rsidTr="00C118D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15" w:type="pct"/>
          </w:tcPr>
          <w:p w14:paraId="27D6C786" w14:textId="77777777" w:rsidR="00665B44" w:rsidRPr="00D0223B" w:rsidRDefault="00665B44" w:rsidP="00D34244">
            <w:pPr>
              <w:spacing w:line="480" w:lineRule="auto"/>
              <w:rPr>
                <w:rFonts w:cs="Arial"/>
                <w:sz w:val="24"/>
                <w:szCs w:val="24"/>
              </w:rPr>
            </w:pPr>
          </w:p>
        </w:tc>
        <w:tc>
          <w:tcPr>
            <w:tcW w:w="2504" w:type="pct"/>
            <w:gridSpan w:val="6"/>
          </w:tcPr>
          <w:p w14:paraId="75B11BC5" w14:textId="77777777" w:rsidR="00665B44" w:rsidRPr="00D0223B" w:rsidRDefault="00665B44"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By Socio-economic Status</w:t>
            </w:r>
          </w:p>
        </w:tc>
        <w:tc>
          <w:tcPr>
            <w:tcW w:w="131" w:type="pct"/>
            <w:vMerge w:val="restart"/>
          </w:tcPr>
          <w:p w14:paraId="2683485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49" w:type="pct"/>
            <w:gridSpan w:val="3"/>
          </w:tcPr>
          <w:p w14:paraId="157AB0C9" w14:textId="77777777" w:rsidR="00665B44" w:rsidRPr="00D0223B" w:rsidRDefault="00665B44"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By Distance</w:t>
            </w:r>
          </w:p>
        </w:tc>
      </w:tr>
      <w:tr w:rsidR="00665B44" w:rsidRPr="00D0223B" w14:paraId="341F12DB" w14:textId="77777777" w:rsidTr="00C118DF">
        <w:trPr>
          <w:trHeight w:val="1281"/>
        </w:trPr>
        <w:tc>
          <w:tcPr>
            <w:cnfStyle w:val="001000000000" w:firstRow="0" w:lastRow="0" w:firstColumn="1" w:lastColumn="0" w:oddVBand="0" w:evenVBand="0" w:oddHBand="0" w:evenHBand="0" w:firstRowFirstColumn="0" w:firstRowLastColumn="0" w:lastRowFirstColumn="0" w:lastRowLastColumn="0"/>
            <w:tcW w:w="1115" w:type="pct"/>
          </w:tcPr>
          <w:p w14:paraId="162133AF" w14:textId="77777777" w:rsidR="00665B44" w:rsidRPr="00D0223B" w:rsidRDefault="00665B44" w:rsidP="00D34244">
            <w:pPr>
              <w:spacing w:line="480" w:lineRule="auto"/>
              <w:rPr>
                <w:rFonts w:cs="Arial"/>
                <w:sz w:val="24"/>
                <w:szCs w:val="24"/>
              </w:rPr>
            </w:pPr>
          </w:p>
        </w:tc>
        <w:tc>
          <w:tcPr>
            <w:tcW w:w="459" w:type="pct"/>
            <w:textDirection w:val="btLr"/>
          </w:tcPr>
          <w:p w14:paraId="12C86F7B"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Quintile 1</w:t>
            </w:r>
          </w:p>
          <w:p w14:paraId="2E699049"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(most deprived)</w:t>
            </w:r>
          </w:p>
        </w:tc>
        <w:tc>
          <w:tcPr>
            <w:tcW w:w="461" w:type="pct"/>
            <w:textDirection w:val="btLr"/>
          </w:tcPr>
          <w:p w14:paraId="22D108C1"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Quintile 2</w:t>
            </w:r>
          </w:p>
        </w:tc>
        <w:tc>
          <w:tcPr>
            <w:tcW w:w="395" w:type="pct"/>
            <w:textDirection w:val="btLr"/>
          </w:tcPr>
          <w:p w14:paraId="48498B7C"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Quintile 3</w:t>
            </w:r>
          </w:p>
        </w:tc>
        <w:tc>
          <w:tcPr>
            <w:tcW w:w="395" w:type="pct"/>
            <w:textDirection w:val="btLr"/>
          </w:tcPr>
          <w:p w14:paraId="4878F6CD"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Quintile 4</w:t>
            </w:r>
          </w:p>
        </w:tc>
        <w:tc>
          <w:tcPr>
            <w:tcW w:w="466" w:type="pct"/>
            <w:textDirection w:val="btLr"/>
          </w:tcPr>
          <w:p w14:paraId="63A0FFBF"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Quintile 5</w:t>
            </w:r>
          </w:p>
          <w:p w14:paraId="32802418"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(least deprived)</w:t>
            </w:r>
          </w:p>
        </w:tc>
        <w:tc>
          <w:tcPr>
            <w:tcW w:w="329" w:type="pct"/>
            <w:textDirection w:val="btLr"/>
          </w:tcPr>
          <w:p w14:paraId="78F58129"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P-value*</w:t>
            </w:r>
          </w:p>
        </w:tc>
        <w:tc>
          <w:tcPr>
            <w:tcW w:w="131" w:type="pct"/>
            <w:vMerge/>
            <w:textDirection w:val="btLr"/>
          </w:tcPr>
          <w:p w14:paraId="7D68F6EE"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extDirection w:val="btLr"/>
          </w:tcPr>
          <w:p w14:paraId="3ED5FE2C"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Distance (&lt; 10Km)</w:t>
            </w:r>
          </w:p>
          <w:p w14:paraId="3284C59D"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(Near)</w:t>
            </w:r>
          </w:p>
        </w:tc>
        <w:tc>
          <w:tcPr>
            <w:tcW w:w="461" w:type="pct"/>
            <w:textDirection w:val="btLr"/>
          </w:tcPr>
          <w:p w14:paraId="2A9DD388"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Distance (&gt; 10Km)</w:t>
            </w:r>
          </w:p>
          <w:p w14:paraId="03C8C46E"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(Far)</w:t>
            </w:r>
          </w:p>
        </w:tc>
        <w:tc>
          <w:tcPr>
            <w:tcW w:w="329" w:type="pct"/>
            <w:textDirection w:val="btLr"/>
          </w:tcPr>
          <w:p w14:paraId="48245008" w14:textId="77777777" w:rsidR="00665B44" w:rsidRPr="00D0223B" w:rsidRDefault="00665B44" w:rsidP="00D34244">
            <w:pPr>
              <w:spacing w:line="480" w:lineRule="auto"/>
              <w:ind w:left="113" w:right="113"/>
              <w:cnfStyle w:val="000000000000" w:firstRow="0" w:lastRow="0" w:firstColumn="0" w:lastColumn="0" w:oddVBand="0" w:evenVBand="0" w:oddHBand="0" w:evenHBand="0" w:firstRowFirstColumn="0" w:firstRowLastColumn="0" w:lastRowFirstColumn="0" w:lastRowLastColumn="0"/>
              <w:rPr>
                <w:rFonts w:cs="Arial"/>
                <w:i/>
                <w:sz w:val="24"/>
                <w:szCs w:val="24"/>
              </w:rPr>
            </w:pPr>
            <w:r w:rsidRPr="00D0223B">
              <w:rPr>
                <w:rFonts w:cs="Arial"/>
                <w:i/>
                <w:sz w:val="24"/>
                <w:szCs w:val="24"/>
              </w:rPr>
              <w:t>P-value*</w:t>
            </w:r>
          </w:p>
        </w:tc>
      </w:tr>
      <w:tr w:rsidR="00665B44" w:rsidRPr="00D0223B" w14:paraId="297BBD43"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27232E22" w14:textId="77777777" w:rsidR="00665B44" w:rsidRPr="00D0223B" w:rsidRDefault="00665B44" w:rsidP="00D34244">
            <w:pPr>
              <w:spacing w:line="480" w:lineRule="auto"/>
              <w:rPr>
                <w:rFonts w:cs="Arial"/>
                <w:sz w:val="24"/>
                <w:szCs w:val="24"/>
              </w:rPr>
            </w:pPr>
          </w:p>
        </w:tc>
        <w:tc>
          <w:tcPr>
            <w:tcW w:w="459" w:type="pct"/>
          </w:tcPr>
          <w:p w14:paraId="0BAD884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1B51A89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26BC92E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2B5D562E"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36BFF28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7CC7503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055D833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6F80574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29A05D3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0825B41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43A1CC84"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0B188F6E" w14:textId="77777777" w:rsidR="00665B44" w:rsidRPr="00D0223B" w:rsidRDefault="00665B44" w:rsidP="00D34244">
            <w:pPr>
              <w:spacing w:line="480" w:lineRule="auto"/>
              <w:rPr>
                <w:rFonts w:cs="Arial"/>
                <w:sz w:val="24"/>
                <w:szCs w:val="24"/>
              </w:rPr>
            </w:pPr>
            <w:r w:rsidRPr="00D0223B">
              <w:rPr>
                <w:rFonts w:cs="Arial"/>
                <w:sz w:val="24"/>
                <w:szCs w:val="24"/>
              </w:rPr>
              <w:t>WET AMD Patients</w:t>
            </w:r>
          </w:p>
        </w:tc>
        <w:tc>
          <w:tcPr>
            <w:tcW w:w="459" w:type="pct"/>
          </w:tcPr>
          <w:p w14:paraId="48432B8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w:t>
            </w:r>
          </w:p>
        </w:tc>
        <w:tc>
          <w:tcPr>
            <w:tcW w:w="461" w:type="pct"/>
          </w:tcPr>
          <w:p w14:paraId="53E8C4B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60</w:t>
            </w:r>
          </w:p>
        </w:tc>
        <w:tc>
          <w:tcPr>
            <w:tcW w:w="395" w:type="pct"/>
          </w:tcPr>
          <w:p w14:paraId="23CF539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90</w:t>
            </w:r>
          </w:p>
        </w:tc>
        <w:tc>
          <w:tcPr>
            <w:tcW w:w="395" w:type="pct"/>
          </w:tcPr>
          <w:p w14:paraId="63C6505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126</w:t>
            </w:r>
          </w:p>
        </w:tc>
        <w:tc>
          <w:tcPr>
            <w:tcW w:w="466" w:type="pct"/>
          </w:tcPr>
          <w:p w14:paraId="4A0447C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226</w:t>
            </w:r>
          </w:p>
        </w:tc>
        <w:tc>
          <w:tcPr>
            <w:tcW w:w="329" w:type="pct"/>
          </w:tcPr>
          <w:p w14:paraId="2142B66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tcPr>
          <w:p w14:paraId="175B37E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217B4C4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288</w:t>
            </w:r>
          </w:p>
        </w:tc>
        <w:tc>
          <w:tcPr>
            <w:tcW w:w="461" w:type="pct"/>
          </w:tcPr>
          <w:p w14:paraId="122A8A6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236</w:t>
            </w:r>
          </w:p>
        </w:tc>
        <w:tc>
          <w:tcPr>
            <w:tcW w:w="329" w:type="pct"/>
          </w:tcPr>
          <w:p w14:paraId="050C4AE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35FA2F8C"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312FCCEE" w14:textId="77777777" w:rsidR="00665B44" w:rsidRPr="00D0223B" w:rsidRDefault="00665B44" w:rsidP="00D34244">
            <w:pPr>
              <w:spacing w:line="480" w:lineRule="auto"/>
              <w:rPr>
                <w:rFonts w:cs="Arial"/>
                <w:sz w:val="24"/>
                <w:szCs w:val="24"/>
              </w:rPr>
            </w:pPr>
            <w:r w:rsidRPr="00D0223B">
              <w:rPr>
                <w:rFonts w:cs="Arial"/>
                <w:sz w:val="24"/>
                <w:szCs w:val="24"/>
              </w:rPr>
              <w:t>Age</w:t>
            </w:r>
          </w:p>
        </w:tc>
        <w:tc>
          <w:tcPr>
            <w:tcW w:w="459" w:type="pct"/>
          </w:tcPr>
          <w:p w14:paraId="11D58C4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82</w:t>
            </w:r>
          </w:p>
          <w:p w14:paraId="4873FE2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(60-99)</w:t>
            </w:r>
          </w:p>
        </w:tc>
        <w:tc>
          <w:tcPr>
            <w:tcW w:w="461" w:type="pct"/>
          </w:tcPr>
          <w:p w14:paraId="24EAD18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5F74DEF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(55-97)</w:t>
            </w:r>
          </w:p>
        </w:tc>
        <w:tc>
          <w:tcPr>
            <w:tcW w:w="395" w:type="pct"/>
          </w:tcPr>
          <w:p w14:paraId="219A890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4088204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(58-96)</w:t>
            </w:r>
          </w:p>
        </w:tc>
        <w:tc>
          <w:tcPr>
            <w:tcW w:w="395" w:type="pct"/>
          </w:tcPr>
          <w:p w14:paraId="414AD68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84</w:t>
            </w:r>
          </w:p>
          <w:p w14:paraId="6F14BC4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(70-99)</w:t>
            </w:r>
          </w:p>
        </w:tc>
        <w:tc>
          <w:tcPr>
            <w:tcW w:w="466" w:type="pct"/>
          </w:tcPr>
          <w:p w14:paraId="0986E0D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166C0F5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(54-98)</w:t>
            </w:r>
          </w:p>
        </w:tc>
        <w:tc>
          <w:tcPr>
            <w:tcW w:w="329" w:type="pct"/>
          </w:tcPr>
          <w:p w14:paraId="4A954CC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0.875</w:t>
            </w:r>
          </w:p>
        </w:tc>
        <w:tc>
          <w:tcPr>
            <w:tcW w:w="131" w:type="pct"/>
            <w:vMerge/>
          </w:tcPr>
          <w:p w14:paraId="5CAF55C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4D7A3A7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84.5</w:t>
            </w:r>
          </w:p>
          <w:p w14:paraId="652291A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(55-99)</w:t>
            </w:r>
          </w:p>
        </w:tc>
        <w:tc>
          <w:tcPr>
            <w:tcW w:w="461" w:type="pct"/>
          </w:tcPr>
          <w:p w14:paraId="7A3B392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4D0CFD9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(54.98)</w:t>
            </w:r>
          </w:p>
        </w:tc>
        <w:tc>
          <w:tcPr>
            <w:tcW w:w="329" w:type="pct"/>
          </w:tcPr>
          <w:p w14:paraId="066A458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0.760</w:t>
            </w:r>
          </w:p>
        </w:tc>
      </w:tr>
      <w:tr w:rsidR="00665B44" w:rsidRPr="00D0223B" w14:paraId="155C2455"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59FEF017" w14:textId="77777777" w:rsidR="00665B44" w:rsidRPr="00D0223B" w:rsidRDefault="00665B44" w:rsidP="00D34244">
            <w:pPr>
              <w:spacing w:line="480" w:lineRule="auto"/>
              <w:rPr>
                <w:rFonts w:cs="Arial"/>
                <w:sz w:val="24"/>
                <w:szCs w:val="24"/>
              </w:rPr>
            </w:pPr>
            <w:r w:rsidRPr="00D0223B">
              <w:rPr>
                <w:rFonts w:cs="Arial"/>
                <w:sz w:val="24"/>
                <w:szCs w:val="24"/>
              </w:rPr>
              <w:t>Gender</w:t>
            </w:r>
          </w:p>
        </w:tc>
        <w:tc>
          <w:tcPr>
            <w:tcW w:w="459" w:type="pct"/>
          </w:tcPr>
          <w:p w14:paraId="244D813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4C62F32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0B17B0C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26E6B62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6" w:type="pct"/>
          </w:tcPr>
          <w:p w14:paraId="7BE72F3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6F0C2A0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tcPr>
          <w:p w14:paraId="40B5138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7DBBED4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2D8B7E1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5B70E70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545D7A82"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0AEA7F1D" w14:textId="77777777" w:rsidR="00665B44" w:rsidRPr="00D0223B" w:rsidRDefault="00665B44" w:rsidP="00D34244">
            <w:pPr>
              <w:spacing w:line="480" w:lineRule="auto"/>
              <w:rPr>
                <w:rFonts w:cs="Arial"/>
                <w:b w:val="0"/>
                <w:i/>
                <w:sz w:val="24"/>
                <w:szCs w:val="24"/>
              </w:rPr>
            </w:pPr>
            <w:r w:rsidRPr="00D0223B">
              <w:rPr>
                <w:rFonts w:cs="Arial"/>
                <w:b w:val="0"/>
                <w:i/>
                <w:sz w:val="24"/>
                <w:szCs w:val="24"/>
              </w:rPr>
              <w:t>Male</w:t>
            </w:r>
          </w:p>
        </w:tc>
        <w:tc>
          <w:tcPr>
            <w:tcW w:w="459" w:type="pct"/>
          </w:tcPr>
          <w:p w14:paraId="611B31C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8(36.4)</w:t>
            </w:r>
          </w:p>
        </w:tc>
        <w:tc>
          <w:tcPr>
            <w:tcW w:w="461" w:type="pct"/>
          </w:tcPr>
          <w:p w14:paraId="6B51B2F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21(35.0)</w:t>
            </w:r>
          </w:p>
        </w:tc>
        <w:tc>
          <w:tcPr>
            <w:tcW w:w="395" w:type="pct"/>
          </w:tcPr>
          <w:p w14:paraId="384BFB2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27(30)</w:t>
            </w:r>
          </w:p>
        </w:tc>
        <w:tc>
          <w:tcPr>
            <w:tcW w:w="395" w:type="pct"/>
          </w:tcPr>
          <w:p w14:paraId="55F0164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51(40.5)</w:t>
            </w:r>
          </w:p>
        </w:tc>
        <w:tc>
          <w:tcPr>
            <w:tcW w:w="466" w:type="pct"/>
          </w:tcPr>
          <w:p w14:paraId="7694C58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62(27.4)</w:t>
            </w:r>
          </w:p>
        </w:tc>
        <w:tc>
          <w:tcPr>
            <w:tcW w:w="329" w:type="pct"/>
            <w:vMerge w:val="restart"/>
          </w:tcPr>
          <w:p w14:paraId="446B2E1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0.142</w:t>
            </w:r>
          </w:p>
        </w:tc>
        <w:tc>
          <w:tcPr>
            <w:tcW w:w="131" w:type="pct"/>
            <w:vMerge/>
          </w:tcPr>
          <w:p w14:paraId="5ED475B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17B5826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96(33.3)</w:t>
            </w:r>
          </w:p>
        </w:tc>
        <w:tc>
          <w:tcPr>
            <w:tcW w:w="461" w:type="pct"/>
          </w:tcPr>
          <w:p w14:paraId="2959038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73(30.9)</w:t>
            </w:r>
          </w:p>
        </w:tc>
        <w:tc>
          <w:tcPr>
            <w:tcW w:w="329" w:type="pct"/>
            <w:vMerge w:val="restart"/>
          </w:tcPr>
          <w:p w14:paraId="56E96F3E"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0.574</w:t>
            </w:r>
          </w:p>
        </w:tc>
      </w:tr>
      <w:tr w:rsidR="00665B44" w:rsidRPr="00D0223B" w14:paraId="340192A4"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2131B707" w14:textId="77777777" w:rsidR="00665B44" w:rsidRPr="00D0223B" w:rsidRDefault="00665B44" w:rsidP="00D34244">
            <w:pPr>
              <w:spacing w:line="480" w:lineRule="auto"/>
              <w:rPr>
                <w:rFonts w:cs="Arial"/>
                <w:b w:val="0"/>
                <w:i/>
                <w:sz w:val="24"/>
                <w:szCs w:val="24"/>
              </w:rPr>
            </w:pPr>
            <w:r w:rsidRPr="00D0223B">
              <w:rPr>
                <w:rFonts w:cs="Arial"/>
                <w:b w:val="0"/>
                <w:i/>
                <w:sz w:val="24"/>
                <w:szCs w:val="24"/>
              </w:rPr>
              <w:t>Female</w:t>
            </w:r>
          </w:p>
        </w:tc>
        <w:tc>
          <w:tcPr>
            <w:tcW w:w="459" w:type="pct"/>
          </w:tcPr>
          <w:p w14:paraId="0B474D4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14(63.6)</w:t>
            </w:r>
          </w:p>
        </w:tc>
        <w:tc>
          <w:tcPr>
            <w:tcW w:w="461" w:type="pct"/>
          </w:tcPr>
          <w:p w14:paraId="496D60E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39(65.0)</w:t>
            </w:r>
          </w:p>
        </w:tc>
        <w:tc>
          <w:tcPr>
            <w:tcW w:w="395" w:type="pct"/>
          </w:tcPr>
          <w:p w14:paraId="042C822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63(70)</w:t>
            </w:r>
          </w:p>
        </w:tc>
        <w:tc>
          <w:tcPr>
            <w:tcW w:w="395" w:type="pct"/>
          </w:tcPr>
          <w:p w14:paraId="3A88BC2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75(59.5)</w:t>
            </w:r>
          </w:p>
        </w:tc>
        <w:tc>
          <w:tcPr>
            <w:tcW w:w="466" w:type="pct"/>
          </w:tcPr>
          <w:p w14:paraId="2AA7C6D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164(72.6)</w:t>
            </w:r>
          </w:p>
        </w:tc>
        <w:tc>
          <w:tcPr>
            <w:tcW w:w="329" w:type="pct"/>
            <w:vMerge/>
          </w:tcPr>
          <w:p w14:paraId="018309C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tcPr>
          <w:p w14:paraId="1B1C016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1C6F610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192(66.7)</w:t>
            </w:r>
          </w:p>
        </w:tc>
        <w:tc>
          <w:tcPr>
            <w:tcW w:w="461" w:type="pct"/>
          </w:tcPr>
          <w:p w14:paraId="77EB2CB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163(69.1</w:t>
            </w:r>
          </w:p>
        </w:tc>
        <w:tc>
          <w:tcPr>
            <w:tcW w:w="329" w:type="pct"/>
            <w:vMerge/>
          </w:tcPr>
          <w:p w14:paraId="14203E4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55685110"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3B63728C" w14:textId="7AFD92A6" w:rsidR="00665B44" w:rsidRPr="00D0223B" w:rsidRDefault="00665B44" w:rsidP="00D34244">
            <w:pPr>
              <w:spacing w:line="480" w:lineRule="auto"/>
              <w:rPr>
                <w:rFonts w:cs="Arial"/>
                <w:sz w:val="24"/>
                <w:szCs w:val="24"/>
              </w:rPr>
            </w:pPr>
            <w:r w:rsidRPr="00D0223B">
              <w:rPr>
                <w:rFonts w:cs="Arial"/>
                <w:sz w:val="24"/>
                <w:szCs w:val="24"/>
              </w:rPr>
              <w:t xml:space="preserve">Baseline </w:t>
            </w:r>
            <w:r w:rsidR="008D5D95">
              <w:rPr>
                <w:rFonts w:cs="Arial"/>
                <w:sz w:val="24"/>
                <w:szCs w:val="24"/>
              </w:rPr>
              <w:t>Visual Acuity</w:t>
            </w:r>
            <w:r w:rsidR="008D5D95" w:rsidRPr="00D0223B">
              <w:rPr>
                <w:rFonts w:cs="Arial"/>
                <w:sz w:val="24"/>
                <w:szCs w:val="24"/>
              </w:rPr>
              <w:t xml:space="preserve"> </w:t>
            </w:r>
          </w:p>
        </w:tc>
        <w:tc>
          <w:tcPr>
            <w:tcW w:w="459" w:type="pct"/>
          </w:tcPr>
          <w:p w14:paraId="712E3DF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160B6BF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4F3ACB8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1D9E2B1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57E71A2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57E2D7A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3478162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7DF7CDD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26A1410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13483D6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29AB1643"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1DFAB8F1" w14:textId="77777777" w:rsidR="00665B44" w:rsidRPr="00D0223B" w:rsidRDefault="00665B44" w:rsidP="00D34244">
            <w:pPr>
              <w:spacing w:line="480" w:lineRule="auto"/>
              <w:rPr>
                <w:rFonts w:cs="Arial"/>
                <w:b w:val="0"/>
                <w:i/>
                <w:sz w:val="24"/>
                <w:szCs w:val="24"/>
              </w:rPr>
            </w:pPr>
            <w:r w:rsidRPr="00D0223B">
              <w:rPr>
                <w:rFonts w:cs="Arial"/>
                <w:b w:val="0"/>
                <w:i/>
                <w:sz w:val="24"/>
                <w:szCs w:val="24"/>
              </w:rPr>
              <w:lastRenderedPageBreak/>
              <w:t>No. of letters read</w:t>
            </w:r>
          </w:p>
        </w:tc>
        <w:tc>
          <w:tcPr>
            <w:tcW w:w="459" w:type="pct"/>
          </w:tcPr>
          <w:p w14:paraId="3695BF2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46.50</w:t>
            </w:r>
          </w:p>
          <w:p w14:paraId="29D23D1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(24-74)</w:t>
            </w:r>
          </w:p>
        </w:tc>
        <w:tc>
          <w:tcPr>
            <w:tcW w:w="461" w:type="pct"/>
          </w:tcPr>
          <w:p w14:paraId="017D741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58</w:t>
            </w:r>
          </w:p>
          <w:p w14:paraId="44DC6C8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(26-88)</w:t>
            </w:r>
          </w:p>
        </w:tc>
        <w:tc>
          <w:tcPr>
            <w:tcW w:w="395" w:type="pct"/>
          </w:tcPr>
          <w:p w14:paraId="573D4C4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57</w:t>
            </w:r>
          </w:p>
          <w:p w14:paraId="65A3B95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(19-84)</w:t>
            </w:r>
          </w:p>
        </w:tc>
        <w:tc>
          <w:tcPr>
            <w:tcW w:w="395" w:type="pct"/>
          </w:tcPr>
          <w:p w14:paraId="550A73B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57.50</w:t>
            </w:r>
          </w:p>
          <w:p w14:paraId="0D05C19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(18-82)</w:t>
            </w:r>
          </w:p>
        </w:tc>
        <w:tc>
          <w:tcPr>
            <w:tcW w:w="466" w:type="pct"/>
          </w:tcPr>
          <w:p w14:paraId="30DFB73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57</w:t>
            </w:r>
          </w:p>
          <w:p w14:paraId="11845CC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(3-86)</w:t>
            </w:r>
          </w:p>
        </w:tc>
        <w:tc>
          <w:tcPr>
            <w:tcW w:w="329" w:type="pct"/>
          </w:tcPr>
          <w:p w14:paraId="1DE8D13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0.074</w:t>
            </w:r>
          </w:p>
        </w:tc>
        <w:tc>
          <w:tcPr>
            <w:tcW w:w="131" w:type="pct"/>
            <w:vMerge/>
          </w:tcPr>
          <w:p w14:paraId="07AEA29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51A0478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54.50</w:t>
            </w:r>
          </w:p>
          <w:p w14:paraId="0CE4191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(18-86)</w:t>
            </w:r>
          </w:p>
        </w:tc>
        <w:tc>
          <w:tcPr>
            <w:tcW w:w="461" w:type="pct"/>
          </w:tcPr>
          <w:p w14:paraId="25A3A9E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58</w:t>
            </w:r>
          </w:p>
          <w:p w14:paraId="12B8CF6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(3-88)</w:t>
            </w:r>
          </w:p>
        </w:tc>
        <w:tc>
          <w:tcPr>
            <w:tcW w:w="329" w:type="pct"/>
          </w:tcPr>
          <w:p w14:paraId="56F9011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0.443</w:t>
            </w:r>
          </w:p>
        </w:tc>
      </w:tr>
      <w:tr w:rsidR="00665B44" w:rsidRPr="00D0223B" w14:paraId="1121D960"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2381D272" w14:textId="6CEFF345" w:rsidR="00665B44" w:rsidRPr="00D0223B" w:rsidRDefault="00665B44" w:rsidP="00D34244">
            <w:pPr>
              <w:spacing w:line="480" w:lineRule="auto"/>
              <w:rPr>
                <w:rFonts w:cs="Arial"/>
                <w:sz w:val="24"/>
                <w:szCs w:val="24"/>
              </w:rPr>
            </w:pPr>
            <w:r w:rsidRPr="00D0223B">
              <w:rPr>
                <w:rFonts w:cs="Arial"/>
                <w:sz w:val="24"/>
                <w:szCs w:val="24"/>
              </w:rPr>
              <w:t xml:space="preserve">Baseline </w:t>
            </w:r>
            <w:r w:rsidR="008D5D95">
              <w:rPr>
                <w:rFonts w:cs="Arial"/>
                <w:sz w:val="24"/>
                <w:szCs w:val="24"/>
              </w:rPr>
              <w:t>Visual Acuity</w:t>
            </w:r>
            <w:r w:rsidR="008D5D95" w:rsidRPr="00D0223B">
              <w:rPr>
                <w:rFonts w:cs="Arial"/>
                <w:sz w:val="24"/>
                <w:szCs w:val="24"/>
              </w:rPr>
              <w:t xml:space="preserve"> </w:t>
            </w:r>
            <w:r w:rsidRPr="00D0223B">
              <w:rPr>
                <w:rFonts w:cs="Arial"/>
                <w:sz w:val="24"/>
                <w:szCs w:val="24"/>
              </w:rPr>
              <w:t>(Severity)</w:t>
            </w:r>
          </w:p>
        </w:tc>
        <w:tc>
          <w:tcPr>
            <w:tcW w:w="459" w:type="pct"/>
          </w:tcPr>
          <w:p w14:paraId="46732B8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4B5A3BF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5FBACBE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1C2DCCC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24153F3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5E27DE4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3A88135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115A51D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5101594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3BCBB66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4114E17C"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5A9CFBAF" w14:textId="77777777" w:rsidR="00665B44" w:rsidRPr="00D0223B" w:rsidRDefault="00665B44" w:rsidP="00D34244">
            <w:pPr>
              <w:spacing w:line="480" w:lineRule="auto"/>
              <w:rPr>
                <w:rFonts w:cs="Arial"/>
                <w:b w:val="0"/>
                <w:i/>
                <w:sz w:val="24"/>
                <w:szCs w:val="24"/>
              </w:rPr>
            </w:pPr>
            <w:r w:rsidRPr="00D0223B">
              <w:rPr>
                <w:rFonts w:cs="Arial"/>
                <w:b w:val="0"/>
                <w:i/>
                <w:sz w:val="24"/>
                <w:szCs w:val="24"/>
              </w:rPr>
              <w:t>Mild - moderate (&gt;= 35 letters)</w:t>
            </w:r>
          </w:p>
        </w:tc>
        <w:tc>
          <w:tcPr>
            <w:tcW w:w="459" w:type="pct"/>
          </w:tcPr>
          <w:p w14:paraId="5370512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14</w:t>
            </w:r>
          </w:p>
          <w:p w14:paraId="16E6F4B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(63.6)</w:t>
            </w:r>
          </w:p>
        </w:tc>
        <w:tc>
          <w:tcPr>
            <w:tcW w:w="461" w:type="pct"/>
          </w:tcPr>
          <w:p w14:paraId="3546709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56</w:t>
            </w:r>
          </w:p>
          <w:p w14:paraId="6A590F9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(93.3)</w:t>
            </w:r>
          </w:p>
        </w:tc>
        <w:tc>
          <w:tcPr>
            <w:tcW w:w="395" w:type="pct"/>
          </w:tcPr>
          <w:p w14:paraId="75B8E8E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79</w:t>
            </w:r>
          </w:p>
          <w:p w14:paraId="51CCC5B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(87.8)</w:t>
            </w:r>
          </w:p>
        </w:tc>
        <w:tc>
          <w:tcPr>
            <w:tcW w:w="395" w:type="pct"/>
          </w:tcPr>
          <w:p w14:paraId="37C9831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113</w:t>
            </w:r>
          </w:p>
          <w:p w14:paraId="48B747D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(89.7)</w:t>
            </w:r>
          </w:p>
        </w:tc>
        <w:tc>
          <w:tcPr>
            <w:tcW w:w="466" w:type="pct"/>
          </w:tcPr>
          <w:p w14:paraId="3A4B392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195</w:t>
            </w:r>
          </w:p>
          <w:p w14:paraId="72DC5C4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(86.3)</w:t>
            </w:r>
          </w:p>
        </w:tc>
        <w:tc>
          <w:tcPr>
            <w:tcW w:w="329" w:type="pct"/>
            <w:vMerge w:val="restart"/>
          </w:tcPr>
          <w:p w14:paraId="0ACD7BE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p>
          <w:p w14:paraId="0816C12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u w:val="single"/>
              </w:rPr>
            </w:pPr>
            <w:r w:rsidRPr="00D0223B">
              <w:rPr>
                <w:rFonts w:cs="Arial"/>
                <w:b/>
                <w:sz w:val="24"/>
                <w:szCs w:val="24"/>
                <w:u w:val="single"/>
              </w:rPr>
              <w:t>0.020</w:t>
            </w:r>
          </w:p>
        </w:tc>
        <w:tc>
          <w:tcPr>
            <w:tcW w:w="131" w:type="pct"/>
            <w:vMerge/>
          </w:tcPr>
          <w:p w14:paraId="6BFCE18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5F64517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253</w:t>
            </w:r>
          </w:p>
          <w:p w14:paraId="2695BA8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(87.8)</w:t>
            </w:r>
          </w:p>
        </w:tc>
        <w:tc>
          <w:tcPr>
            <w:tcW w:w="461" w:type="pct"/>
          </w:tcPr>
          <w:p w14:paraId="5921189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204</w:t>
            </w:r>
          </w:p>
          <w:p w14:paraId="65B9535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(86.4)</w:t>
            </w:r>
          </w:p>
        </w:tc>
        <w:tc>
          <w:tcPr>
            <w:tcW w:w="329" w:type="pct"/>
            <w:vMerge w:val="restart"/>
          </w:tcPr>
          <w:p w14:paraId="11BFEFF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0B651CF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0.631</w:t>
            </w:r>
          </w:p>
        </w:tc>
      </w:tr>
      <w:tr w:rsidR="00665B44" w:rsidRPr="00D0223B" w14:paraId="14FE4972"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591B1CE6" w14:textId="77777777" w:rsidR="00665B44" w:rsidRPr="00D0223B" w:rsidRDefault="00665B44" w:rsidP="00D34244">
            <w:pPr>
              <w:spacing w:line="480" w:lineRule="auto"/>
              <w:rPr>
                <w:rFonts w:cs="Arial"/>
                <w:b w:val="0"/>
                <w:i/>
                <w:sz w:val="24"/>
                <w:szCs w:val="24"/>
              </w:rPr>
            </w:pPr>
            <w:r w:rsidRPr="00D0223B">
              <w:rPr>
                <w:rFonts w:cs="Arial"/>
                <w:b w:val="0"/>
                <w:i/>
                <w:sz w:val="24"/>
                <w:szCs w:val="24"/>
              </w:rPr>
              <w:t>Severe (&lt; 35 letters)</w:t>
            </w:r>
          </w:p>
        </w:tc>
        <w:tc>
          <w:tcPr>
            <w:tcW w:w="459" w:type="pct"/>
          </w:tcPr>
          <w:p w14:paraId="00308F0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w:t>
            </w:r>
          </w:p>
          <w:p w14:paraId="61EADEF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(36.4)</w:t>
            </w:r>
          </w:p>
        </w:tc>
        <w:tc>
          <w:tcPr>
            <w:tcW w:w="461" w:type="pct"/>
          </w:tcPr>
          <w:p w14:paraId="0A78C67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4</w:t>
            </w:r>
          </w:p>
          <w:p w14:paraId="5663449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(6.7)</w:t>
            </w:r>
          </w:p>
        </w:tc>
        <w:tc>
          <w:tcPr>
            <w:tcW w:w="395" w:type="pct"/>
          </w:tcPr>
          <w:p w14:paraId="394BEC0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11</w:t>
            </w:r>
          </w:p>
          <w:p w14:paraId="30AB0D8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(12.2)</w:t>
            </w:r>
          </w:p>
        </w:tc>
        <w:tc>
          <w:tcPr>
            <w:tcW w:w="395" w:type="pct"/>
          </w:tcPr>
          <w:p w14:paraId="2D32E25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13</w:t>
            </w:r>
          </w:p>
          <w:p w14:paraId="1421E57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(10.3)</w:t>
            </w:r>
          </w:p>
        </w:tc>
        <w:tc>
          <w:tcPr>
            <w:tcW w:w="466" w:type="pct"/>
          </w:tcPr>
          <w:p w14:paraId="736CF97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31</w:t>
            </w:r>
          </w:p>
          <w:p w14:paraId="36AB585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(13.7)</w:t>
            </w:r>
          </w:p>
        </w:tc>
        <w:tc>
          <w:tcPr>
            <w:tcW w:w="329" w:type="pct"/>
            <w:vMerge/>
          </w:tcPr>
          <w:p w14:paraId="6669FE0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0B42C09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1AE2176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35</w:t>
            </w:r>
          </w:p>
          <w:p w14:paraId="6EA7872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(12.2)</w:t>
            </w:r>
          </w:p>
        </w:tc>
        <w:tc>
          <w:tcPr>
            <w:tcW w:w="461" w:type="pct"/>
          </w:tcPr>
          <w:p w14:paraId="2BF8D5B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32</w:t>
            </w:r>
          </w:p>
          <w:p w14:paraId="042C5CC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(13.6)</w:t>
            </w:r>
          </w:p>
        </w:tc>
        <w:tc>
          <w:tcPr>
            <w:tcW w:w="329" w:type="pct"/>
            <w:vMerge/>
          </w:tcPr>
          <w:p w14:paraId="34F0CD3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6D89054C"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7A545B4C" w14:textId="4C549FC4" w:rsidR="00665B44" w:rsidRPr="00D0223B" w:rsidRDefault="00665B44" w:rsidP="00D34244">
            <w:pPr>
              <w:spacing w:line="480" w:lineRule="auto"/>
              <w:rPr>
                <w:rFonts w:cs="Arial"/>
                <w:sz w:val="24"/>
                <w:szCs w:val="24"/>
              </w:rPr>
            </w:pPr>
            <w:r w:rsidRPr="00D0223B">
              <w:rPr>
                <w:rFonts w:cs="Arial"/>
                <w:sz w:val="24"/>
                <w:szCs w:val="24"/>
              </w:rPr>
              <w:t xml:space="preserve">(A)Latest </w:t>
            </w:r>
            <w:r w:rsidR="008D5D95">
              <w:rPr>
                <w:rFonts w:cs="Arial"/>
                <w:sz w:val="24"/>
                <w:szCs w:val="24"/>
              </w:rPr>
              <w:t>Visual Acuity</w:t>
            </w:r>
            <w:r w:rsidR="008D5D95" w:rsidRPr="00D0223B">
              <w:rPr>
                <w:rFonts w:cs="Arial"/>
                <w:sz w:val="24"/>
                <w:szCs w:val="24"/>
              </w:rPr>
              <w:t xml:space="preserve"> </w:t>
            </w:r>
            <w:r w:rsidRPr="00D0223B">
              <w:rPr>
                <w:rFonts w:cs="Arial"/>
                <w:sz w:val="24"/>
                <w:szCs w:val="24"/>
              </w:rPr>
              <w:t>– Median (Range)</w:t>
            </w:r>
          </w:p>
        </w:tc>
        <w:tc>
          <w:tcPr>
            <w:tcW w:w="459" w:type="pct"/>
          </w:tcPr>
          <w:p w14:paraId="113F7E5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49.50</w:t>
            </w:r>
          </w:p>
          <w:p w14:paraId="4BDF136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(1-79)</w:t>
            </w:r>
          </w:p>
        </w:tc>
        <w:tc>
          <w:tcPr>
            <w:tcW w:w="461" w:type="pct"/>
          </w:tcPr>
          <w:p w14:paraId="47F7D53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64</w:t>
            </w:r>
          </w:p>
          <w:p w14:paraId="09BBA2C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(26-84)</w:t>
            </w:r>
          </w:p>
        </w:tc>
        <w:tc>
          <w:tcPr>
            <w:tcW w:w="395" w:type="pct"/>
          </w:tcPr>
          <w:p w14:paraId="7E60998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60</w:t>
            </w:r>
          </w:p>
          <w:p w14:paraId="5AEF168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(17-85)</w:t>
            </w:r>
          </w:p>
        </w:tc>
        <w:tc>
          <w:tcPr>
            <w:tcW w:w="395" w:type="pct"/>
          </w:tcPr>
          <w:p w14:paraId="2140195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59.50</w:t>
            </w:r>
          </w:p>
          <w:p w14:paraId="33186EA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(3-84)</w:t>
            </w:r>
          </w:p>
        </w:tc>
        <w:tc>
          <w:tcPr>
            <w:tcW w:w="466" w:type="pct"/>
          </w:tcPr>
          <w:p w14:paraId="4B59CCE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59.50</w:t>
            </w:r>
          </w:p>
          <w:p w14:paraId="4F171B7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(3-86)</w:t>
            </w:r>
          </w:p>
        </w:tc>
        <w:tc>
          <w:tcPr>
            <w:tcW w:w="329" w:type="pct"/>
          </w:tcPr>
          <w:p w14:paraId="448500F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0.426</w:t>
            </w:r>
          </w:p>
        </w:tc>
        <w:tc>
          <w:tcPr>
            <w:tcW w:w="131" w:type="pct"/>
            <w:vMerge/>
          </w:tcPr>
          <w:p w14:paraId="3D81E23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3ACF0D9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60.50</w:t>
            </w:r>
          </w:p>
          <w:p w14:paraId="34498F5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(1-86)</w:t>
            </w:r>
          </w:p>
        </w:tc>
        <w:tc>
          <w:tcPr>
            <w:tcW w:w="461" w:type="pct"/>
          </w:tcPr>
          <w:p w14:paraId="050C872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59</w:t>
            </w:r>
          </w:p>
          <w:p w14:paraId="4CAA6DE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(3-84)</w:t>
            </w:r>
          </w:p>
        </w:tc>
        <w:tc>
          <w:tcPr>
            <w:tcW w:w="329" w:type="pct"/>
          </w:tcPr>
          <w:p w14:paraId="4147760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0.734</w:t>
            </w:r>
          </w:p>
        </w:tc>
      </w:tr>
      <w:tr w:rsidR="00665B44" w:rsidRPr="00D0223B" w14:paraId="1AC138C1"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3C9D2B5F" w14:textId="65820C3A" w:rsidR="00665B44" w:rsidRPr="00D0223B" w:rsidRDefault="00665B44" w:rsidP="00D34244">
            <w:pPr>
              <w:spacing w:line="480" w:lineRule="auto"/>
              <w:rPr>
                <w:rFonts w:cs="Arial"/>
                <w:sz w:val="24"/>
                <w:szCs w:val="24"/>
              </w:rPr>
            </w:pPr>
            <w:r w:rsidRPr="00D0223B">
              <w:rPr>
                <w:rFonts w:cs="Arial"/>
                <w:sz w:val="24"/>
                <w:szCs w:val="24"/>
              </w:rPr>
              <w:t xml:space="preserve">(B)Difference between baseline and latest </w:t>
            </w:r>
            <w:r w:rsidR="008D5D95">
              <w:rPr>
                <w:rFonts w:cs="Arial"/>
                <w:sz w:val="24"/>
                <w:szCs w:val="24"/>
              </w:rPr>
              <w:t>visual acuity</w:t>
            </w:r>
          </w:p>
        </w:tc>
        <w:tc>
          <w:tcPr>
            <w:tcW w:w="459" w:type="pct"/>
          </w:tcPr>
          <w:p w14:paraId="7495B19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2DCB55D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6CA8B40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1F0E6C3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075A82E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365B9FB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740C2A1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11B7AE0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4E9C8ED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6721E7A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743B6433"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01AB0F58" w14:textId="77777777" w:rsidR="00665B44" w:rsidRPr="00D0223B" w:rsidRDefault="00665B44" w:rsidP="00D34244">
            <w:pPr>
              <w:spacing w:line="480" w:lineRule="auto"/>
              <w:rPr>
                <w:rFonts w:cs="Arial"/>
                <w:b w:val="0"/>
                <w:i/>
                <w:sz w:val="24"/>
                <w:szCs w:val="24"/>
              </w:rPr>
            </w:pPr>
            <w:r w:rsidRPr="00D0223B">
              <w:rPr>
                <w:rFonts w:cs="Arial"/>
                <w:b w:val="0"/>
                <w:i/>
                <w:sz w:val="24"/>
                <w:szCs w:val="24"/>
              </w:rPr>
              <w:t>Difference in number of letters read on Snellen Chart - Median (Range)</w:t>
            </w:r>
          </w:p>
        </w:tc>
        <w:tc>
          <w:tcPr>
            <w:tcW w:w="459" w:type="pct"/>
          </w:tcPr>
          <w:p w14:paraId="1A78648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5.50</w:t>
            </w:r>
          </w:p>
          <w:p w14:paraId="17B58CC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(-40 to 29)</w:t>
            </w:r>
          </w:p>
        </w:tc>
        <w:tc>
          <w:tcPr>
            <w:tcW w:w="461" w:type="pct"/>
          </w:tcPr>
          <w:p w14:paraId="2AE670D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w:t>
            </w:r>
          </w:p>
          <w:p w14:paraId="65835A3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(-48 to 38)</w:t>
            </w:r>
          </w:p>
        </w:tc>
        <w:tc>
          <w:tcPr>
            <w:tcW w:w="395" w:type="pct"/>
          </w:tcPr>
          <w:p w14:paraId="7B29E59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0.5</w:t>
            </w:r>
          </w:p>
          <w:p w14:paraId="1159053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(-47 to 33)</w:t>
            </w:r>
          </w:p>
        </w:tc>
        <w:tc>
          <w:tcPr>
            <w:tcW w:w="395" w:type="pct"/>
          </w:tcPr>
          <w:p w14:paraId="1F297CC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w:t>
            </w:r>
          </w:p>
          <w:p w14:paraId="15A48C7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(-52 to 59)</w:t>
            </w:r>
          </w:p>
        </w:tc>
        <w:tc>
          <w:tcPr>
            <w:tcW w:w="466" w:type="pct"/>
          </w:tcPr>
          <w:p w14:paraId="64ACED6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w:t>
            </w:r>
          </w:p>
          <w:p w14:paraId="591D135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(-60 to 37)</w:t>
            </w:r>
          </w:p>
        </w:tc>
        <w:tc>
          <w:tcPr>
            <w:tcW w:w="329" w:type="pct"/>
          </w:tcPr>
          <w:p w14:paraId="4B7ABE0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0.884</w:t>
            </w:r>
          </w:p>
        </w:tc>
        <w:tc>
          <w:tcPr>
            <w:tcW w:w="131" w:type="pct"/>
            <w:vMerge/>
          </w:tcPr>
          <w:p w14:paraId="3ED9D85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464D060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w:t>
            </w:r>
          </w:p>
          <w:p w14:paraId="13ED098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(-52 to 59)</w:t>
            </w:r>
          </w:p>
        </w:tc>
        <w:tc>
          <w:tcPr>
            <w:tcW w:w="461" w:type="pct"/>
          </w:tcPr>
          <w:p w14:paraId="0792F80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w:t>
            </w:r>
          </w:p>
          <w:p w14:paraId="2C41EDA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(-60 to 37)</w:t>
            </w:r>
          </w:p>
        </w:tc>
        <w:tc>
          <w:tcPr>
            <w:tcW w:w="329" w:type="pct"/>
          </w:tcPr>
          <w:p w14:paraId="7847C41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0.472</w:t>
            </w:r>
          </w:p>
        </w:tc>
      </w:tr>
      <w:tr w:rsidR="00665B44" w:rsidRPr="00D0223B" w14:paraId="02EECEFA"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257FE673" w14:textId="77777777" w:rsidR="00665B44" w:rsidRPr="00D0223B" w:rsidRDefault="00665B44" w:rsidP="00D34244">
            <w:pPr>
              <w:spacing w:line="480" w:lineRule="auto"/>
              <w:rPr>
                <w:rFonts w:cs="Arial"/>
                <w:sz w:val="24"/>
                <w:szCs w:val="24"/>
              </w:rPr>
            </w:pPr>
            <w:r w:rsidRPr="00D0223B">
              <w:rPr>
                <w:rFonts w:cs="Arial"/>
                <w:sz w:val="24"/>
                <w:szCs w:val="24"/>
              </w:rPr>
              <w:t>Vision Outcome</w:t>
            </w:r>
          </w:p>
        </w:tc>
        <w:tc>
          <w:tcPr>
            <w:tcW w:w="459" w:type="pct"/>
          </w:tcPr>
          <w:p w14:paraId="36B88F3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615BD93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1BAA27A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69C0A68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1EC1A05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05305FB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2BD538A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2DEBA04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4370D1C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5A2CC78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30C08EF2"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1E86ECE4" w14:textId="77777777" w:rsidR="00665B44" w:rsidRPr="00D0223B" w:rsidRDefault="00665B44" w:rsidP="00D34244">
            <w:pPr>
              <w:spacing w:line="480" w:lineRule="auto"/>
              <w:rPr>
                <w:rFonts w:cs="Arial"/>
                <w:sz w:val="24"/>
                <w:szCs w:val="24"/>
              </w:rPr>
            </w:pPr>
            <w:r w:rsidRPr="00D0223B">
              <w:rPr>
                <w:rFonts w:cs="Arial"/>
                <w:b w:val="0"/>
                <w:i/>
                <w:sz w:val="24"/>
                <w:szCs w:val="24"/>
              </w:rPr>
              <w:t xml:space="preserve">Deteriorated from baseline (loss of </w:t>
            </w:r>
            <w:r w:rsidRPr="00D0223B">
              <w:rPr>
                <w:rFonts w:cs="Arial"/>
                <w:b w:val="0"/>
                <w:i/>
                <w:sz w:val="24"/>
                <w:szCs w:val="24"/>
              </w:rPr>
              <w:lastRenderedPageBreak/>
              <w:t>more than 15 letters) N (%)</w:t>
            </w:r>
          </w:p>
        </w:tc>
        <w:tc>
          <w:tcPr>
            <w:tcW w:w="459" w:type="pct"/>
          </w:tcPr>
          <w:p w14:paraId="393AB6C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lastRenderedPageBreak/>
              <w:t>5</w:t>
            </w:r>
          </w:p>
          <w:p w14:paraId="1C82D9D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(22.7)</w:t>
            </w:r>
          </w:p>
        </w:tc>
        <w:tc>
          <w:tcPr>
            <w:tcW w:w="461" w:type="pct"/>
          </w:tcPr>
          <w:p w14:paraId="62ECF0D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w:t>
            </w:r>
          </w:p>
          <w:p w14:paraId="36E1389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(10.0)</w:t>
            </w:r>
          </w:p>
        </w:tc>
        <w:tc>
          <w:tcPr>
            <w:tcW w:w="395" w:type="pct"/>
          </w:tcPr>
          <w:p w14:paraId="794588D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15</w:t>
            </w:r>
          </w:p>
          <w:p w14:paraId="7B9FADF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(16.7)</w:t>
            </w:r>
          </w:p>
        </w:tc>
        <w:tc>
          <w:tcPr>
            <w:tcW w:w="395" w:type="pct"/>
          </w:tcPr>
          <w:p w14:paraId="37E0F0E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18</w:t>
            </w:r>
          </w:p>
          <w:p w14:paraId="4B86E5F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(14.3)</w:t>
            </w:r>
          </w:p>
        </w:tc>
        <w:tc>
          <w:tcPr>
            <w:tcW w:w="466" w:type="pct"/>
          </w:tcPr>
          <w:p w14:paraId="113063D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38</w:t>
            </w:r>
          </w:p>
          <w:p w14:paraId="0871CF7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(16.8)</w:t>
            </w:r>
          </w:p>
        </w:tc>
        <w:tc>
          <w:tcPr>
            <w:tcW w:w="329" w:type="pct"/>
            <w:vMerge w:val="restart"/>
          </w:tcPr>
          <w:p w14:paraId="11301AB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7D7C965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2FA0A7F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41580A6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6993747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0.579</w:t>
            </w:r>
          </w:p>
        </w:tc>
        <w:tc>
          <w:tcPr>
            <w:tcW w:w="131" w:type="pct"/>
            <w:vMerge/>
          </w:tcPr>
          <w:p w14:paraId="58E901A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7DF060F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42</w:t>
            </w:r>
          </w:p>
          <w:p w14:paraId="09C5D28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(14.6)</w:t>
            </w:r>
          </w:p>
        </w:tc>
        <w:tc>
          <w:tcPr>
            <w:tcW w:w="461" w:type="pct"/>
          </w:tcPr>
          <w:p w14:paraId="05297DC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40</w:t>
            </w:r>
          </w:p>
          <w:p w14:paraId="23CBDA4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(16.9)</w:t>
            </w:r>
          </w:p>
        </w:tc>
        <w:tc>
          <w:tcPr>
            <w:tcW w:w="329" w:type="pct"/>
            <w:vMerge w:val="restart"/>
          </w:tcPr>
          <w:p w14:paraId="5E8156C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22EA84E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19F97AB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12E6A94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35F91C5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0.458</w:t>
            </w:r>
          </w:p>
        </w:tc>
      </w:tr>
      <w:tr w:rsidR="00665B44" w:rsidRPr="00D0223B" w14:paraId="682D133F"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663897E1" w14:textId="77777777" w:rsidR="00665B44" w:rsidRPr="00D0223B" w:rsidRDefault="00665B44" w:rsidP="00D34244">
            <w:pPr>
              <w:spacing w:line="480" w:lineRule="auto"/>
              <w:rPr>
                <w:rFonts w:cs="Arial"/>
                <w:sz w:val="24"/>
                <w:szCs w:val="24"/>
              </w:rPr>
            </w:pPr>
            <w:r w:rsidRPr="00D0223B">
              <w:rPr>
                <w:rFonts w:cs="Arial"/>
                <w:b w:val="0"/>
                <w:i/>
                <w:sz w:val="24"/>
                <w:szCs w:val="24"/>
              </w:rPr>
              <w:lastRenderedPageBreak/>
              <w:t>Vision maintained or Improved from baseline (loss of less than 15 letters) N (%)</w:t>
            </w:r>
          </w:p>
        </w:tc>
        <w:tc>
          <w:tcPr>
            <w:tcW w:w="459" w:type="pct"/>
          </w:tcPr>
          <w:p w14:paraId="242774E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17</w:t>
            </w:r>
          </w:p>
          <w:p w14:paraId="18BC4D1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(77.3)</w:t>
            </w:r>
          </w:p>
        </w:tc>
        <w:tc>
          <w:tcPr>
            <w:tcW w:w="461" w:type="pct"/>
          </w:tcPr>
          <w:p w14:paraId="0AE5FAF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54</w:t>
            </w:r>
          </w:p>
          <w:p w14:paraId="33D8C10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(90.0)</w:t>
            </w:r>
          </w:p>
        </w:tc>
        <w:tc>
          <w:tcPr>
            <w:tcW w:w="395" w:type="pct"/>
          </w:tcPr>
          <w:p w14:paraId="1D70E17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75</w:t>
            </w:r>
          </w:p>
          <w:p w14:paraId="0E872CA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(83.3)</w:t>
            </w:r>
          </w:p>
        </w:tc>
        <w:tc>
          <w:tcPr>
            <w:tcW w:w="395" w:type="pct"/>
          </w:tcPr>
          <w:p w14:paraId="72C833D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108</w:t>
            </w:r>
          </w:p>
          <w:p w14:paraId="0579BC0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(85.7)</w:t>
            </w:r>
          </w:p>
        </w:tc>
        <w:tc>
          <w:tcPr>
            <w:tcW w:w="466" w:type="pct"/>
          </w:tcPr>
          <w:p w14:paraId="2A2E912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188</w:t>
            </w:r>
          </w:p>
          <w:p w14:paraId="5782C19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(83.2)</w:t>
            </w:r>
          </w:p>
        </w:tc>
        <w:tc>
          <w:tcPr>
            <w:tcW w:w="329" w:type="pct"/>
            <w:vMerge/>
          </w:tcPr>
          <w:p w14:paraId="4E49511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6DB9932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034F6CA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246</w:t>
            </w:r>
          </w:p>
          <w:p w14:paraId="1907232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(85.4)</w:t>
            </w:r>
          </w:p>
        </w:tc>
        <w:tc>
          <w:tcPr>
            <w:tcW w:w="461" w:type="pct"/>
          </w:tcPr>
          <w:p w14:paraId="41DC274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196</w:t>
            </w:r>
          </w:p>
          <w:p w14:paraId="35DC6BD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(83.1)</w:t>
            </w:r>
          </w:p>
        </w:tc>
        <w:tc>
          <w:tcPr>
            <w:tcW w:w="329" w:type="pct"/>
            <w:vMerge/>
          </w:tcPr>
          <w:p w14:paraId="64212FA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4F1C4209" w14:textId="77777777" w:rsidTr="00C118DF">
        <w:trPr>
          <w:trHeight w:val="55"/>
        </w:trPr>
        <w:tc>
          <w:tcPr>
            <w:cnfStyle w:val="001000000000" w:firstRow="0" w:lastRow="0" w:firstColumn="1" w:lastColumn="0" w:oddVBand="0" w:evenVBand="0" w:oddHBand="0" w:evenHBand="0" w:firstRowFirstColumn="0" w:firstRowLastColumn="0" w:lastRowFirstColumn="0" w:lastRowLastColumn="0"/>
            <w:tcW w:w="1115" w:type="pct"/>
          </w:tcPr>
          <w:p w14:paraId="244836F9" w14:textId="77777777" w:rsidR="00665B44" w:rsidRPr="00D0223B" w:rsidRDefault="00665B44" w:rsidP="00D34244">
            <w:pPr>
              <w:spacing w:line="480" w:lineRule="auto"/>
              <w:rPr>
                <w:rFonts w:cs="Arial"/>
                <w:b w:val="0"/>
                <w:i/>
                <w:sz w:val="24"/>
                <w:szCs w:val="24"/>
              </w:rPr>
            </w:pPr>
          </w:p>
        </w:tc>
        <w:tc>
          <w:tcPr>
            <w:tcW w:w="459" w:type="pct"/>
          </w:tcPr>
          <w:p w14:paraId="0171B53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0240DE4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0D9B726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1F81ACE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6" w:type="pct"/>
          </w:tcPr>
          <w:p w14:paraId="4CD206C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305B942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tcPr>
          <w:p w14:paraId="444F0AE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2763553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28C898B0"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329667E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43AC91B9"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A6A6A6" w:themeFill="background1" w:themeFillShade="A6"/>
          </w:tcPr>
          <w:p w14:paraId="0A1E338E" w14:textId="77777777" w:rsidR="00665B44" w:rsidRPr="00D0223B" w:rsidRDefault="00665B44" w:rsidP="00D34244">
            <w:pPr>
              <w:spacing w:line="480" w:lineRule="auto"/>
              <w:rPr>
                <w:rFonts w:cs="Arial"/>
                <w:sz w:val="24"/>
                <w:szCs w:val="24"/>
              </w:rPr>
            </w:pPr>
            <w:r w:rsidRPr="00D0223B">
              <w:rPr>
                <w:sz w:val="24"/>
                <w:szCs w:val="24"/>
              </w:rPr>
              <w:t>Treatment process measures by deprivation status and distance from eye unit (whole study population – 756 patients)</w:t>
            </w:r>
          </w:p>
        </w:tc>
      </w:tr>
      <w:tr w:rsidR="00665B44" w:rsidRPr="00D0223B" w14:paraId="7E4BDBCF"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4E5F3674" w14:textId="77777777" w:rsidR="00665B44" w:rsidRPr="00D0223B" w:rsidRDefault="00665B44" w:rsidP="00D34244">
            <w:pPr>
              <w:spacing w:line="480" w:lineRule="auto"/>
              <w:rPr>
                <w:rFonts w:cs="Arial"/>
                <w:b w:val="0"/>
                <w:i/>
                <w:sz w:val="24"/>
                <w:szCs w:val="24"/>
              </w:rPr>
            </w:pPr>
            <w:r w:rsidRPr="00D0223B">
              <w:rPr>
                <w:rFonts w:cs="Arial"/>
                <w:sz w:val="24"/>
                <w:szCs w:val="24"/>
              </w:rPr>
              <w:t xml:space="preserve">WET AMD Patients </w:t>
            </w:r>
          </w:p>
        </w:tc>
        <w:tc>
          <w:tcPr>
            <w:tcW w:w="459" w:type="pct"/>
          </w:tcPr>
          <w:p w14:paraId="35B8EE9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34</w:t>
            </w:r>
          </w:p>
        </w:tc>
        <w:tc>
          <w:tcPr>
            <w:tcW w:w="461" w:type="pct"/>
          </w:tcPr>
          <w:p w14:paraId="12A5C04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86</w:t>
            </w:r>
          </w:p>
        </w:tc>
        <w:tc>
          <w:tcPr>
            <w:tcW w:w="395" w:type="pct"/>
          </w:tcPr>
          <w:p w14:paraId="7BCEC1E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134</w:t>
            </w:r>
          </w:p>
        </w:tc>
        <w:tc>
          <w:tcPr>
            <w:tcW w:w="395" w:type="pct"/>
          </w:tcPr>
          <w:p w14:paraId="45F0BD4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186</w:t>
            </w:r>
          </w:p>
        </w:tc>
        <w:tc>
          <w:tcPr>
            <w:tcW w:w="466" w:type="pct"/>
          </w:tcPr>
          <w:p w14:paraId="3F999C2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316</w:t>
            </w:r>
          </w:p>
        </w:tc>
        <w:tc>
          <w:tcPr>
            <w:tcW w:w="329" w:type="pct"/>
          </w:tcPr>
          <w:p w14:paraId="0308D58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val="restart"/>
          </w:tcPr>
          <w:p w14:paraId="04F4162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2301960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413</w:t>
            </w:r>
          </w:p>
        </w:tc>
        <w:tc>
          <w:tcPr>
            <w:tcW w:w="461" w:type="pct"/>
          </w:tcPr>
          <w:p w14:paraId="0EE66C0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343</w:t>
            </w:r>
          </w:p>
        </w:tc>
        <w:tc>
          <w:tcPr>
            <w:tcW w:w="329" w:type="pct"/>
          </w:tcPr>
          <w:p w14:paraId="38CBD23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637FFD85"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3F3C7E4C" w14:textId="77777777" w:rsidR="00665B44" w:rsidRPr="00D0223B" w:rsidRDefault="00665B44" w:rsidP="00D34244">
            <w:pPr>
              <w:spacing w:line="480" w:lineRule="auto"/>
              <w:rPr>
                <w:rFonts w:cs="Arial"/>
                <w:b w:val="0"/>
                <w:i/>
                <w:sz w:val="24"/>
                <w:szCs w:val="24"/>
              </w:rPr>
            </w:pPr>
            <w:r w:rsidRPr="00D0223B">
              <w:rPr>
                <w:rFonts w:cs="Arial"/>
                <w:sz w:val="24"/>
                <w:szCs w:val="24"/>
              </w:rPr>
              <w:t>Age</w:t>
            </w:r>
          </w:p>
        </w:tc>
        <w:tc>
          <w:tcPr>
            <w:tcW w:w="459" w:type="pct"/>
          </w:tcPr>
          <w:p w14:paraId="0EC60B3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81.5</w:t>
            </w:r>
          </w:p>
          <w:p w14:paraId="5EAA16F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(60-100)</w:t>
            </w:r>
          </w:p>
        </w:tc>
        <w:tc>
          <w:tcPr>
            <w:tcW w:w="461" w:type="pct"/>
          </w:tcPr>
          <w:p w14:paraId="3E412DC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85.5</w:t>
            </w:r>
          </w:p>
          <w:p w14:paraId="6586B9E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(55-97)</w:t>
            </w:r>
          </w:p>
        </w:tc>
        <w:tc>
          <w:tcPr>
            <w:tcW w:w="395" w:type="pct"/>
          </w:tcPr>
          <w:p w14:paraId="7C97E2F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69EAC8B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(58-96)</w:t>
            </w:r>
          </w:p>
        </w:tc>
        <w:tc>
          <w:tcPr>
            <w:tcW w:w="395" w:type="pct"/>
          </w:tcPr>
          <w:p w14:paraId="6F23DEB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4E22F29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(57-99)</w:t>
            </w:r>
          </w:p>
        </w:tc>
        <w:tc>
          <w:tcPr>
            <w:tcW w:w="466" w:type="pct"/>
          </w:tcPr>
          <w:p w14:paraId="2DC126A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65F4BD6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(54-98)</w:t>
            </w:r>
          </w:p>
        </w:tc>
        <w:tc>
          <w:tcPr>
            <w:tcW w:w="329" w:type="pct"/>
          </w:tcPr>
          <w:p w14:paraId="7913892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0.554</w:t>
            </w:r>
          </w:p>
        </w:tc>
        <w:tc>
          <w:tcPr>
            <w:tcW w:w="131" w:type="pct"/>
            <w:vMerge/>
          </w:tcPr>
          <w:p w14:paraId="7D81DB2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79C28C7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37947F5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(55-100)</w:t>
            </w:r>
          </w:p>
        </w:tc>
        <w:tc>
          <w:tcPr>
            <w:tcW w:w="461" w:type="pct"/>
          </w:tcPr>
          <w:p w14:paraId="56E5DDA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w:t>
            </w:r>
          </w:p>
          <w:p w14:paraId="4B765B7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(54-99)</w:t>
            </w:r>
          </w:p>
        </w:tc>
        <w:tc>
          <w:tcPr>
            <w:tcW w:w="329" w:type="pct"/>
          </w:tcPr>
          <w:p w14:paraId="169EC1D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0.703</w:t>
            </w:r>
          </w:p>
        </w:tc>
      </w:tr>
      <w:tr w:rsidR="00665B44" w:rsidRPr="00D0223B" w14:paraId="23CE9836"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402DC709" w14:textId="77777777" w:rsidR="00665B44" w:rsidRPr="00D0223B" w:rsidRDefault="00665B44" w:rsidP="00D34244">
            <w:pPr>
              <w:spacing w:line="480" w:lineRule="auto"/>
              <w:rPr>
                <w:rFonts w:cs="Arial"/>
                <w:b w:val="0"/>
                <w:i/>
                <w:sz w:val="24"/>
                <w:szCs w:val="24"/>
              </w:rPr>
            </w:pPr>
            <w:r w:rsidRPr="00D0223B">
              <w:rPr>
                <w:rFonts w:cs="Arial"/>
                <w:sz w:val="24"/>
                <w:szCs w:val="24"/>
              </w:rPr>
              <w:t>Gender</w:t>
            </w:r>
          </w:p>
        </w:tc>
        <w:tc>
          <w:tcPr>
            <w:tcW w:w="459" w:type="pct"/>
          </w:tcPr>
          <w:p w14:paraId="3739777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32A7F55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707C6C9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95" w:type="pct"/>
          </w:tcPr>
          <w:p w14:paraId="705EB01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6" w:type="pct"/>
          </w:tcPr>
          <w:p w14:paraId="7B96A7C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5DAFE233"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tcPr>
          <w:p w14:paraId="3F85951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02B4A58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61" w:type="pct"/>
          </w:tcPr>
          <w:p w14:paraId="673E617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9" w:type="pct"/>
          </w:tcPr>
          <w:p w14:paraId="5F2EDC8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1BF608E7"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47B20471" w14:textId="77777777" w:rsidR="00665B44" w:rsidRPr="00D0223B" w:rsidRDefault="00665B44" w:rsidP="00D34244">
            <w:pPr>
              <w:spacing w:line="480" w:lineRule="auto"/>
              <w:rPr>
                <w:rFonts w:cs="Arial"/>
                <w:b w:val="0"/>
                <w:i/>
                <w:sz w:val="24"/>
                <w:szCs w:val="24"/>
              </w:rPr>
            </w:pPr>
            <w:r w:rsidRPr="00D0223B">
              <w:rPr>
                <w:rFonts w:cs="Arial"/>
                <w:b w:val="0"/>
                <w:i/>
                <w:sz w:val="24"/>
                <w:szCs w:val="24"/>
              </w:rPr>
              <w:t>Male</w:t>
            </w:r>
          </w:p>
        </w:tc>
        <w:tc>
          <w:tcPr>
            <w:tcW w:w="459" w:type="pct"/>
          </w:tcPr>
          <w:p w14:paraId="13613F1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11</w:t>
            </w:r>
          </w:p>
          <w:p w14:paraId="14BD24C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(32.4)</w:t>
            </w:r>
          </w:p>
        </w:tc>
        <w:tc>
          <w:tcPr>
            <w:tcW w:w="461" w:type="pct"/>
          </w:tcPr>
          <w:p w14:paraId="3737AEB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30</w:t>
            </w:r>
          </w:p>
          <w:p w14:paraId="6E36A1EE"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(32.4)</w:t>
            </w:r>
          </w:p>
        </w:tc>
        <w:tc>
          <w:tcPr>
            <w:tcW w:w="395" w:type="pct"/>
          </w:tcPr>
          <w:p w14:paraId="40EF268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48</w:t>
            </w:r>
          </w:p>
          <w:p w14:paraId="31A6585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(35.8)</w:t>
            </w:r>
          </w:p>
        </w:tc>
        <w:tc>
          <w:tcPr>
            <w:tcW w:w="395" w:type="pct"/>
          </w:tcPr>
          <w:p w14:paraId="5598FEF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72</w:t>
            </w:r>
          </w:p>
          <w:p w14:paraId="697B1EE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(38.7)</w:t>
            </w:r>
          </w:p>
        </w:tc>
        <w:tc>
          <w:tcPr>
            <w:tcW w:w="466" w:type="pct"/>
          </w:tcPr>
          <w:p w14:paraId="335C77F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96</w:t>
            </w:r>
          </w:p>
          <w:p w14:paraId="7D7299C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(30.4)</w:t>
            </w:r>
          </w:p>
        </w:tc>
        <w:tc>
          <w:tcPr>
            <w:tcW w:w="329" w:type="pct"/>
          </w:tcPr>
          <w:p w14:paraId="3082C58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23E0C2A8"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0.412</w:t>
            </w:r>
          </w:p>
        </w:tc>
        <w:tc>
          <w:tcPr>
            <w:tcW w:w="131" w:type="pct"/>
            <w:vMerge/>
          </w:tcPr>
          <w:p w14:paraId="00986F1E"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72EB7B55"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145</w:t>
            </w:r>
          </w:p>
          <w:p w14:paraId="4EE756E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(35.1)</w:t>
            </w:r>
          </w:p>
        </w:tc>
        <w:tc>
          <w:tcPr>
            <w:tcW w:w="461" w:type="pct"/>
          </w:tcPr>
          <w:p w14:paraId="1BFCC37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112</w:t>
            </w:r>
          </w:p>
          <w:p w14:paraId="4AE2876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(32.7)</w:t>
            </w:r>
          </w:p>
        </w:tc>
        <w:tc>
          <w:tcPr>
            <w:tcW w:w="329" w:type="pct"/>
          </w:tcPr>
          <w:p w14:paraId="6F70C9C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54FA28A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0.478</w:t>
            </w:r>
          </w:p>
        </w:tc>
      </w:tr>
      <w:tr w:rsidR="00665B44" w:rsidRPr="00D0223B" w14:paraId="085F5C06"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48C039EB" w14:textId="77777777" w:rsidR="00665B44" w:rsidRPr="00D0223B" w:rsidRDefault="00665B44" w:rsidP="00D34244">
            <w:pPr>
              <w:spacing w:line="480" w:lineRule="auto"/>
              <w:rPr>
                <w:rFonts w:cs="Arial"/>
                <w:b w:val="0"/>
                <w:i/>
                <w:sz w:val="24"/>
                <w:szCs w:val="24"/>
              </w:rPr>
            </w:pPr>
            <w:r w:rsidRPr="00D0223B">
              <w:rPr>
                <w:rFonts w:cs="Arial"/>
                <w:b w:val="0"/>
                <w:i/>
                <w:sz w:val="24"/>
                <w:szCs w:val="24"/>
              </w:rPr>
              <w:t>Female</w:t>
            </w:r>
          </w:p>
        </w:tc>
        <w:tc>
          <w:tcPr>
            <w:tcW w:w="459" w:type="pct"/>
          </w:tcPr>
          <w:p w14:paraId="117AC87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23</w:t>
            </w:r>
          </w:p>
          <w:p w14:paraId="2E69136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(67.6)</w:t>
            </w:r>
          </w:p>
        </w:tc>
        <w:tc>
          <w:tcPr>
            <w:tcW w:w="461" w:type="pct"/>
          </w:tcPr>
          <w:p w14:paraId="101A73F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56</w:t>
            </w:r>
          </w:p>
          <w:p w14:paraId="61E0B0B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(65.1)</w:t>
            </w:r>
          </w:p>
        </w:tc>
        <w:tc>
          <w:tcPr>
            <w:tcW w:w="395" w:type="pct"/>
          </w:tcPr>
          <w:p w14:paraId="03E917D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86</w:t>
            </w:r>
          </w:p>
          <w:p w14:paraId="2044F431"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(64.2)</w:t>
            </w:r>
          </w:p>
        </w:tc>
        <w:tc>
          <w:tcPr>
            <w:tcW w:w="395" w:type="pct"/>
          </w:tcPr>
          <w:p w14:paraId="1058C82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114</w:t>
            </w:r>
          </w:p>
          <w:p w14:paraId="39035D8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(61.3)</w:t>
            </w:r>
          </w:p>
        </w:tc>
        <w:tc>
          <w:tcPr>
            <w:tcW w:w="466" w:type="pct"/>
          </w:tcPr>
          <w:p w14:paraId="5127EA5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220</w:t>
            </w:r>
          </w:p>
          <w:p w14:paraId="0355234F"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(69.6)</w:t>
            </w:r>
          </w:p>
        </w:tc>
        <w:tc>
          <w:tcPr>
            <w:tcW w:w="329" w:type="pct"/>
          </w:tcPr>
          <w:p w14:paraId="7438472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31" w:type="pct"/>
            <w:vMerge/>
          </w:tcPr>
          <w:p w14:paraId="2E0F22A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15B2208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268</w:t>
            </w:r>
          </w:p>
          <w:p w14:paraId="6D9711D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(64.9)</w:t>
            </w:r>
          </w:p>
        </w:tc>
        <w:tc>
          <w:tcPr>
            <w:tcW w:w="461" w:type="pct"/>
          </w:tcPr>
          <w:p w14:paraId="5795534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231</w:t>
            </w:r>
          </w:p>
          <w:p w14:paraId="16A8BEB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(67.3)</w:t>
            </w:r>
          </w:p>
        </w:tc>
        <w:tc>
          <w:tcPr>
            <w:tcW w:w="329" w:type="pct"/>
          </w:tcPr>
          <w:p w14:paraId="62A8FF8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65B44" w:rsidRPr="00D0223B" w14:paraId="6E092769"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4D5A0954" w14:textId="77777777" w:rsidR="00665B44" w:rsidRPr="00D0223B" w:rsidRDefault="00665B44" w:rsidP="00D34244">
            <w:pPr>
              <w:spacing w:line="480" w:lineRule="auto"/>
              <w:rPr>
                <w:rFonts w:cs="Arial"/>
                <w:b w:val="0"/>
                <w:i/>
                <w:sz w:val="24"/>
                <w:szCs w:val="24"/>
              </w:rPr>
            </w:pPr>
            <w:r w:rsidRPr="00D0223B">
              <w:rPr>
                <w:rFonts w:cs="Arial"/>
                <w:sz w:val="24"/>
                <w:szCs w:val="24"/>
              </w:rPr>
              <w:t>Delay in Completion</w:t>
            </w:r>
            <w:r w:rsidRPr="00D0223B">
              <w:rPr>
                <w:rStyle w:val="FootnoteReference"/>
                <w:sz w:val="24"/>
                <w:szCs w:val="24"/>
              </w:rPr>
              <w:footnoteReference w:id="1"/>
            </w:r>
          </w:p>
        </w:tc>
        <w:tc>
          <w:tcPr>
            <w:tcW w:w="459" w:type="pct"/>
          </w:tcPr>
          <w:p w14:paraId="1224A95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23824A6D"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586DF1D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95" w:type="pct"/>
          </w:tcPr>
          <w:p w14:paraId="0CE2BDF0"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6" w:type="pct"/>
          </w:tcPr>
          <w:p w14:paraId="719D5FF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3D76DD39"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14119592"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01A3CEEB"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61" w:type="pct"/>
          </w:tcPr>
          <w:p w14:paraId="0445CECA"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29" w:type="pct"/>
          </w:tcPr>
          <w:p w14:paraId="051ABE7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63C9B5D0"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7039DBB5" w14:textId="77777777" w:rsidR="00665B44" w:rsidRPr="00D0223B" w:rsidRDefault="00665B44" w:rsidP="00D34244">
            <w:pPr>
              <w:spacing w:line="480" w:lineRule="auto"/>
              <w:rPr>
                <w:rFonts w:cs="Arial"/>
                <w:b w:val="0"/>
                <w:i/>
                <w:sz w:val="24"/>
                <w:szCs w:val="24"/>
              </w:rPr>
            </w:pPr>
            <w:r w:rsidRPr="00D0223B">
              <w:rPr>
                <w:rFonts w:cs="Arial"/>
                <w:b w:val="0"/>
                <w:i/>
                <w:sz w:val="24"/>
                <w:szCs w:val="24"/>
              </w:rPr>
              <w:lastRenderedPageBreak/>
              <w:t>Completed in &lt;= 11 months</w:t>
            </w:r>
          </w:p>
        </w:tc>
        <w:tc>
          <w:tcPr>
            <w:tcW w:w="459" w:type="pct"/>
          </w:tcPr>
          <w:p w14:paraId="76AEA12B"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25(73.5)</w:t>
            </w:r>
          </w:p>
        </w:tc>
        <w:tc>
          <w:tcPr>
            <w:tcW w:w="461" w:type="pct"/>
          </w:tcPr>
          <w:p w14:paraId="2469D68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71(82.6)</w:t>
            </w:r>
          </w:p>
        </w:tc>
        <w:tc>
          <w:tcPr>
            <w:tcW w:w="395" w:type="pct"/>
          </w:tcPr>
          <w:p w14:paraId="0B58904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115</w:t>
            </w:r>
          </w:p>
          <w:p w14:paraId="5FA4B2D6"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(85.8)</w:t>
            </w:r>
          </w:p>
        </w:tc>
        <w:tc>
          <w:tcPr>
            <w:tcW w:w="395" w:type="pct"/>
          </w:tcPr>
          <w:p w14:paraId="4C6DA5E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150</w:t>
            </w:r>
          </w:p>
          <w:p w14:paraId="2582EA9C"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(80.6)</w:t>
            </w:r>
          </w:p>
        </w:tc>
        <w:tc>
          <w:tcPr>
            <w:tcW w:w="466" w:type="pct"/>
          </w:tcPr>
          <w:p w14:paraId="2A6F2C0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280</w:t>
            </w:r>
          </w:p>
          <w:p w14:paraId="05F8DBB8"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(88.6)</w:t>
            </w:r>
          </w:p>
        </w:tc>
        <w:tc>
          <w:tcPr>
            <w:tcW w:w="329" w:type="pct"/>
          </w:tcPr>
          <w:p w14:paraId="3711C6C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b/>
                <w:sz w:val="24"/>
                <w:szCs w:val="24"/>
                <w:u w:val="single"/>
              </w:rPr>
              <w:t>0.043</w:t>
            </w:r>
          </w:p>
        </w:tc>
        <w:tc>
          <w:tcPr>
            <w:tcW w:w="131" w:type="pct"/>
            <w:vMerge/>
          </w:tcPr>
          <w:p w14:paraId="4003D58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6E24557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344(83.3)</w:t>
            </w:r>
          </w:p>
        </w:tc>
        <w:tc>
          <w:tcPr>
            <w:tcW w:w="461" w:type="pct"/>
          </w:tcPr>
          <w:p w14:paraId="02EFAEDE"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297(86.6)</w:t>
            </w:r>
          </w:p>
        </w:tc>
        <w:tc>
          <w:tcPr>
            <w:tcW w:w="329" w:type="pct"/>
          </w:tcPr>
          <w:p w14:paraId="40143F3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0.209</w:t>
            </w:r>
          </w:p>
        </w:tc>
      </w:tr>
      <w:tr w:rsidR="00665B44" w:rsidRPr="00D0223B" w14:paraId="40CDD5FD"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4C50CA13" w14:textId="77777777" w:rsidR="00665B44" w:rsidRPr="00D0223B" w:rsidRDefault="00665B44" w:rsidP="00D34244">
            <w:pPr>
              <w:spacing w:line="480" w:lineRule="auto"/>
              <w:rPr>
                <w:rFonts w:cs="Arial"/>
                <w:b w:val="0"/>
                <w:i/>
                <w:sz w:val="24"/>
                <w:szCs w:val="24"/>
              </w:rPr>
            </w:pPr>
            <w:r w:rsidRPr="00D0223B">
              <w:rPr>
                <w:rFonts w:cs="Arial"/>
                <w:b w:val="0"/>
                <w:i/>
                <w:sz w:val="24"/>
                <w:szCs w:val="24"/>
              </w:rPr>
              <w:t>Delayed completion</w:t>
            </w:r>
          </w:p>
        </w:tc>
        <w:tc>
          <w:tcPr>
            <w:tcW w:w="459" w:type="pct"/>
          </w:tcPr>
          <w:p w14:paraId="526508C1"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9(26.5)</w:t>
            </w:r>
          </w:p>
        </w:tc>
        <w:tc>
          <w:tcPr>
            <w:tcW w:w="461" w:type="pct"/>
          </w:tcPr>
          <w:p w14:paraId="090DA364"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15(17.4)</w:t>
            </w:r>
          </w:p>
        </w:tc>
        <w:tc>
          <w:tcPr>
            <w:tcW w:w="395" w:type="pct"/>
          </w:tcPr>
          <w:p w14:paraId="6B41ED8C"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19(14.2)</w:t>
            </w:r>
          </w:p>
        </w:tc>
        <w:tc>
          <w:tcPr>
            <w:tcW w:w="395" w:type="pct"/>
          </w:tcPr>
          <w:p w14:paraId="5B42F2DE"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36(19.4)</w:t>
            </w:r>
          </w:p>
        </w:tc>
        <w:tc>
          <w:tcPr>
            <w:tcW w:w="466" w:type="pct"/>
          </w:tcPr>
          <w:p w14:paraId="326C14C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36(11.4)</w:t>
            </w:r>
          </w:p>
        </w:tc>
        <w:tc>
          <w:tcPr>
            <w:tcW w:w="329" w:type="pct"/>
          </w:tcPr>
          <w:p w14:paraId="7765DFD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31" w:type="pct"/>
            <w:vMerge/>
          </w:tcPr>
          <w:p w14:paraId="1A4A5617"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459" w:type="pct"/>
          </w:tcPr>
          <w:p w14:paraId="30D56F5F"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69(16.7)</w:t>
            </w:r>
          </w:p>
        </w:tc>
        <w:tc>
          <w:tcPr>
            <w:tcW w:w="461" w:type="pct"/>
          </w:tcPr>
          <w:p w14:paraId="071E6023"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46(13.4)</w:t>
            </w:r>
          </w:p>
        </w:tc>
        <w:tc>
          <w:tcPr>
            <w:tcW w:w="329" w:type="pct"/>
          </w:tcPr>
          <w:p w14:paraId="335AE346" w14:textId="77777777" w:rsidR="00665B44" w:rsidRPr="00D0223B" w:rsidRDefault="00665B44"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65B44" w:rsidRPr="00D0223B" w14:paraId="461A08E8" w14:textId="77777777" w:rsidTr="00C118DF">
        <w:tc>
          <w:tcPr>
            <w:cnfStyle w:val="001000000000" w:firstRow="0" w:lastRow="0" w:firstColumn="1" w:lastColumn="0" w:oddVBand="0" w:evenVBand="0" w:oddHBand="0" w:evenHBand="0" w:firstRowFirstColumn="0" w:firstRowLastColumn="0" w:lastRowFirstColumn="0" w:lastRowLastColumn="0"/>
            <w:tcW w:w="1115" w:type="pct"/>
          </w:tcPr>
          <w:p w14:paraId="3397116B" w14:textId="77777777" w:rsidR="00665B44" w:rsidRPr="00D0223B" w:rsidRDefault="00665B44" w:rsidP="00D34244">
            <w:pPr>
              <w:spacing w:line="480" w:lineRule="auto"/>
              <w:rPr>
                <w:rFonts w:cs="Arial"/>
                <w:b w:val="0"/>
                <w:i/>
                <w:sz w:val="24"/>
                <w:szCs w:val="24"/>
              </w:rPr>
            </w:pPr>
            <w:r w:rsidRPr="00D0223B">
              <w:rPr>
                <w:rFonts w:cs="Arial"/>
                <w:b w:val="0"/>
                <w:i/>
                <w:sz w:val="24"/>
                <w:szCs w:val="24"/>
              </w:rPr>
              <w:t>Missing Data</w:t>
            </w:r>
          </w:p>
        </w:tc>
        <w:tc>
          <w:tcPr>
            <w:tcW w:w="459" w:type="pct"/>
          </w:tcPr>
          <w:p w14:paraId="45840CCA"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461" w:type="pct"/>
          </w:tcPr>
          <w:p w14:paraId="75EB6FD4"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395" w:type="pct"/>
          </w:tcPr>
          <w:p w14:paraId="642E1F09"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395" w:type="pct"/>
          </w:tcPr>
          <w:p w14:paraId="5869826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466" w:type="pct"/>
          </w:tcPr>
          <w:p w14:paraId="62BC4CA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329" w:type="pct"/>
          </w:tcPr>
          <w:p w14:paraId="6CD4CAED"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131" w:type="pct"/>
            <w:vMerge/>
          </w:tcPr>
          <w:p w14:paraId="3A79CB6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459" w:type="pct"/>
          </w:tcPr>
          <w:p w14:paraId="6D7CF812"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461" w:type="pct"/>
          </w:tcPr>
          <w:p w14:paraId="6E45B995"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c>
          <w:tcPr>
            <w:tcW w:w="329" w:type="pct"/>
          </w:tcPr>
          <w:p w14:paraId="03ED6A77" w14:textId="77777777" w:rsidR="00665B44" w:rsidRPr="00D0223B" w:rsidRDefault="00665B44"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w:t>
            </w:r>
          </w:p>
        </w:tc>
      </w:tr>
      <w:tr w:rsidR="00665B44" w:rsidRPr="00D0223B" w14:paraId="499FA89C" w14:textId="77777777" w:rsidTr="00C1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1"/>
          </w:tcPr>
          <w:p w14:paraId="6FD49687" w14:textId="77777777" w:rsidR="00665B44" w:rsidRPr="00D0223B" w:rsidRDefault="00665B44" w:rsidP="00D34244">
            <w:pPr>
              <w:spacing w:line="480" w:lineRule="auto"/>
              <w:rPr>
                <w:rFonts w:cs="Arial"/>
                <w:sz w:val="24"/>
                <w:szCs w:val="24"/>
              </w:rPr>
            </w:pPr>
            <w:r w:rsidRPr="00D0223B">
              <w:rPr>
                <w:rFonts w:cs="Arial"/>
                <w:sz w:val="24"/>
                <w:szCs w:val="24"/>
              </w:rPr>
              <w:t xml:space="preserve">Data presented as n (%) for categorical and Median (Range) for quantitative variables. *P-value from </w:t>
            </w:r>
            <m:oMath>
              <m:sSup>
                <m:sSupPr>
                  <m:ctrlPr>
                    <w:rPr>
                      <w:rFonts w:ascii="Cambria Math" w:hAnsi="Cambria Math" w:cs="Arial"/>
                      <w:sz w:val="24"/>
                      <w:szCs w:val="24"/>
                    </w:rPr>
                  </m:ctrlPr>
                </m:sSupPr>
                <m:e>
                  <m:r>
                    <m:rPr>
                      <m:sty m:val="bi"/>
                    </m:rPr>
                    <w:rPr>
                      <w:rFonts w:ascii="Cambria Math" w:hAnsi="Cambria Math" w:cs="Arial"/>
                      <w:sz w:val="24"/>
                      <w:szCs w:val="24"/>
                    </w:rPr>
                    <m:t>x</m:t>
                  </m:r>
                </m:e>
                <m:sup>
                  <m:r>
                    <m:rPr>
                      <m:sty m:val="b"/>
                    </m:rPr>
                    <w:rPr>
                      <w:rFonts w:ascii="Cambria Math" w:hAnsi="Cambria Math" w:cs="Arial"/>
                      <w:sz w:val="24"/>
                      <w:szCs w:val="24"/>
                    </w:rPr>
                    <m:t>2</m:t>
                  </m:r>
                </m:sup>
              </m:sSup>
            </m:oMath>
            <w:r w:rsidRPr="00D0223B">
              <w:rPr>
                <w:rFonts w:cs="Arial"/>
                <w:sz w:val="24"/>
                <w:szCs w:val="24"/>
              </w:rPr>
              <w:t xml:space="preserve"> test for trend for categorical and Kruskal-Wallis test and Mann-Whitney U test for continuous variable</w:t>
            </w:r>
          </w:p>
        </w:tc>
      </w:tr>
    </w:tbl>
    <w:p w14:paraId="0D145459" w14:textId="77777777" w:rsidR="00665B44" w:rsidRDefault="00665B44" w:rsidP="00D34244">
      <w:pPr>
        <w:spacing w:line="480" w:lineRule="auto"/>
        <w:rPr>
          <w:rFonts w:cs="Arial"/>
          <w:sz w:val="20"/>
          <w:szCs w:val="20"/>
        </w:rPr>
      </w:pPr>
    </w:p>
    <w:p w14:paraId="4E838CE8" w14:textId="5C44EDDB" w:rsidR="00665B44" w:rsidRDefault="00665B44" w:rsidP="00D34244">
      <w:pPr>
        <w:widowControl w:val="0"/>
        <w:autoSpaceDE w:val="0"/>
        <w:autoSpaceDN w:val="0"/>
        <w:adjustRightInd w:val="0"/>
        <w:spacing w:line="480" w:lineRule="auto"/>
        <w:ind w:left="640" w:hanging="640"/>
        <w:rPr>
          <w:rFonts w:cs="Arial"/>
          <w:sz w:val="18"/>
          <w:szCs w:val="18"/>
        </w:rPr>
      </w:pPr>
    </w:p>
    <w:p w14:paraId="5B65E404" w14:textId="6C446BC4" w:rsidR="003C5396" w:rsidRDefault="003C5396" w:rsidP="00D34244">
      <w:pPr>
        <w:widowControl w:val="0"/>
        <w:autoSpaceDE w:val="0"/>
        <w:autoSpaceDN w:val="0"/>
        <w:adjustRightInd w:val="0"/>
        <w:spacing w:line="480" w:lineRule="auto"/>
        <w:ind w:left="640" w:hanging="640"/>
        <w:rPr>
          <w:rFonts w:cs="Arial"/>
          <w:sz w:val="18"/>
          <w:szCs w:val="18"/>
        </w:rPr>
      </w:pPr>
    </w:p>
    <w:p w14:paraId="17E73A70" w14:textId="36CFA569" w:rsidR="003C5396" w:rsidRDefault="003C5396" w:rsidP="00D34244">
      <w:pPr>
        <w:widowControl w:val="0"/>
        <w:autoSpaceDE w:val="0"/>
        <w:autoSpaceDN w:val="0"/>
        <w:adjustRightInd w:val="0"/>
        <w:spacing w:line="480" w:lineRule="auto"/>
        <w:ind w:left="640" w:hanging="640"/>
        <w:rPr>
          <w:rFonts w:cs="Arial"/>
          <w:sz w:val="18"/>
          <w:szCs w:val="18"/>
        </w:rPr>
      </w:pPr>
    </w:p>
    <w:p w14:paraId="57098A94" w14:textId="49C5D777" w:rsidR="003C5396" w:rsidRDefault="003C5396" w:rsidP="00D34244">
      <w:pPr>
        <w:widowControl w:val="0"/>
        <w:autoSpaceDE w:val="0"/>
        <w:autoSpaceDN w:val="0"/>
        <w:adjustRightInd w:val="0"/>
        <w:spacing w:line="480" w:lineRule="auto"/>
        <w:ind w:left="640" w:hanging="640"/>
        <w:rPr>
          <w:rFonts w:cs="Arial"/>
          <w:sz w:val="18"/>
          <w:szCs w:val="18"/>
        </w:rPr>
      </w:pPr>
    </w:p>
    <w:p w14:paraId="45E7C221" w14:textId="07F64998" w:rsidR="003C5396" w:rsidRDefault="003C5396" w:rsidP="00D34244">
      <w:pPr>
        <w:widowControl w:val="0"/>
        <w:autoSpaceDE w:val="0"/>
        <w:autoSpaceDN w:val="0"/>
        <w:adjustRightInd w:val="0"/>
        <w:spacing w:line="480" w:lineRule="auto"/>
        <w:ind w:left="640" w:hanging="640"/>
        <w:rPr>
          <w:rFonts w:cs="Arial"/>
          <w:sz w:val="18"/>
          <w:szCs w:val="18"/>
        </w:rPr>
      </w:pPr>
    </w:p>
    <w:p w14:paraId="0E71FEB9" w14:textId="5D996B03" w:rsidR="003C5396" w:rsidRDefault="003C5396" w:rsidP="00D34244">
      <w:pPr>
        <w:widowControl w:val="0"/>
        <w:autoSpaceDE w:val="0"/>
        <w:autoSpaceDN w:val="0"/>
        <w:adjustRightInd w:val="0"/>
        <w:spacing w:line="480" w:lineRule="auto"/>
        <w:ind w:left="640" w:hanging="640"/>
        <w:rPr>
          <w:rFonts w:cs="Arial"/>
          <w:sz w:val="18"/>
          <w:szCs w:val="18"/>
        </w:rPr>
      </w:pPr>
    </w:p>
    <w:p w14:paraId="61AB4268" w14:textId="5558BC34" w:rsidR="003C5396" w:rsidRDefault="003C5396" w:rsidP="00D34244">
      <w:pPr>
        <w:widowControl w:val="0"/>
        <w:autoSpaceDE w:val="0"/>
        <w:autoSpaceDN w:val="0"/>
        <w:adjustRightInd w:val="0"/>
        <w:spacing w:line="480" w:lineRule="auto"/>
        <w:ind w:left="640" w:hanging="640"/>
        <w:rPr>
          <w:rFonts w:cs="Arial"/>
          <w:sz w:val="18"/>
          <w:szCs w:val="18"/>
        </w:rPr>
      </w:pPr>
    </w:p>
    <w:p w14:paraId="4838FE84" w14:textId="7ABD62F6" w:rsidR="003C5396" w:rsidRDefault="003C5396" w:rsidP="00D34244">
      <w:pPr>
        <w:widowControl w:val="0"/>
        <w:autoSpaceDE w:val="0"/>
        <w:autoSpaceDN w:val="0"/>
        <w:adjustRightInd w:val="0"/>
        <w:spacing w:line="480" w:lineRule="auto"/>
        <w:ind w:left="640" w:hanging="640"/>
        <w:rPr>
          <w:rFonts w:cs="Arial"/>
          <w:sz w:val="18"/>
          <w:szCs w:val="18"/>
        </w:rPr>
      </w:pPr>
    </w:p>
    <w:p w14:paraId="4E8A7505" w14:textId="5D37697C" w:rsidR="003C5396" w:rsidRDefault="003C5396" w:rsidP="00D34244">
      <w:pPr>
        <w:widowControl w:val="0"/>
        <w:autoSpaceDE w:val="0"/>
        <w:autoSpaceDN w:val="0"/>
        <w:adjustRightInd w:val="0"/>
        <w:spacing w:line="480" w:lineRule="auto"/>
        <w:ind w:left="640" w:hanging="640"/>
        <w:rPr>
          <w:rFonts w:cs="Arial"/>
          <w:sz w:val="18"/>
          <w:szCs w:val="18"/>
        </w:rPr>
      </w:pPr>
    </w:p>
    <w:p w14:paraId="31D6A1C0" w14:textId="4374CAFB" w:rsidR="003C5396" w:rsidRDefault="003C5396" w:rsidP="00D34244">
      <w:pPr>
        <w:widowControl w:val="0"/>
        <w:autoSpaceDE w:val="0"/>
        <w:autoSpaceDN w:val="0"/>
        <w:adjustRightInd w:val="0"/>
        <w:spacing w:line="480" w:lineRule="auto"/>
        <w:ind w:left="640" w:hanging="640"/>
        <w:rPr>
          <w:rFonts w:cs="Arial"/>
          <w:sz w:val="18"/>
          <w:szCs w:val="18"/>
        </w:rPr>
      </w:pPr>
    </w:p>
    <w:p w14:paraId="729BD127" w14:textId="65BD10C3" w:rsidR="003C5396" w:rsidRDefault="003C5396" w:rsidP="00D34244">
      <w:pPr>
        <w:widowControl w:val="0"/>
        <w:autoSpaceDE w:val="0"/>
        <w:autoSpaceDN w:val="0"/>
        <w:adjustRightInd w:val="0"/>
        <w:spacing w:line="480" w:lineRule="auto"/>
        <w:ind w:left="640" w:hanging="640"/>
        <w:rPr>
          <w:rFonts w:cs="Arial"/>
          <w:sz w:val="18"/>
          <w:szCs w:val="18"/>
        </w:rPr>
      </w:pPr>
    </w:p>
    <w:p w14:paraId="2138EB86" w14:textId="498B805F" w:rsidR="003C5396" w:rsidRDefault="003C5396" w:rsidP="00D34244">
      <w:pPr>
        <w:widowControl w:val="0"/>
        <w:autoSpaceDE w:val="0"/>
        <w:autoSpaceDN w:val="0"/>
        <w:adjustRightInd w:val="0"/>
        <w:spacing w:line="480" w:lineRule="auto"/>
        <w:ind w:left="640" w:hanging="640"/>
        <w:rPr>
          <w:rFonts w:cs="Arial"/>
          <w:sz w:val="18"/>
          <w:szCs w:val="18"/>
        </w:rPr>
      </w:pPr>
    </w:p>
    <w:p w14:paraId="07C89F7F" w14:textId="40101232" w:rsidR="003C5396" w:rsidRDefault="003C5396" w:rsidP="00D34244">
      <w:pPr>
        <w:widowControl w:val="0"/>
        <w:autoSpaceDE w:val="0"/>
        <w:autoSpaceDN w:val="0"/>
        <w:adjustRightInd w:val="0"/>
        <w:spacing w:line="480" w:lineRule="auto"/>
        <w:ind w:left="640" w:hanging="640"/>
        <w:rPr>
          <w:rFonts w:cs="Arial"/>
          <w:sz w:val="18"/>
          <w:szCs w:val="18"/>
        </w:rPr>
      </w:pPr>
    </w:p>
    <w:p w14:paraId="7DECFA00" w14:textId="7D09A048" w:rsidR="003C5396" w:rsidRPr="00D0223B" w:rsidRDefault="00413B08" w:rsidP="00D34244">
      <w:pPr>
        <w:widowControl w:val="0"/>
        <w:autoSpaceDE w:val="0"/>
        <w:autoSpaceDN w:val="0"/>
        <w:adjustRightInd w:val="0"/>
        <w:spacing w:line="480" w:lineRule="auto"/>
        <w:ind w:left="640" w:hanging="640"/>
        <w:rPr>
          <w:rFonts w:eastAsiaTheme="majorEastAsia" w:cstheme="majorBidi"/>
          <w:b/>
          <w:bCs/>
          <w:noProof/>
          <w:sz w:val="24"/>
          <w:szCs w:val="24"/>
          <w:lang w:val="en-GB" w:eastAsia="en-GB"/>
        </w:rPr>
      </w:pPr>
      <w:r w:rsidRPr="00D0223B">
        <w:rPr>
          <w:rFonts w:eastAsiaTheme="majorEastAsia" w:cstheme="majorBidi"/>
          <w:b/>
          <w:bCs/>
          <w:noProof/>
          <w:sz w:val="24"/>
          <w:szCs w:val="24"/>
          <w:lang w:val="en-GB" w:eastAsia="en-GB"/>
        </w:rPr>
        <w:lastRenderedPageBreak/>
        <w:t>Tables</w:t>
      </w:r>
    </w:p>
    <w:p w14:paraId="53975F48" w14:textId="4A80B80E" w:rsidR="003C5396" w:rsidRDefault="003C5396" w:rsidP="00D34244">
      <w:pPr>
        <w:widowControl w:val="0"/>
        <w:autoSpaceDE w:val="0"/>
        <w:autoSpaceDN w:val="0"/>
        <w:adjustRightInd w:val="0"/>
        <w:spacing w:line="480" w:lineRule="auto"/>
        <w:ind w:left="640" w:hanging="640"/>
        <w:rPr>
          <w:rFonts w:cs="Arial"/>
          <w:sz w:val="18"/>
          <w:szCs w:val="18"/>
        </w:rPr>
      </w:pPr>
    </w:p>
    <w:p w14:paraId="5EA290F7" w14:textId="77777777" w:rsidR="00413B08" w:rsidRPr="00D0223B" w:rsidRDefault="00413B08" w:rsidP="00D34244">
      <w:pPr>
        <w:pStyle w:val="Caption"/>
        <w:keepNext/>
        <w:spacing w:line="480" w:lineRule="auto"/>
        <w:rPr>
          <w:color w:val="auto"/>
          <w:sz w:val="24"/>
          <w:szCs w:val="24"/>
        </w:rPr>
      </w:pPr>
      <w:r w:rsidRPr="00D0223B">
        <w:rPr>
          <w:color w:val="auto"/>
          <w:sz w:val="24"/>
          <w:szCs w:val="24"/>
        </w:rPr>
        <w:t>Table 1-Socio-demographic and clinical characteristics (whole study and subset population)</w:t>
      </w:r>
    </w:p>
    <w:tbl>
      <w:tblPr>
        <w:tblStyle w:val="GridTable2-Accent61"/>
        <w:tblpPr w:leftFromText="180" w:rightFromText="180" w:vertAnchor="text" w:tblpY="1"/>
        <w:tblW w:w="4461" w:type="pct"/>
        <w:tblLook w:val="04A0" w:firstRow="1" w:lastRow="0" w:firstColumn="1" w:lastColumn="0" w:noHBand="0" w:noVBand="1"/>
      </w:tblPr>
      <w:tblGrid>
        <w:gridCol w:w="4514"/>
        <w:gridCol w:w="1743"/>
        <w:gridCol w:w="2133"/>
      </w:tblGrid>
      <w:tr w:rsidR="00413B08" w:rsidRPr="00D0223B" w14:paraId="40792C35" w14:textId="77777777" w:rsidTr="00DD2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1DA02C60" w14:textId="77777777" w:rsidR="00413B08" w:rsidRPr="00D0223B" w:rsidRDefault="00413B08" w:rsidP="00D34244">
            <w:pPr>
              <w:spacing w:line="480" w:lineRule="auto"/>
              <w:rPr>
                <w:rFonts w:cs="Arial"/>
                <w:sz w:val="24"/>
                <w:szCs w:val="24"/>
              </w:rPr>
            </w:pPr>
          </w:p>
        </w:tc>
        <w:tc>
          <w:tcPr>
            <w:tcW w:w="1039" w:type="pct"/>
          </w:tcPr>
          <w:p w14:paraId="24D30DC8" w14:textId="77777777" w:rsidR="00413B08" w:rsidRPr="00D0223B" w:rsidRDefault="00413B08" w:rsidP="00D34244">
            <w:pPr>
              <w:spacing w:line="480"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Full</w:t>
            </w:r>
          </w:p>
        </w:tc>
        <w:tc>
          <w:tcPr>
            <w:tcW w:w="1271" w:type="pct"/>
          </w:tcPr>
          <w:p w14:paraId="4FC48041" w14:textId="77777777" w:rsidR="00413B08" w:rsidRPr="00D0223B" w:rsidRDefault="00413B08" w:rsidP="00D34244">
            <w:pPr>
              <w:spacing w:line="480"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Subset</w:t>
            </w:r>
          </w:p>
        </w:tc>
      </w:tr>
      <w:tr w:rsidR="00413B08" w:rsidRPr="00D0223B" w14:paraId="302929B0"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03A1CAFE" w14:textId="77777777" w:rsidR="00413B08" w:rsidRPr="00D0223B" w:rsidRDefault="00413B08" w:rsidP="00D34244">
            <w:pPr>
              <w:spacing w:line="480" w:lineRule="auto"/>
              <w:rPr>
                <w:rFonts w:cs="Arial"/>
                <w:sz w:val="24"/>
                <w:szCs w:val="24"/>
              </w:rPr>
            </w:pPr>
            <w:r w:rsidRPr="00D0223B">
              <w:rPr>
                <w:rFonts w:cs="Arial"/>
                <w:sz w:val="24"/>
                <w:szCs w:val="24"/>
              </w:rPr>
              <w:t>Total Number of Patients – N (%)</w:t>
            </w:r>
          </w:p>
        </w:tc>
        <w:tc>
          <w:tcPr>
            <w:tcW w:w="1039" w:type="pct"/>
          </w:tcPr>
          <w:p w14:paraId="70F52EAA"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756</w:t>
            </w:r>
          </w:p>
        </w:tc>
        <w:tc>
          <w:tcPr>
            <w:tcW w:w="1271" w:type="pct"/>
          </w:tcPr>
          <w:p w14:paraId="090C190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524</w:t>
            </w:r>
          </w:p>
        </w:tc>
      </w:tr>
      <w:tr w:rsidR="00413B08" w:rsidRPr="00D0223B" w14:paraId="3C75E1BF"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3631205A" w14:textId="77777777" w:rsidR="00413B08" w:rsidRPr="00D0223B" w:rsidRDefault="00413B08" w:rsidP="00D34244">
            <w:pPr>
              <w:spacing w:line="480" w:lineRule="auto"/>
              <w:rPr>
                <w:rFonts w:cs="Arial"/>
                <w:sz w:val="24"/>
                <w:szCs w:val="24"/>
              </w:rPr>
            </w:pPr>
          </w:p>
        </w:tc>
        <w:tc>
          <w:tcPr>
            <w:tcW w:w="1039" w:type="pct"/>
          </w:tcPr>
          <w:p w14:paraId="15B2E740"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0B5E51D4"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5F404C43"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11622AEA" w14:textId="77777777" w:rsidR="00413B08" w:rsidRPr="00D0223B" w:rsidRDefault="00413B08" w:rsidP="00D34244">
            <w:pPr>
              <w:spacing w:line="480" w:lineRule="auto"/>
              <w:rPr>
                <w:rFonts w:cs="Arial"/>
                <w:sz w:val="24"/>
                <w:szCs w:val="24"/>
              </w:rPr>
            </w:pPr>
            <w:r w:rsidRPr="00D0223B">
              <w:rPr>
                <w:rFonts w:cs="Arial"/>
                <w:sz w:val="24"/>
                <w:szCs w:val="24"/>
              </w:rPr>
              <w:t>Age in Years – Median (Range)</w:t>
            </w:r>
          </w:p>
        </w:tc>
        <w:tc>
          <w:tcPr>
            <w:tcW w:w="1039" w:type="pct"/>
          </w:tcPr>
          <w:p w14:paraId="7E15144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 (54-100)</w:t>
            </w:r>
          </w:p>
        </w:tc>
        <w:tc>
          <w:tcPr>
            <w:tcW w:w="1271" w:type="pct"/>
          </w:tcPr>
          <w:p w14:paraId="09B77CED"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85 (54-99)</w:t>
            </w:r>
          </w:p>
        </w:tc>
      </w:tr>
      <w:tr w:rsidR="00413B08" w:rsidRPr="00D0223B" w14:paraId="43BD3583"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40BAA113" w14:textId="77777777" w:rsidR="00413B08" w:rsidRPr="00D0223B" w:rsidRDefault="00413B08" w:rsidP="00D34244">
            <w:pPr>
              <w:spacing w:line="480" w:lineRule="auto"/>
              <w:rPr>
                <w:rFonts w:cs="Arial"/>
                <w:sz w:val="24"/>
                <w:szCs w:val="24"/>
              </w:rPr>
            </w:pPr>
          </w:p>
        </w:tc>
        <w:tc>
          <w:tcPr>
            <w:tcW w:w="1039" w:type="pct"/>
          </w:tcPr>
          <w:p w14:paraId="52C21D9C"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7BF6BCF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66F8BC9F"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4CBAC951" w14:textId="77777777" w:rsidR="00413B08" w:rsidRPr="00D0223B" w:rsidRDefault="00413B08" w:rsidP="00D34244">
            <w:pPr>
              <w:spacing w:line="480" w:lineRule="auto"/>
              <w:rPr>
                <w:rFonts w:cs="Arial"/>
                <w:sz w:val="24"/>
                <w:szCs w:val="24"/>
              </w:rPr>
            </w:pPr>
            <w:r w:rsidRPr="00D0223B">
              <w:rPr>
                <w:rFonts w:cs="Arial"/>
                <w:sz w:val="24"/>
                <w:szCs w:val="24"/>
              </w:rPr>
              <w:t>Sex</w:t>
            </w:r>
          </w:p>
        </w:tc>
        <w:tc>
          <w:tcPr>
            <w:tcW w:w="1039" w:type="pct"/>
          </w:tcPr>
          <w:p w14:paraId="34CA036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44F0DA6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08F582F3"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6F6919F8" w14:textId="77777777" w:rsidR="00413B08" w:rsidRPr="00D0223B" w:rsidRDefault="00413B08" w:rsidP="00D34244">
            <w:pPr>
              <w:spacing w:line="480" w:lineRule="auto"/>
              <w:rPr>
                <w:rFonts w:cs="Arial"/>
                <w:b w:val="0"/>
                <w:i/>
                <w:sz w:val="24"/>
                <w:szCs w:val="24"/>
              </w:rPr>
            </w:pPr>
            <w:r w:rsidRPr="00D0223B">
              <w:rPr>
                <w:rFonts w:cs="Arial"/>
                <w:b w:val="0"/>
                <w:i/>
                <w:sz w:val="24"/>
                <w:szCs w:val="24"/>
              </w:rPr>
              <w:t>Female - N (%)</w:t>
            </w:r>
          </w:p>
        </w:tc>
        <w:tc>
          <w:tcPr>
            <w:tcW w:w="1039" w:type="pct"/>
          </w:tcPr>
          <w:p w14:paraId="2E1622C0"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499 (66)</w:t>
            </w:r>
          </w:p>
        </w:tc>
        <w:tc>
          <w:tcPr>
            <w:tcW w:w="1271" w:type="pct"/>
          </w:tcPr>
          <w:p w14:paraId="223FE9B5"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355 (67.7)</w:t>
            </w:r>
          </w:p>
        </w:tc>
      </w:tr>
      <w:tr w:rsidR="00413B08" w:rsidRPr="00D0223B" w14:paraId="14D381A3"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4DAD4E9C" w14:textId="77777777" w:rsidR="00413B08" w:rsidRPr="00D0223B" w:rsidRDefault="00413B08" w:rsidP="00D34244">
            <w:pPr>
              <w:spacing w:line="480" w:lineRule="auto"/>
              <w:rPr>
                <w:rFonts w:cs="Arial"/>
                <w:b w:val="0"/>
                <w:i/>
                <w:sz w:val="24"/>
                <w:szCs w:val="24"/>
              </w:rPr>
            </w:pPr>
            <w:r w:rsidRPr="00D0223B">
              <w:rPr>
                <w:rFonts w:cs="Arial"/>
                <w:b w:val="0"/>
                <w:i/>
                <w:sz w:val="24"/>
                <w:szCs w:val="24"/>
              </w:rPr>
              <w:t>Male -   N (%)</w:t>
            </w:r>
          </w:p>
        </w:tc>
        <w:tc>
          <w:tcPr>
            <w:tcW w:w="1039" w:type="pct"/>
          </w:tcPr>
          <w:p w14:paraId="0CADA891"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257 (34)</w:t>
            </w:r>
          </w:p>
        </w:tc>
        <w:tc>
          <w:tcPr>
            <w:tcW w:w="1271" w:type="pct"/>
          </w:tcPr>
          <w:p w14:paraId="7D2879B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169 (32.3)</w:t>
            </w:r>
          </w:p>
        </w:tc>
      </w:tr>
      <w:tr w:rsidR="00413B08" w:rsidRPr="00D0223B" w14:paraId="41DD2706"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1120F766" w14:textId="77777777" w:rsidR="00413B08" w:rsidRPr="00D0223B" w:rsidRDefault="00413B08" w:rsidP="00D34244">
            <w:pPr>
              <w:spacing w:line="480" w:lineRule="auto"/>
              <w:ind w:left="720"/>
              <w:rPr>
                <w:rFonts w:cs="Arial"/>
                <w:sz w:val="24"/>
                <w:szCs w:val="24"/>
              </w:rPr>
            </w:pPr>
          </w:p>
        </w:tc>
        <w:tc>
          <w:tcPr>
            <w:tcW w:w="1039" w:type="pct"/>
          </w:tcPr>
          <w:p w14:paraId="38BFCBD6"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30FBAB08"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0049DE64"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5C2EF834" w14:textId="77777777" w:rsidR="00413B08" w:rsidRPr="00D0223B" w:rsidRDefault="00413B08" w:rsidP="00D34244">
            <w:pPr>
              <w:spacing w:line="480" w:lineRule="auto"/>
              <w:rPr>
                <w:rFonts w:cs="Arial"/>
                <w:sz w:val="24"/>
                <w:szCs w:val="24"/>
              </w:rPr>
            </w:pPr>
            <w:r w:rsidRPr="00D0223B">
              <w:rPr>
                <w:rFonts w:cs="Arial"/>
                <w:sz w:val="24"/>
                <w:szCs w:val="24"/>
              </w:rPr>
              <w:t>Ethnicity - N (%)</w:t>
            </w:r>
          </w:p>
        </w:tc>
        <w:tc>
          <w:tcPr>
            <w:tcW w:w="1039" w:type="pct"/>
          </w:tcPr>
          <w:p w14:paraId="10F4D9BB"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1C51918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50BEC987"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2CE541B9" w14:textId="77777777" w:rsidR="00413B08" w:rsidRPr="00D0223B" w:rsidRDefault="00413B08" w:rsidP="00D34244">
            <w:pPr>
              <w:spacing w:line="480" w:lineRule="auto"/>
              <w:rPr>
                <w:rFonts w:cs="Arial"/>
                <w:b w:val="0"/>
                <w:i/>
                <w:sz w:val="24"/>
                <w:szCs w:val="24"/>
              </w:rPr>
            </w:pPr>
            <w:r w:rsidRPr="00D0223B">
              <w:rPr>
                <w:rFonts w:cs="Arial"/>
                <w:b w:val="0"/>
                <w:i/>
                <w:sz w:val="24"/>
                <w:szCs w:val="24"/>
              </w:rPr>
              <w:t>British</w:t>
            </w:r>
          </w:p>
        </w:tc>
        <w:tc>
          <w:tcPr>
            <w:tcW w:w="1039" w:type="pct"/>
          </w:tcPr>
          <w:p w14:paraId="7217342A"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704 (93.1)</w:t>
            </w:r>
          </w:p>
        </w:tc>
        <w:tc>
          <w:tcPr>
            <w:tcW w:w="1271" w:type="pct"/>
          </w:tcPr>
          <w:p w14:paraId="7F39354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493 (94.1)</w:t>
            </w:r>
          </w:p>
        </w:tc>
      </w:tr>
      <w:tr w:rsidR="00413B08" w:rsidRPr="00D0223B" w14:paraId="7571178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424611F1" w14:textId="77777777" w:rsidR="00413B08" w:rsidRPr="00D0223B" w:rsidRDefault="00413B08" w:rsidP="00D34244">
            <w:pPr>
              <w:spacing w:line="480" w:lineRule="auto"/>
              <w:rPr>
                <w:rFonts w:cs="Arial"/>
                <w:b w:val="0"/>
                <w:i/>
                <w:sz w:val="24"/>
                <w:szCs w:val="24"/>
              </w:rPr>
            </w:pPr>
            <w:r w:rsidRPr="00D0223B">
              <w:rPr>
                <w:rFonts w:cs="Arial"/>
                <w:b w:val="0"/>
                <w:i/>
                <w:sz w:val="24"/>
                <w:szCs w:val="24"/>
              </w:rPr>
              <w:t>Any other white</w:t>
            </w:r>
          </w:p>
        </w:tc>
        <w:tc>
          <w:tcPr>
            <w:tcW w:w="1039" w:type="pct"/>
          </w:tcPr>
          <w:p w14:paraId="152B127C"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10 (1.3)</w:t>
            </w:r>
          </w:p>
        </w:tc>
        <w:tc>
          <w:tcPr>
            <w:tcW w:w="1271" w:type="pct"/>
          </w:tcPr>
          <w:p w14:paraId="3070E0E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4 (0.8)</w:t>
            </w:r>
          </w:p>
        </w:tc>
      </w:tr>
      <w:tr w:rsidR="00413B08" w:rsidRPr="00D0223B" w14:paraId="6875DAFC"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0EA03118" w14:textId="77777777" w:rsidR="00413B08" w:rsidRPr="00D0223B" w:rsidRDefault="00413B08" w:rsidP="00D34244">
            <w:pPr>
              <w:spacing w:line="480" w:lineRule="auto"/>
              <w:rPr>
                <w:rFonts w:cs="Arial"/>
                <w:b w:val="0"/>
                <w:i/>
                <w:sz w:val="24"/>
                <w:szCs w:val="24"/>
              </w:rPr>
            </w:pPr>
            <w:r w:rsidRPr="00D0223B">
              <w:rPr>
                <w:rFonts w:cs="Arial"/>
                <w:b w:val="0"/>
                <w:i/>
                <w:sz w:val="24"/>
                <w:szCs w:val="24"/>
              </w:rPr>
              <w:t>Mixed ethnicity</w:t>
            </w:r>
          </w:p>
        </w:tc>
        <w:tc>
          <w:tcPr>
            <w:tcW w:w="1039" w:type="pct"/>
          </w:tcPr>
          <w:p w14:paraId="32882F3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32 (1.3)</w:t>
            </w:r>
          </w:p>
        </w:tc>
        <w:tc>
          <w:tcPr>
            <w:tcW w:w="1271" w:type="pct"/>
          </w:tcPr>
          <w:p w14:paraId="2D887ED1"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7 (1.3)</w:t>
            </w:r>
          </w:p>
        </w:tc>
      </w:tr>
      <w:tr w:rsidR="00413B08" w:rsidRPr="00D0223B" w14:paraId="7864CB89"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0C5EE532" w14:textId="77777777" w:rsidR="00413B08" w:rsidRPr="00D0223B" w:rsidRDefault="00413B08" w:rsidP="00D34244">
            <w:pPr>
              <w:spacing w:line="480" w:lineRule="auto"/>
              <w:rPr>
                <w:rFonts w:cs="Arial"/>
                <w:b w:val="0"/>
                <w:i/>
                <w:sz w:val="24"/>
                <w:szCs w:val="24"/>
              </w:rPr>
            </w:pPr>
            <w:r w:rsidRPr="00D0223B">
              <w:rPr>
                <w:rFonts w:cs="Arial"/>
                <w:b w:val="0"/>
                <w:i/>
                <w:sz w:val="24"/>
                <w:szCs w:val="24"/>
              </w:rPr>
              <w:t>Not stated</w:t>
            </w:r>
          </w:p>
        </w:tc>
        <w:tc>
          <w:tcPr>
            <w:tcW w:w="1039" w:type="pct"/>
          </w:tcPr>
          <w:p w14:paraId="2F8B5501"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4.2</w:t>
            </w:r>
          </w:p>
        </w:tc>
        <w:tc>
          <w:tcPr>
            <w:tcW w:w="1271" w:type="pct"/>
          </w:tcPr>
          <w:p w14:paraId="0F48D6CA"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20 (3.8)</w:t>
            </w:r>
          </w:p>
        </w:tc>
      </w:tr>
      <w:tr w:rsidR="00413B08" w:rsidRPr="00D0223B" w14:paraId="5B9521EE"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4DE143E6" w14:textId="77777777" w:rsidR="00413B08" w:rsidRPr="00D0223B" w:rsidRDefault="00413B08" w:rsidP="00D34244">
            <w:pPr>
              <w:spacing w:line="480" w:lineRule="auto"/>
              <w:ind w:left="720"/>
              <w:rPr>
                <w:rFonts w:cs="Arial"/>
                <w:sz w:val="24"/>
                <w:szCs w:val="24"/>
              </w:rPr>
            </w:pPr>
          </w:p>
        </w:tc>
        <w:tc>
          <w:tcPr>
            <w:tcW w:w="1039" w:type="pct"/>
          </w:tcPr>
          <w:p w14:paraId="55F6B594"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74A0E59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13C50C81"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03439157" w14:textId="77777777" w:rsidR="00413B08" w:rsidRPr="00D0223B" w:rsidRDefault="00413B08" w:rsidP="00D34244">
            <w:pPr>
              <w:spacing w:line="480" w:lineRule="auto"/>
              <w:rPr>
                <w:rFonts w:cs="Arial"/>
                <w:sz w:val="24"/>
                <w:szCs w:val="24"/>
              </w:rPr>
            </w:pPr>
            <w:r w:rsidRPr="00D0223B">
              <w:rPr>
                <w:rFonts w:cs="Arial"/>
                <w:sz w:val="24"/>
                <w:szCs w:val="24"/>
              </w:rPr>
              <w:t>Diabetes - N (%)</w:t>
            </w:r>
          </w:p>
        </w:tc>
        <w:tc>
          <w:tcPr>
            <w:tcW w:w="1039" w:type="pct"/>
          </w:tcPr>
          <w:p w14:paraId="522B5CF8"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649A6FE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20DD5F8D"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097D5AD4" w14:textId="77777777" w:rsidR="00413B08" w:rsidRPr="00D0223B" w:rsidRDefault="00413B08" w:rsidP="00D34244">
            <w:pPr>
              <w:spacing w:line="480" w:lineRule="auto"/>
              <w:rPr>
                <w:rFonts w:cs="Arial"/>
                <w:b w:val="0"/>
                <w:i/>
                <w:sz w:val="24"/>
                <w:szCs w:val="24"/>
              </w:rPr>
            </w:pPr>
            <w:r w:rsidRPr="00D0223B">
              <w:rPr>
                <w:rFonts w:cs="Arial"/>
                <w:i/>
                <w:sz w:val="24"/>
                <w:szCs w:val="24"/>
              </w:rPr>
              <w:t>No diabetes</w:t>
            </w:r>
          </w:p>
        </w:tc>
        <w:tc>
          <w:tcPr>
            <w:tcW w:w="1039" w:type="pct"/>
          </w:tcPr>
          <w:p w14:paraId="29121FB4"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157 (20.8)</w:t>
            </w:r>
          </w:p>
        </w:tc>
        <w:tc>
          <w:tcPr>
            <w:tcW w:w="1271" w:type="pct"/>
          </w:tcPr>
          <w:p w14:paraId="37570812"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113 (21.6)</w:t>
            </w:r>
          </w:p>
        </w:tc>
      </w:tr>
      <w:tr w:rsidR="00413B08" w:rsidRPr="00D0223B" w14:paraId="30E9784F"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67A762DC" w14:textId="77777777" w:rsidR="00413B08" w:rsidRPr="00D0223B" w:rsidRDefault="00413B08" w:rsidP="00D34244">
            <w:pPr>
              <w:spacing w:line="480" w:lineRule="auto"/>
              <w:rPr>
                <w:rFonts w:cs="Arial"/>
                <w:b w:val="0"/>
                <w:i/>
                <w:sz w:val="24"/>
                <w:szCs w:val="24"/>
              </w:rPr>
            </w:pPr>
            <w:r w:rsidRPr="00D0223B">
              <w:rPr>
                <w:rFonts w:cs="Arial"/>
                <w:i/>
                <w:sz w:val="24"/>
                <w:szCs w:val="24"/>
              </w:rPr>
              <w:t>Type 1 diabetes</w:t>
            </w:r>
          </w:p>
        </w:tc>
        <w:tc>
          <w:tcPr>
            <w:tcW w:w="1039" w:type="pct"/>
          </w:tcPr>
          <w:p w14:paraId="1B888C6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 (0.3)</w:t>
            </w:r>
          </w:p>
        </w:tc>
        <w:tc>
          <w:tcPr>
            <w:tcW w:w="1271" w:type="pct"/>
          </w:tcPr>
          <w:p w14:paraId="60803120"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 (0.2)</w:t>
            </w:r>
          </w:p>
        </w:tc>
      </w:tr>
      <w:tr w:rsidR="00413B08" w:rsidRPr="00D0223B" w14:paraId="335A41A2"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07B946D2" w14:textId="77777777" w:rsidR="00413B08" w:rsidRPr="00D0223B" w:rsidRDefault="00413B08" w:rsidP="00D34244">
            <w:pPr>
              <w:spacing w:line="480" w:lineRule="auto"/>
              <w:rPr>
                <w:rFonts w:cs="Arial"/>
                <w:b w:val="0"/>
                <w:i/>
                <w:sz w:val="24"/>
                <w:szCs w:val="24"/>
              </w:rPr>
            </w:pPr>
            <w:r w:rsidRPr="00D0223B">
              <w:rPr>
                <w:rFonts w:cs="Arial"/>
                <w:i/>
                <w:sz w:val="24"/>
                <w:szCs w:val="24"/>
              </w:rPr>
              <w:lastRenderedPageBreak/>
              <w:t>Type 2 diabetes</w:t>
            </w:r>
          </w:p>
        </w:tc>
        <w:tc>
          <w:tcPr>
            <w:tcW w:w="1039" w:type="pct"/>
          </w:tcPr>
          <w:p w14:paraId="69DE8AC7"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81 (10.7)</w:t>
            </w:r>
          </w:p>
        </w:tc>
        <w:tc>
          <w:tcPr>
            <w:tcW w:w="1271" w:type="pct"/>
          </w:tcPr>
          <w:p w14:paraId="197EDFBE"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58 (11.1)</w:t>
            </w:r>
          </w:p>
        </w:tc>
      </w:tr>
      <w:tr w:rsidR="00413B08" w:rsidRPr="00D0223B" w14:paraId="4A1D2DA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2894B3E0" w14:textId="77777777" w:rsidR="00413B08" w:rsidRPr="00D0223B" w:rsidRDefault="00413B08" w:rsidP="00D34244">
            <w:pPr>
              <w:spacing w:line="480" w:lineRule="auto"/>
              <w:rPr>
                <w:rFonts w:cs="Arial"/>
                <w:b w:val="0"/>
                <w:i/>
                <w:sz w:val="24"/>
                <w:szCs w:val="24"/>
              </w:rPr>
            </w:pPr>
            <w:r w:rsidRPr="00D0223B">
              <w:rPr>
                <w:rFonts w:cs="Arial"/>
                <w:i/>
                <w:sz w:val="24"/>
                <w:szCs w:val="24"/>
              </w:rPr>
              <w:t>Diabetes but type not known</w:t>
            </w:r>
          </w:p>
        </w:tc>
        <w:tc>
          <w:tcPr>
            <w:tcW w:w="1039" w:type="pct"/>
          </w:tcPr>
          <w:p w14:paraId="6BC571E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 (0.4)</w:t>
            </w:r>
          </w:p>
        </w:tc>
        <w:tc>
          <w:tcPr>
            <w:tcW w:w="1271" w:type="pct"/>
          </w:tcPr>
          <w:p w14:paraId="10AFFA2C"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 (0.4)</w:t>
            </w:r>
          </w:p>
        </w:tc>
      </w:tr>
      <w:tr w:rsidR="00413B08" w:rsidRPr="00D0223B" w14:paraId="6A698DBC"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5C6CED9A" w14:textId="77777777" w:rsidR="00413B08" w:rsidRPr="00D0223B" w:rsidRDefault="00413B08" w:rsidP="00D34244">
            <w:pPr>
              <w:spacing w:line="480" w:lineRule="auto"/>
              <w:rPr>
                <w:rFonts w:cs="Arial"/>
                <w:b w:val="0"/>
                <w:i/>
                <w:sz w:val="24"/>
                <w:szCs w:val="24"/>
              </w:rPr>
            </w:pPr>
            <w:r w:rsidRPr="00D0223B">
              <w:rPr>
                <w:rFonts w:cs="Arial"/>
                <w:i/>
                <w:sz w:val="24"/>
                <w:szCs w:val="24"/>
              </w:rPr>
              <w:t>Status not known (missing)</w:t>
            </w:r>
          </w:p>
        </w:tc>
        <w:tc>
          <w:tcPr>
            <w:tcW w:w="1039" w:type="pct"/>
          </w:tcPr>
          <w:p w14:paraId="59E424E7"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67.9</w:t>
            </w:r>
          </w:p>
        </w:tc>
        <w:tc>
          <w:tcPr>
            <w:tcW w:w="1271" w:type="pct"/>
          </w:tcPr>
          <w:p w14:paraId="2068AAB4"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66.8</w:t>
            </w:r>
          </w:p>
        </w:tc>
      </w:tr>
      <w:tr w:rsidR="00413B08" w:rsidRPr="00D0223B" w14:paraId="31A09FD7"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6E6F5709" w14:textId="77777777" w:rsidR="00413B08" w:rsidRPr="00D0223B" w:rsidRDefault="00413B08" w:rsidP="00D34244">
            <w:pPr>
              <w:spacing w:line="480" w:lineRule="auto"/>
              <w:ind w:left="720"/>
              <w:rPr>
                <w:rFonts w:cs="Arial"/>
                <w:sz w:val="24"/>
                <w:szCs w:val="24"/>
              </w:rPr>
            </w:pPr>
          </w:p>
        </w:tc>
        <w:tc>
          <w:tcPr>
            <w:tcW w:w="1039" w:type="pct"/>
          </w:tcPr>
          <w:p w14:paraId="406AEA22"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60A4E98D"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3B00A565"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7A20B7DE" w14:textId="77777777" w:rsidR="00413B08" w:rsidRPr="00D0223B" w:rsidRDefault="00413B08" w:rsidP="00D34244">
            <w:pPr>
              <w:spacing w:line="480" w:lineRule="auto"/>
              <w:rPr>
                <w:rFonts w:cs="Arial"/>
                <w:sz w:val="24"/>
                <w:szCs w:val="24"/>
              </w:rPr>
            </w:pPr>
            <w:r w:rsidRPr="00D0223B">
              <w:rPr>
                <w:rFonts w:cs="Arial"/>
                <w:sz w:val="24"/>
                <w:szCs w:val="24"/>
              </w:rPr>
              <w:t>Smoking - N (%)</w:t>
            </w:r>
          </w:p>
        </w:tc>
        <w:tc>
          <w:tcPr>
            <w:tcW w:w="1039" w:type="pct"/>
          </w:tcPr>
          <w:p w14:paraId="543ACBC3"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638 (84.4)</w:t>
            </w:r>
          </w:p>
        </w:tc>
        <w:tc>
          <w:tcPr>
            <w:tcW w:w="1271" w:type="pct"/>
          </w:tcPr>
          <w:p w14:paraId="6EA7EB74"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0EFB6351"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22D5EF08" w14:textId="77777777" w:rsidR="00413B08" w:rsidRPr="00D0223B" w:rsidRDefault="00413B08" w:rsidP="00D34244">
            <w:pPr>
              <w:spacing w:line="480" w:lineRule="auto"/>
              <w:rPr>
                <w:rFonts w:cs="Arial"/>
                <w:b w:val="0"/>
                <w:i/>
                <w:sz w:val="24"/>
                <w:szCs w:val="24"/>
              </w:rPr>
            </w:pPr>
            <w:r w:rsidRPr="00D0223B">
              <w:rPr>
                <w:rFonts w:cs="Arial"/>
                <w:b w:val="0"/>
                <w:i/>
                <w:sz w:val="24"/>
                <w:szCs w:val="24"/>
              </w:rPr>
              <w:t>Ex-smoker</w:t>
            </w:r>
          </w:p>
        </w:tc>
        <w:tc>
          <w:tcPr>
            <w:tcW w:w="1039" w:type="pct"/>
          </w:tcPr>
          <w:p w14:paraId="043FC97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34 (4.5)</w:t>
            </w:r>
          </w:p>
        </w:tc>
        <w:tc>
          <w:tcPr>
            <w:tcW w:w="1271" w:type="pct"/>
          </w:tcPr>
          <w:p w14:paraId="1E21BA7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22 (4.2)</w:t>
            </w:r>
          </w:p>
        </w:tc>
      </w:tr>
      <w:tr w:rsidR="00413B08" w:rsidRPr="00D0223B" w14:paraId="23032407"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5D1DC61C" w14:textId="77777777" w:rsidR="00413B08" w:rsidRPr="00D0223B" w:rsidRDefault="00413B08" w:rsidP="00D34244">
            <w:pPr>
              <w:spacing w:line="480" w:lineRule="auto"/>
              <w:rPr>
                <w:rFonts w:cs="Arial"/>
                <w:b w:val="0"/>
                <w:i/>
                <w:sz w:val="24"/>
                <w:szCs w:val="24"/>
              </w:rPr>
            </w:pPr>
            <w:r w:rsidRPr="00D0223B">
              <w:rPr>
                <w:rFonts w:cs="Arial"/>
                <w:b w:val="0"/>
                <w:i/>
                <w:sz w:val="24"/>
                <w:szCs w:val="24"/>
              </w:rPr>
              <w:t>Smoker</w:t>
            </w:r>
          </w:p>
        </w:tc>
        <w:tc>
          <w:tcPr>
            <w:tcW w:w="1039" w:type="pct"/>
          </w:tcPr>
          <w:p w14:paraId="5A45F60A"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48 (6.3)</w:t>
            </w:r>
          </w:p>
        </w:tc>
        <w:tc>
          <w:tcPr>
            <w:tcW w:w="1271" w:type="pct"/>
          </w:tcPr>
          <w:p w14:paraId="48FCBD9E"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40 (7.6)</w:t>
            </w:r>
          </w:p>
        </w:tc>
      </w:tr>
      <w:tr w:rsidR="00413B08" w:rsidRPr="00D0223B" w14:paraId="240E1A5B"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4A89DAE9" w14:textId="77777777" w:rsidR="00413B08" w:rsidRPr="00D0223B" w:rsidRDefault="00413B08" w:rsidP="00D34244">
            <w:pPr>
              <w:spacing w:line="480" w:lineRule="auto"/>
              <w:rPr>
                <w:rFonts w:cs="Arial"/>
                <w:b w:val="0"/>
                <w:i/>
                <w:sz w:val="24"/>
                <w:szCs w:val="24"/>
              </w:rPr>
            </w:pPr>
            <w:r w:rsidRPr="00D0223B">
              <w:rPr>
                <w:rFonts w:cs="Arial"/>
                <w:b w:val="0"/>
                <w:i/>
                <w:sz w:val="24"/>
                <w:szCs w:val="24"/>
              </w:rPr>
              <w:t>Never smoked</w:t>
            </w:r>
          </w:p>
        </w:tc>
        <w:tc>
          <w:tcPr>
            <w:tcW w:w="1039" w:type="pct"/>
          </w:tcPr>
          <w:p w14:paraId="25A00998"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36 (4.8)</w:t>
            </w:r>
          </w:p>
        </w:tc>
        <w:tc>
          <w:tcPr>
            <w:tcW w:w="1271" w:type="pct"/>
          </w:tcPr>
          <w:p w14:paraId="079CC3B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23 (4.4)</w:t>
            </w:r>
          </w:p>
        </w:tc>
      </w:tr>
      <w:tr w:rsidR="00413B08" w:rsidRPr="00D0223B" w14:paraId="48CE41D1"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4C15CFBA" w14:textId="77777777" w:rsidR="00413B08" w:rsidRPr="00D0223B" w:rsidRDefault="00413B08" w:rsidP="00D34244">
            <w:pPr>
              <w:spacing w:line="480" w:lineRule="auto"/>
              <w:ind w:left="720"/>
              <w:rPr>
                <w:rFonts w:cs="Arial"/>
                <w:sz w:val="24"/>
                <w:szCs w:val="24"/>
                <w:u w:val="single"/>
              </w:rPr>
            </w:pPr>
          </w:p>
        </w:tc>
        <w:tc>
          <w:tcPr>
            <w:tcW w:w="1039" w:type="pct"/>
          </w:tcPr>
          <w:p w14:paraId="7BCEF506"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4D9ADAF2"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329D97C8"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2BBFC8D7" w14:textId="77777777" w:rsidR="00413B08" w:rsidRPr="00D0223B" w:rsidRDefault="00413B08" w:rsidP="00D34244">
            <w:pPr>
              <w:spacing w:line="480" w:lineRule="auto"/>
              <w:rPr>
                <w:rFonts w:cs="Arial"/>
                <w:sz w:val="24"/>
                <w:szCs w:val="24"/>
                <w:u w:val="single"/>
              </w:rPr>
            </w:pPr>
            <w:r w:rsidRPr="00D0223B">
              <w:rPr>
                <w:rFonts w:cs="Arial"/>
                <w:sz w:val="24"/>
                <w:szCs w:val="24"/>
                <w:u w:val="single"/>
              </w:rPr>
              <w:t>Index of Multiple Deprivation- N (%)</w:t>
            </w:r>
          </w:p>
        </w:tc>
        <w:tc>
          <w:tcPr>
            <w:tcW w:w="1039" w:type="pct"/>
          </w:tcPr>
          <w:p w14:paraId="7788B8BE"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53244CA7"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3DF17D25"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62D4A9D2" w14:textId="77777777" w:rsidR="00413B08" w:rsidRPr="00D0223B" w:rsidRDefault="00413B08" w:rsidP="00D34244">
            <w:pPr>
              <w:spacing w:line="480" w:lineRule="auto"/>
              <w:rPr>
                <w:rFonts w:cs="Arial"/>
                <w:b w:val="0"/>
                <w:i/>
                <w:sz w:val="24"/>
                <w:szCs w:val="24"/>
              </w:rPr>
            </w:pPr>
            <w:r w:rsidRPr="00D0223B">
              <w:rPr>
                <w:rFonts w:cs="Arial"/>
                <w:b w:val="0"/>
                <w:i/>
                <w:sz w:val="24"/>
                <w:szCs w:val="24"/>
              </w:rPr>
              <w:t>Quintile 1 (most deprived)</w:t>
            </w:r>
          </w:p>
        </w:tc>
        <w:tc>
          <w:tcPr>
            <w:tcW w:w="1039" w:type="pct"/>
          </w:tcPr>
          <w:p w14:paraId="1383D926"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34 (4.49)</w:t>
            </w:r>
          </w:p>
        </w:tc>
        <w:tc>
          <w:tcPr>
            <w:tcW w:w="1271" w:type="pct"/>
          </w:tcPr>
          <w:p w14:paraId="442E43F2"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 (4.20)</w:t>
            </w:r>
          </w:p>
        </w:tc>
      </w:tr>
      <w:tr w:rsidR="00413B08" w:rsidRPr="00D0223B" w14:paraId="4F6F6076"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745AD34C" w14:textId="77777777" w:rsidR="00413B08" w:rsidRPr="00D0223B" w:rsidRDefault="00413B08" w:rsidP="00D34244">
            <w:pPr>
              <w:spacing w:line="480" w:lineRule="auto"/>
              <w:rPr>
                <w:rFonts w:cs="Arial"/>
                <w:b w:val="0"/>
                <w:i/>
                <w:sz w:val="24"/>
                <w:szCs w:val="24"/>
              </w:rPr>
            </w:pPr>
            <w:r w:rsidRPr="00D0223B">
              <w:rPr>
                <w:rFonts w:cs="Arial"/>
                <w:b w:val="0"/>
                <w:i/>
                <w:sz w:val="24"/>
                <w:szCs w:val="24"/>
              </w:rPr>
              <w:t>Quintile 2</w:t>
            </w:r>
          </w:p>
        </w:tc>
        <w:tc>
          <w:tcPr>
            <w:tcW w:w="1039" w:type="pct"/>
          </w:tcPr>
          <w:p w14:paraId="5B69092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86 (11.38)</w:t>
            </w:r>
          </w:p>
        </w:tc>
        <w:tc>
          <w:tcPr>
            <w:tcW w:w="1271" w:type="pct"/>
          </w:tcPr>
          <w:p w14:paraId="67916227"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60 (11.45)</w:t>
            </w:r>
          </w:p>
        </w:tc>
      </w:tr>
      <w:tr w:rsidR="00413B08" w:rsidRPr="00D0223B" w14:paraId="049195D0"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7ED47717" w14:textId="77777777" w:rsidR="00413B08" w:rsidRPr="00D0223B" w:rsidRDefault="00413B08" w:rsidP="00D34244">
            <w:pPr>
              <w:spacing w:line="480" w:lineRule="auto"/>
              <w:rPr>
                <w:rFonts w:cs="Arial"/>
                <w:b w:val="0"/>
                <w:i/>
                <w:sz w:val="24"/>
                <w:szCs w:val="24"/>
              </w:rPr>
            </w:pPr>
            <w:r w:rsidRPr="00D0223B">
              <w:rPr>
                <w:rFonts w:cs="Arial"/>
                <w:b w:val="0"/>
                <w:i/>
                <w:sz w:val="24"/>
                <w:szCs w:val="24"/>
              </w:rPr>
              <w:t>Quintile 3</w:t>
            </w:r>
          </w:p>
        </w:tc>
        <w:tc>
          <w:tcPr>
            <w:tcW w:w="1039" w:type="pct"/>
          </w:tcPr>
          <w:p w14:paraId="37E9A09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134 (17.72)</w:t>
            </w:r>
          </w:p>
        </w:tc>
        <w:tc>
          <w:tcPr>
            <w:tcW w:w="1271" w:type="pct"/>
          </w:tcPr>
          <w:p w14:paraId="18C2CF26"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90 (17.18)</w:t>
            </w:r>
          </w:p>
        </w:tc>
      </w:tr>
      <w:tr w:rsidR="00413B08" w:rsidRPr="00D0223B" w14:paraId="01BAD64E"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602CF818" w14:textId="77777777" w:rsidR="00413B08" w:rsidRPr="00D0223B" w:rsidRDefault="00413B08" w:rsidP="00D34244">
            <w:pPr>
              <w:spacing w:line="480" w:lineRule="auto"/>
              <w:rPr>
                <w:rFonts w:cs="Arial"/>
                <w:b w:val="0"/>
                <w:i/>
                <w:sz w:val="24"/>
                <w:szCs w:val="24"/>
              </w:rPr>
            </w:pPr>
            <w:r w:rsidRPr="00D0223B">
              <w:rPr>
                <w:rFonts w:cs="Arial"/>
                <w:b w:val="0"/>
                <w:i/>
                <w:sz w:val="24"/>
                <w:szCs w:val="24"/>
              </w:rPr>
              <w:t>Quintile 4</w:t>
            </w:r>
          </w:p>
        </w:tc>
        <w:tc>
          <w:tcPr>
            <w:tcW w:w="1039" w:type="pct"/>
          </w:tcPr>
          <w:p w14:paraId="38369F0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186 (24.60)</w:t>
            </w:r>
          </w:p>
        </w:tc>
        <w:tc>
          <w:tcPr>
            <w:tcW w:w="1271" w:type="pct"/>
          </w:tcPr>
          <w:p w14:paraId="227F1E51"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126 (24.04)</w:t>
            </w:r>
          </w:p>
        </w:tc>
      </w:tr>
      <w:tr w:rsidR="00413B08" w:rsidRPr="00D0223B" w14:paraId="2E9C028C"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77BC2FBF" w14:textId="77777777" w:rsidR="00413B08" w:rsidRPr="00D0223B" w:rsidRDefault="00413B08" w:rsidP="00D34244">
            <w:pPr>
              <w:spacing w:line="480" w:lineRule="auto"/>
              <w:rPr>
                <w:rFonts w:cs="Arial"/>
                <w:b w:val="0"/>
                <w:i/>
                <w:sz w:val="24"/>
                <w:szCs w:val="24"/>
                <w:u w:val="single"/>
              </w:rPr>
            </w:pPr>
            <w:r w:rsidRPr="00D0223B">
              <w:rPr>
                <w:rFonts w:cs="Arial"/>
                <w:b w:val="0"/>
                <w:i/>
                <w:sz w:val="24"/>
                <w:szCs w:val="24"/>
              </w:rPr>
              <w:t>Quintile 5 (least deprived)</w:t>
            </w:r>
          </w:p>
        </w:tc>
        <w:tc>
          <w:tcPr>
            <w:tcW w:w="1039" w:type="pct"/>
          </w:tcPr>
          <w:p w14:paraId="0980A230"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316 (41.80)</w:t>
            </w:r>
          </w:p>
        </w:tc>
        <w:tc>
          <w:tcPr>
            <w:tcW w:w="1271" w:type="pct"/>
          </w:tcPr>
          <w:p w14:paraId="26DAAFEE"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226 (43.13)</w:t>
            </w:r>
          </w:p>
        </w:tc>
      </w:tr>
      <w:tr w:rsidR="00413B08" w:rsidRPr="00D0223B" w14:paraId="173A465A"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321A7A78" w14:textId="77777777" w:rsidR="00413B08" w:rsidRPr="00D0223B" w:rsidRDefault="00413B08" w:rsidP="00D34244">
            <w:pPr>
              <w:spacing w:line="480" w:lineRule="auto"/>
              <w:rPr>
                <w:rFonts w:cs="Arial"/>
                <w:b w:val="0"/>
                <w:i/>
                <w:sz w:val="24"/>
                <w:szCs w:val="24"/>
              </w:rPr>
            </w:pPr>
          </w:p>
        </w:tc>
        <w:tc>
          <w:tcPr>
            <w:tcW w:w="1039" w:type="pct"/>
          </w:tcPr>
          <w:p w14:paraId="3CD91D9E"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70520FEF"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08B75E43"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31A9AE5B" w14:textId="77777777" w:rsidR="00413B08" w:rsidRPr="00D0223B" w:rsidRDefault="00413B08" w:rsidP="00D34244">
            <w:pPr>
              <w:spacing w:line="480" w:lineRule="auto"/>
              <w:ind w:left="720"/>
              <w:rPr>
                <w:rFonts w:cs="Arial"/>
                <w:sz w:val="24"/>
                <w:szCs w:val="24"/>
              </w:rPr>
            </w:pPr>
          </w:p>
        </w:tc>
        <w:tc>
          <w:tcPr>
            <w:tcW w:w="1039" w:type="pct"/>
          </w:tcPr>
          <w:p w14:paraId="5592B3B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1" w:type="pct"/>
          </w:tcPr>
          <w:p w14:paraId="780591C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13B08" w:rsidRPr="00D0223B" w14:paraId="3BE96226"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7DA7DC52" w14:textId="77777777" w:rsidR="00413B08" w:rsidRPr="00D0223B" w:rsidRDefault="00413B08" w:rsidP="00D34244">
            <w:pPr>
              <w:spacing w:line="480" w:lineRule="auto"/>
              <w:rPr>
                <w:rFonts w:cs="Arial"/>
                <w:sz w:val="24"/>
                <w:szCs w:val="24"/>
                <w:u w:val="single"/>
              </w:rPr>
            </w:pPr>
            <w:r w:rsidRPr="00D0223B">
              <w:rPr>
                <w:rFonts w:cs="Arial"/>
                <w:sz w:val="24"/>
                <w:szCs w:val="24"/>
                <w:u w:val="single"/>
              </w:rPr>
              <w:t>Distance (Home to Eye Unit) - N (%)</w:t>
            </w:r>
          </w:p>
        </w:tc>
        <w:tc>
          <w:tcPr>
            <w:tcW w:w="1039" w:type="pct"/>
          </w:tcPr>
          <w:p w14:paraId="2BBC2788"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1" w:type="pct"/>
          </w:tcPr>
          <w:p w14:paraId="6C455C0D"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13B08" w:rsidRPr="00D0223B" w14:paraId="1EC8F676" w14:textId="77777777" w:rsidTr="00DD2237">
        <w:tc>
          <w:tcPr>
            <w:cnfStyle w:val="001000000000" w:firstRow="0" w:lastRow="0" w:firstColumn="1" w:lastColumn="0" w:oddVBand="0" w:evenVBand="0" w:oddHBand="0" w:evenHBand="0" w:firstRowFirstColumn="0" w:firstRowLastColumn="0" w:lastRowFirstColumn="0" w:lastRowLastColumn="0"/>
            <w:tcW w:w="2690" w:type="pct"/>
          </w:tcPr>
          <w:p w14:paraId="0367165D" w14:textId="39B03206" w:rsidR="00413B08" w:rsidRPr="00D0223B" w:rsidRDefault="00413B08" w:rsidP="00D34244">
            <w:pPr>
              <w:spacing w:line="480" w:lineRule="auto"/>
              <w:rPr>
                <w:rFonts w:cs="Arial"/>
                <w:b w:val="0"/>
                <w:i/>
                <w:sz w:val="24"/>
                <w:szCs w:val="24"/>
              </w:rPr>
            </w:pPr>
            <w:r w:rsidRPr="00D0223B">
              <w:rPr>
                <w:rFonts w:cs="Arial"/>
                <w:b w:val="0"/>
                <w:i/>
                <w:sz w:val="24"/>
                <w:szCs w:val="24"/>
              </w:rPr>
              <w:t>Near (&lt;10 Km</w:t>
            </w:r>
            <w:r w:rsidR="00791B44">
              <w:rPr>
                <w:rStyle w:val="FootnoteReference"/>
                <w:rFonts w:cs="Arial"/>
                <w:b w:val="0"/>
                <w:i/>
                <w:sz w:val="24"/>
                <w:szCs w:val="24"/>
              </w:rPr>
              <w:footnoteReference w:id="2"/>
            </w:r>
            <w:r w:rsidRPr="00D0223B">
              <w:rPr>
                <w:rFonts w:cs="Arial"/>
                <w:b w:val="0"/>
                <w:i/>
                <w:sz w:val="24"/>
                <w:szCs w:val="24"/>
              </w:rPr>
              <w:t>)</w:t>
            </w:r>
          </w:p>
        </w:tc>
        <w:tc>
          <w:tcPr>
            <w:tcW w:w="1039" w:type="pct"/>
          </w:tcPr>
          <w:p w14:paraId="24D196FF"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413 (54.62)</w:t>
            </w:r>
          </w:p>
        </w:tc>
        <w:tc>
          <w:tcPr>
            <w:tcW w:w="1271" w:type="pct"/>
          </w:tcPr>
          <w:p w14:paraId="179A8ABB"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D0223B">
              <w:rPr>
                <w:rFonts w:cs="Arial"/>
                <w:sz w:val="24"/>
                <w:szCs w:val="24"/>
              </w:rPr>
              <w:t>288 (54.96)</w:t>
            </w:r>
          </w:p>
        </w:tc>
      </w:tr>
      <w:tr w:rsidR="00413B08" w:rsidRPr="00D0223B" w14:paraId="650662A0"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14:paraId="1EA3CE22" w14:textId="77777777" w:rsidR="00413B08" w:rsidRPr="00D0223B" w:rsidRDefault="00413B08" w:rsidP="00D34244">
            <w:pPr>
              <w:spacing w:line="480" w:lineRule="auto"/>
              <w:rPr>
                <w:rFonts w:cs="Arial"/>
                <w:b w:val="0"/>
                <w:i/>
                <w:sz w:val="24"/>
                <w:szCs w:val="24"/>
              </w:rPr>
            </w:pPr>
            <w:r w:rsidRPr="00D0223B">
              <w:rPr>
                <w:rFonts w:cs="Arial"/>
                <w:b w:val="0"/>
                <w:i/>
                <w:sz w:val="24"/>
                <w:szCs w:val="24"/>
              </w:rPr>
              <w:t>Far (&gt;10 Km)</w:t>
            </w:r>
          </w:p>
        </w:tc>
        <w:tc>
          <w:tcPr>
            <w:tcW w:w="1039" w:type="pct"/>
          </w:tcPr>
          <w:p w14:paraId="0D27A9D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343 (45.37)</w:t>
            </w:r>
          </w:p>
        </w:tc>
        <w:tc>
          <w:tcPr>
            <w:tcW w:w="1271" w:type="pct"/>
          </w:tcPr>
          <w:p w14:paraId="45ABA5D9"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D0223B">
              <w:rPr>
                <w:rFonts w:cs="Arial"/>
                <w:sz w:val="24"/>
                <w:szCs w:val="24"/>
              </w:rPr>
              <w:t>236 (45.03)</w:t>
            </w:r>
          </w:p>
        </w:tc>
      </w:tr>
    </w:tbl>
    <w:p w14:paraId="41028A70" w14:textId="77777777" w:rsidR="00413B08" w:rsidRDefault="00413B08" w:rsidP="00D34244">
      <w:pPr>
        <w:spacing w:line="480" w:lineRule="auto"/>
        <w:rPr>
          <w:rFonts w:cs="Arial"/>
        </w:rPr>
      </w:pPr>
    </w:p>
    <w:p w14:paraId="1985BD43" w14:textId="77777777" w:rsidR="00413B08" w:rsidRDefault="00413B08" w:rsidP="00D34244">
      <w:pPr>
        <w:spacing w:line="480" w:lineRule="auto"/>
        <w:rPr>
          <w:rFonts w:cs="Arial"/>
          <w:sz w:val="20"/>
          <w:szCs w:val="20"/>
          <w:u w:val="single"/>
        </w:rPr>
      </w:pPr>
    </w:p>
    <w:p w14:paraId="3ABA6D43" w14:textId="77777777" w:rsidR="00413B08" w:rsidRDefault="00413B08" w:rsidP="00D34244">
      <w:pPr>
        <w:spacing w:line="480" w:lineRule="auto"/>
        <w:rPr>
          <w:rFonts w:cs="Arial"/>
          <w:sz w:val="24"/>
          <w:szCs w:val="24"/>
        </w:rPr>
      </w:pPr>
    </w:p>
    <w:p w14:paraId="1CFE667A" w14:textId="77777777" w:rsidR="00413B08" w:rsidRDefault="00413B08" w:rsidP="00D34244">
      <w:pPr>
        <w:spacing w:line="480" w:lineRule="auto"/>
        <w:rPr>
          <w:rFonts w:cs="Arial"/>
          <w:sz w:val="24"/>
          <w:szCs w:val="24"/>
        </w:rPr>
      </w:pPr>
    </w:p>
    <w:p w14:paraId="66AE2691" w14:textId="77777777" w:rsidR="00413B08" w:rsidRDefault="00413B08" w:rsidP="00D34244">
      <w:pPr>
        <w:spacing w:line="480" w:lineRule="auto"/>
        <w:rPr>
          <w:rFonts w:cs="Arial"/>
          <w:sz w:val="24"/>
          <w:szCs w:val="24"/>
        </w:rPr>
      </w:pPr>
    </w:p>
    <w:p w14:paraId="420A771F" w14:textId="77777777" w:rsidR="00413B08" w:rsidRDefault="00413B08" w:rsidP="00D34244">
      <w:pPr>
        <w:spacing w:line="480" w:lineRule="auto"/>
        <w:rPr>
          <w:rFonts w:cs="Arial"/>
          <w:sz w:val="24"/>
          <w:szCs w:val="24"/>
        </w:rPr>
      </w:pPr>
    </w:p>
    <w:p w14:paraId="2688B010" w14:textId="77777777" w:rsidR="00413B08" w:rsidRDefault="00413B08" w:rsidP="00D34244">
      <w:pPr>
        <w:spacing w:line="480" w:lineRule="auto"/>
        <w:rPr>
          <w:rFonts w:cs="Arial"/>
          <w:sz w:val="24"/>
          <w:szCs w:val="24"/>
        </w:rPr>
      </w:pPr>
    </w:p>
    <w:p w14:paraId="64D71A72" w14:textId="77777777" w:rsidR="00413B08" w:rsidRDefault="00413B08" w:rsidP="00D34244">
      <w:pPr>
        <w:spacing w:line="480" w:lineRule="auto"/>
        <w:rPr>
          <w:rFonts w:cs="Arial"/>
          <w:sz w:val="24"/>
          <w:szCs w:val="24"/>
        </w:rPr>
      </w:pPr>
    </w:p>
    <w:p w14:paraId="2B1E6FF1" w14:textId="77777777" w:rsidR="00413B08" w:rsidRDefault="00413B08" w:rsidP="00D34244">
      <w:pPr>
        <w:spacing w:line="480" w:lineRule="auto"/>
        <w:rPr>
          <w:rFonts w:cs="Arial"/>
          <w:sz w:val="24"/>
          <w:szCs w:val="24"/>
        </w:rPr>
      </w:pPr>
    </w:p>
    <w:p w14:paraId="49B932F0" w14:textId="77777777" w:rsidR="00413B08" w:rsidRDefault="00413B08" w:rsidP="00D34244">
      <w:pPr>
        <w:spacing w:line="480" w:lineRule="auto"/>
        <w:rPr>
          <w:rFonts w:cs="Arial"/>
          <w:sz w:val="24"/>
          <w:szCs w:val="24"/>
        </w:rPr>
      </w:pPr>
    </w:p>
    <w:p w14:paraId="60E3F87A" w14:textId="77777777" w:rsidR="00413B08" w:rsidRDefault="00413B08" w:rsidP="00D34244">
      <w:pPr>
        <w:spacing w:line="480" w:lineRule="auto"/>
        <w:rPr>
          <w:rFonts w:cs="Arial"/>
          <w:sz w:val="24"/>
          <w:szCs w:val="24"/>
        </w:rPr>
      </w:pPr>
    </w:p>
    <w:p w14:paraId="24C0519D" w14:textId="77777777" w:rsidR="00413B08" w:rsidRDefault="00413B08" w:rsidP="00D34244">
      <w:pPr>
        <w:spacing w:line="480" w:lineRule="auto"/>
        <w:rPr>
          <w:rFonts w:cs="Arial"/>
          <w:sz w:val="24"/>
          <w:szCs w:val="24"/>
        </w:rPr>
      </w:pPr>
    </w:p>
    <w:p w14:paraId="0107C017" w14:textId="77777777" w:rsidR="00413B08" w:rsidRDefault="00413B08" w:rsidP="00D34244">
      <w:pPr>
        <w:spacing w:line="480" w:lineRule="auto"/>
        <w:rPr>
          <w:rFonts w:cs="Arial"/>
          <w:sz w:val="24"/>
          <w:szCs w:val="24"/>
        </w:rPr>
      </w:pPr>
    </w:p>
    <w:p w14:paraId="4721BEF0" w14:textId="7DCB43AA" w:rsidR="003C5396" w:rsidRDefault="003C5396" w:rsidP="00D34244">
      <w:pPr>
        <w:widowControl w:val="0"/>
        <w:autoSpaceDE w:val="0"/>
        <w:autoSpaceDN w:val="0"/>
        <w:adjustRightInd w:val="0"/>
        <w:spacing w:line="480" w:lineRule="auto"/>
        <w:ind w:left="640" w:hanging="640"/>
        <w:rPr>
          <w:rFonts w:cs="Arial"/>
          <w:sz w:val="18"/>
          <w:szCs w:val="18"/>
        </w:rPr>
      </w:pPr>
    </w:p>
    <w:p w14:paraId="79EFBE60" w14:textId="29DA12C0" w:rsidR="003C5396" w:rsidRDefault="003C5396" w:rsidP="00D34244">
      <w:pPr>
        <w:widowControl w:val="0"/>
        <w:autoSpaceDE w:val="0"/>
        <w:autoSpaceDN w:val="0"/>
        <w:adjustRightInd w:val="0"/>
        <w:spacing w:line="480" w:lineRule="auto"/>
        <w:ind w:left="640" w:hanging="640"/>
        <w:rPr>
          <w:rFonts w:cs="Arial"/>
          <w:sz w:val="18"/>
          <w:szCs w:val="18"/>
        </w:rPr>
      </w:pPr>
    </w:p>
    <w:p w14:paraId="2E0E161C" w14:textId="6DF92A35" w:rsidR="003C5396" w:rsidRDefault="003C5396" w:rsidP="00D34244">
      <w:pPr>
        <w:widowControl w:val="0"/>
        <w:autoSpaceDE w:val="0"/>
        <w:autoSpaceDN w:val="0"/>
        <w:adjustRightInd w:val="0"/>
        <w:spacing w:line="480" w:lineRule="auto"/>
        <w:ind w:left="640" w:hanging="640"/>
        <w:rPr>
          <w:rFonts w:cs="Arial"/>
          <w:sz w:val="18"/>
          <w:szCs w:val="18"/>
        </w:rPr>
      </w:pPr>
    </w:p>
    <w:p w14:paraId="0AD5180A" w14:textId="636488C3" w:rsidR="003C5396" w:rsidRDefault="003C5396" w:rsidP="00D34244">
      <w:pPr>
        <w:widowControl w:val="0"/>
        <w:autoSpaceDE w:val="0"/>
        <w:autoSpaceDN w:val="0"/>
        <w:adjustRightInd w:val="0"/>
        <w:spacing w:line="480" w:lineRule="auto"/>
        <w:ind w:left="640" w:hanging="640"/>
        <w:rPr>
          <w:rFonts w:cs="Arial"/>
          <w:sz w:val="18"/>
          <w:szCs w:val="18"/>
        </w:rPr>
      </w:pPr>
    </w:p>
    <w:p w14:paraId="42313B6E" w14:textId="601667CA" w:rsidR="00413B08" w:rsidRPr="00D0223B" w:rsidRDefault="00413B08" w:rsidP="00D34244">
      <w:pPr>
        <w:pStyle w:val="Caption"/>
        <w:keepNext/>
        <w:spacing w:line="480" w:lineRule="auto"/>
        <w:rPr>
          <w:color w:val="auto"/>
          <w:sz w:val="24"/>
          <w:szCs w:val="24"/>
        </w:rPr>
      </w:pPr>
      <w:r w:rsidRPr="00D0223B">
        <w:rPr>
          <w:color w:val="auto"/>
          <w:sz w:val="24"/>
          <w:szCs w:val="24"/>
        </w:rPr>
        <w:lastRenderedPageBreak/>
        <w:t>Table 2-Associations of AMD</w:t>
      </w:r>
      <w:r w:rsidR="00791B44">
        <w:rPr>
          <w:rStyle w:val="FootnoteReference"/>
          <w:color w:val="auto"/>
          <w:sz w:val="24"/>
          <w:szCs w:val="24"/>
        </w:rPr>
        <w:footnoteReference w:id="3"/>
      </w:r>
      <w:r w:rsidRPr="00D0223B">
        <w:rPr>
          <w:color w:val="auto"/>
          <w:sz w:val="24"/>
          <w:szCs w:val="24"/>
        </w:rPr>
        <w:t xml:space="preserve"> severity (severe vs mild) at baseline</w:t>
      </w:r>
    </w:p>
    <w:tbl>
      <w:tblPr>
        <w:tblStyle w:val="GridTable2-Accent61"/>
        <w:tblW w:w="9782" w:type="dxa"/>
        <w:tblLayout w:type="fixed"/>
        <w:tblLook w:val="04A0" w:firstRow="1" w:lastRow="0" w:firstColumn="1" w:lastColumn="0" w:noHBand="0" w:noVBand="1"/>
      </w:tblPr>
      <w:tblGrid>
        <w:gridCol w:w="2553"/>
        <w:gridCol w:w="1417"/>
        <w:gridCol w:w="1134"/>
        <w:gridCol w:w="992"/>
        <w:gridCol w:w="284"/>
        <w:gridCol w:w="1276"/>
        <w:gridCol w:w="1134"/>
        <w:gridCol w:w="992"/>
      </w:tblGrid>
      <w:tr w:rsidR="00413B08" w:rsidRPr="00D0223B" w14:paraId="255FE161" w14:textId="77777777" w:rsidTr="00DD2237">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782" w:type="dxa"/>
            <w:gridSpan w:val="8"/>
          </w:tcPr>
          <w:p w14:paraId="75C1C2EC" w14:textId="77777777" w:rsidR="00413B08" w:rsidRPr="00D0223B" w:rsidRDefault="00413B08" w:rsidP="00D34244">
            <w:pPr>
              <w:spacing w:line="480" w:lineRule="auto"/>
              <w:rPr>
                <w:rFonts w:cs="Arial"/>
                <w:sz w:val="24"/>
                <w:szCs w:val="24"/>
              </w:rPr>
            </w:pPr>
          </w:p>
        </w:tc>
      </w:tr>
      <w:tr w:rsidR="00413B08" w:rsidRPr="00D0223B" w14:paraId="37C0FAC7"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6A5613A3"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3543" w:type="dxa"/>
            <w:gridSpan w:val="3"/>
          </w:tcPr>
          <w:p w14:paraId="033C466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Univariate</w:t>
            </w:r>
          </w:p>
        </w:tc>
        <w:tc>
          <w:tcPr>
            <w:tcW w:w="284" w:type="dxa"/>
            <w:vMerge w:val="restart"/>
          </w:tcPr>
          <w:p w14:paraId="3A65D6B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402" w:type="dxa"/>
            <w:gridSpan w:val="3"/>
          </w:tcPr>
          <w:p w14:paraId="6FEB7A5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Multivariate</w:t>
            </w:r>
          </w:p>
        </w:tc>
      </w:tr>
      <w:tr w:rsidR="00413B08" w:rsidRPr="00D0223B" w14:paraId="1EA3432B"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01616D5A"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1417" w:type="dxa"/>
          </w:tcPr>
          <w:p w14:paraId="11ACCCFF"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4" w:type="dxa"/>
          </w:tcPr>
          <w:p w14:paraId="2D410810"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992" w:type="dxa"/>
          </w:tcPr>
          <w:p w14:paraId="32DF205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c>
          <w:tcPr>
            <w:tcW w:w="284" w:type="dxa"/>
            <w:vMerge/>
          </w:tcPr>
          <w:p w14:paraId="34E8BFF3"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1276" w:type="dxa"/>
          </w:tcPr>
          <w:p w14:paraId="6018A5A7"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4" w:type="dxa"/>
          </w:tcPr>
          <w:p w14:paraId="2C97EE18"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992" w:type="dxa"/>
          </w:tcPr>
          <w:p w14:paraId="5B95D89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r>
      <w:tr w:rsidR="00413B08" w:rsidRPr="00D0223B" w14:paraId="7164CB12"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8549D70" w14:textId="77777777" w:rsidR="00413B08" w:rsidRPr="00D0223B" w:rsidRDefault="00413B08" w:rsidP="00D34244">
            <w:pPr>
              <w:spacing w:line="480" w:lineRule="auto"/>
              <w:jc w:val="both"/>
              <w:rPr>
                <w:rFonts w:cs="Arial"/>
                <w:b w:val="0"/>
                <w:sz w:val="24"/>
                <w:szCs w:val="24"/>
              </w:rPr>
            </w:pPr>
            <w:r w:rsidRPr="00D0223B">
              <w:rPr>
                <w:rFonts w:cs="Arial"/>
                <w:sz w:val="24"/>
                <w:szCs w:val="24"/>
              </w:rPr>
              <w:t>Age (Per year increase)</w:t>
            </w:r>
          </w:p>
        </w:tc>
        <w:tc>
          <w:tcPr>
            <w:tcW w:w="1417" w:type="dxa"/>
          </w:tcPr>
          <w:p w14:paraId="6128C33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1.02</w:t>
            </w:r>
          </w:p>
        </w:tc>
        <w:tc>
          <w:tcPr>
            <w:tcW w:w="1134" w:type="dxa"/>
          </w:tcPr>
          <w:p w14:paraId="73D582E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0.99-1.06</w:t>
            </w:r>
          </w:p>
        </w:tc>
        <w:tc>
          <w:tcPr>
            <w:tcW w:w="992" w:type="dxa"/>
          </w:tcPr>
          <w:p w14:paraId="610C7A3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0.23</w:t>
            </w:r>
          </w:p>
        </w:tc>
        <w:tc>
          <w:tcPr>
            <w:tcW w:w="284" w:type="dxa"/>
            <w:vMerge/>
          </w:tcPr>
          <w:p w14:paraId="36B8775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5DC7917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1.03</w:t>
            </w:r>
          </w:p>
        </w:tc>
        <w:tc>
          <w:tcPr>
            <w:tcW w:w="1134" w:type="dxa"/>
          </w:tcPr>
          <w:p w14:paraId="4C24269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0.99-1.06</w:t>
            </w:r>
          </w:p>
        </w:tc>
        <w:tc>
          <w:tcPr>
            <w:tcW w:w="992" w:type="dxa"/>
          </w:tcPr>
          <w:p w14:paraId="21E88C8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0.15</w:t>
            </w:r>
          </w:p>
        </w:tc>
      </w:tr>
      <w:tr w:rsidR="00413B08" w:rsidRPr="00D0223B" w14:paraId="327C6545"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42CF672D" w14:textId="77777777" w:rsidR="00413B08" w:rsidRPr="00D0223B" w:rsidRDefault="00413B08" w:rsidP="00D34244">
            <w:pPr>
              <w:spacing w:line="480" w:lineRule="auto"/>
              <w:jc w:val="both"/>
              <w:rPr>
                <w:rFonts w:cs="Arial"/>
                <w:b w:val="0"/>
                <w:sz w:val="24"/>
                <w:szCs w:val="24"/>
              </w:rPr>
            </w:pPr>
            <w:r w:rsidRPr="00D0223B">
              <w:rPr>
                <w:rFonts w:cs="Arial"/>
                <w:sz w:val="24"/>
                <w:szCs w:val="24"/>
              </w:rPr>
              <w:t>Gender</w:t>
            </w:r>
          </w:p>
        </w:tc>
        <w:tc>
          <w:tcPr>
            <w:tcW w:w="1417" w:type="dxa"/>
          </w:tcPr>
          <w:p w14:paraId="29B60A1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47AD8E3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68358B8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69359E3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49029ED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049433D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4495662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79DF01ED"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6945DB03"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Male</w:t>
            </w:r>
          </w:p>
        </w:tc>
        <w:tc>
          <w:tcPr>
            <w:tcW w:w="1417" w:type="dxa"/>
          </w:tcPr>
          <w:p w14:paraId="37EFDED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0845261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5FD3127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3F78AF2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13E46D6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3D4589B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2FC0288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44E71E2"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7B59E737"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Female</w:t>
            </w:r>
          </w:p>
        </w:tc>
        <w:tc>
          <w:tcPr>
            <w:tcW w:w="1417" w:type="dxa"/>
          </w:tcPr>
          <w:p w14:paraId="43082E9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0.67</w:t>
            </w:r>
          </w:p>
        </w:tc>
        <w:tc>
          <w:tcPr>
            <w:tcW w:w="1134" w:type="dxa"/>
          </w:tcPr>
          <w:p w14:paraId="2BEFB88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0.39-1.13</w:t>
            </w:r>
          </w:p>
        </w:tc>
        <w:tc>
          <w:tcPr>
            <w:tcW w:w="992" w:type="dxa"/>
          </w:tcPr>
          <w:p w14:paraId="26863DC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0.13</w:t>
            </w:r>
          </w:p>
        </w:tc>
        <w:tc>
          <w:tcPr>
            <w:tcW w:w="284" w:type="dxa"/>
            <w:vMerge/>
          </w:tcPr>
          <w:p w14:paraId="06FCBA0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2878B9D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0.63</w:t>
            </w:r>
          </w:p>
        </w:tc>
        <w:tc>
          <w:tcPr>
            <w:tcW w:w="1134" w:type="dxa"/>
          </w:tcPr>
          <w:p w14:paraId="3A7E422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0.37-1.09</w:t>
            </w:r>
          </w:p>
        </w:tc>
        <w:tc>
          <w:tcPr>
            <w:tcW w:w="992" w:type="dxa"/>
          </w:tcPr>
          <w:p w14:paraId="18BC8BD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0.09</w:t>
            </w:r>
          </w:p>
        </w:tc>
      </w:tr>
      <w:tr w:rsidR="00413B08" w:rsidRPr="00D0223B" w14:paraId="776F960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2073A15A" w14:textId="77777777" w:rsidR="00413B08" w:rsidRPr="00D0223B" w:rsidRDefault="00413B08" w:rsidP="00D34244">
            <w:pPr>
              <w:spacing w:line="480" w:lineRule="auto"/>
              <w:jc w:val="both"/>
              <w:rPr>
                <w:rFonts w:cs="Arial"/>
                <w:b w:val="0"/>
                <w:sz w:val="24"/>
                <w:szCs w:val="24"/>
              </w:rPr>
            </w:pPr>
            <w:r w:rsidRPr="00D0223B">
              <w:rPr>
                <w:rFonts w:cs="Arial"/>
                <w:sz w:val="24"/>
                <w:szCs w:val="24"/>
              </w:rPr>
              <w:t>Deprivation</w:t>
            </w:r>
          </w:p>
        </w:tc>
        <w:tc>
          <w:tcPr>
            <w:tcW w:w="1417" w:type="dxa"/>
          </w:tcPr>
          <w:p w14:paraId="0F01C0A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5148A10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6A568BF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1545722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243A1F9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64D98A6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089FD9B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6BC16E3"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0EDB3089"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5 (least deprived)</w:t>
            </w:r>
          </w:p>
        </w:tc>
        <w:tc>
          <w:tcPr>
            <w:tcW w:w="1417" w:type="dxa"/>
          </w:tcPr>
          <w:p w14:paraId="09E1AED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31FD5B5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5FA65F1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b/>
                <w:sz w:val="24"/>
                <w:szCs w:val="24"/>
                <w:lang w:val="en-GB"/>
              </w:rPr>
            </w:pPr>
            <w:r w:rsidRPr="00D0223B">
              <w:rPr>
                <w:rFonts w:eastAsiaTheme="minorHAnsi" w:cs="Arial"/>
                <w:b/>
                <w:sz w:val="24"/>
                <w:szCs w:val="24"/>
                <w:lang w:val="en-GB"/>
              </w:rPr>
              <w:t>0.017</w:t>
            </w:r>
          </w:p>
        </w:tc>
        <w:tc>
          <w:tcPr>
            <w:tcW w:w="284" w:type="dxa"/>
            <w:vMerge/>
          </w:tcPr>
          <w:p w14:paraId="0C9AD59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2AFFD7D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34084DD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3D9EF8D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b/>
                <w:sz w:val="24"/>
                <w:szCs w:val="24"/>
                <w:lang w:val="en-GB"/>
              </w:rPr>
            </w:pPr>
            <w:r w:rsidRPr="00D0223B">
              <w:rPr>
                <w:rFonts w:eastAsiaTheme="minorHAnsi" w:cs="Arial"/>
                <w:b/>
                <w:sz w:val="24"/>
                <w:szCs w:val="24"/>
                <w:lang w:val="en-GB"/>
              </w:rPr>
              <w:t>0.006</w:t>
            </w:r>
          </w:p>
        </w:tc>
      </w:tr>
      <w:tr w:rsidR="00413B08" w:rsidRPr="00D0223B" w14:paraId="09685A9D"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8C6B557"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1 (most deprived)</w:t>
            </w:r>
          </w:p>
        </w:tc>
        <w:tc>
          <w:tcPr>
            <w:tcW w:w="1417" w:type="dxa"/>
          </w:tcPr>
          <w:p w14:paraId="0A27B14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3.59</w:t>
            </w:r>
          </w:p>
        </w:tc>
        <w:tc>
          <w:tcPr>
            <w:tcW w:w="1134" w:type="dxa"/>
          </w:tcPr>
          <w:p w14:paraId="2FC804F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1.39-9.27</w:t>
            </w:r>
          </w:p>
        </w:tc>
        <w:tc>
          <w:tcPr>
            <w:tcW w:w="992" w:type="dxa"/>
          </w:tcPr>
          <w:p w14:paraId="27738FB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175C148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428B49D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4.07</w:t>
            </w:r>
          </w:p>
        </w:tc>
        <w:tc>
          <w:tcPr>
            <w:tcW w:w="1134" w:type="dxa"/>
          </w:tcPr>
          <w:p w14:paraId="749D9B8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1.50-11.0</w:t>
            </w:r>
          </w:p>
        </w:tc>
        <w:tc>
          <w:tcPr>
            <w:tcW w:w="992" w:type="dxa"/>
          </w:tcPr>
          <w:p w14:paraId="5D6511C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40FA9728"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0368DF8D"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2</w:t>
            </w:r>
          </w:p>
        </w:tc>
        <w:tc>
          <w:tcPr>
            <w:tcW w:w="1417" w:type="dxa"/>
          </w:tcPr>
          <w:p w14:paraId="6954E5A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0.45</w:t>
            </w:r>
          </w:p>
        </w:tc>
        <w:tc>
          <w:tcPr>
            <w:tcW w:w="1134" w:type="dxa"/>
          </w:tcPr>
          <w:p w14:paraId="78FA67A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0.15-1.32</w:t>
            </w:r>
          </w:p>
        </w:tc>
        <w:tc>
          <w:tcPr>
            <w:tcW w:w="992" w:type="dxa"/>
          </w:tcPr>
          <w:p w14:paraId="3966FF1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3F548FE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2A20C75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0.47</w:t>
            </w:r>
          </w:p>
        </w:tc>
        <w:tc>
          <w:tcPr>
            <w:tcW w:w="1134" w:type="dxa"/>
          </w:tcPr>
          <w:p w14:paraId="468C203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0.15-1.41</w:t>
            </w:r>
          </w:p>
        </w:tc>
        <w:tc>
          <w:tcPr>
            <w:tcW w:w="992" w:type="dxa"/>
          </w:tcPr>
          <w:p w14:paraId="08BC75A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211B05A0"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6885AD4D"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3</w:t>
            </w:r>
          </w:p>
        </w:tc>
        <w:tc>
          <w:tcPr>
            <w:tcW w:w="1417" w:type="dxa"/>
          </w:tcPr>
          <w:p w14:paraId="6B563FA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0.88</w:t>
            </w:r>
          </w:p>
        </w:tc>
        <w:tc>
          <w:tcPr>
            <w:tcW w:w="1134" w:type="dxa"/>
          </w:tcPr>
          <w:p w14:paraId="66D5045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0.42-1.83</w:t>
            </w:r>
          </w:p>
        </w:tc>
        <w:tc>
          <w:tcPr>
            <w:tcW w:w="992" w:type="dxa"/>
          </w:tcPr>
          <w:p w14:paraId="1513940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2B22D35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72139C8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0.94</w:t>
            </w:r>
          </w:p>
        </w:tc>
        <w:tc>
          <w:tcPr>
            <w:tcW w:w="1134" w:type="dxa"/>
          </w:tcPr>
          <w:p w14:paraId="7568F00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0.44-1.99</w:t>
            </w:r>
          </w:p>
        </w:tc>
        <w:tc>
          <w:tcPr>
            <w:tcW w:w="992" w:type="dxa"/>
          </w:tcPr>
          <w:p w14:paraId="55CC7E6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31E59333"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24B37F6D"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 xml:space="preserve">Quintile 4 </w:t>
            </w:r>
          </w:p>
        </w:tc>
        <w:tc>
          <w:tcPr>
            <w:tcW w:w="1417" w:type="dxa"/>
          </w:tcPr>
          <w:p w14:paraId="152C4A3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0.72</w:t>
            </w:r>
          </w:p>
        </w:tc>
        <w:tc>
          <w:tcPr>
            <w:tcW w:w="1134" w:type="dxa"/>
          </w:tcPr>
          <w:p w14:paraId="5F27329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0.36-1.44</w:t>
            </w:r>
          </w:p>
        </w:tc>
        <w:tc>
          <w:tcPr>
            <w:tcW w:w="992" w:type="dxa"/>
          </w:tcPr>
          <w:p w14:paraId="7DCC76D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27F7E17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6B9221B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0.34</w:t>
            </w:r>
          </w:p>
        </w:tc>
        <w:tc>
          <w:tcPr>
            <w:tcW w:w="1134" w:type="dxa"/>
          </w:tcPr>
          <w:p w14:paraId="602386B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0.34-1.36</w:t>
            </w:r>
          </w:p>
        </w:tc>
        <w:tc>
          <w:tcPr>
            <w:tcW w:w="992" w:type="dxa"/>
          </w:tcPr>
          <w:p w14:paraId="4DF4582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0C7772CE"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F4CE19F" w14:textId="77777777" w:rsidR="00413B08" w:rsidRPr="00D0223B" w:rsidRDefault="00413B08" w:rsidP="00D34244">
            <w:pPr>
              <w:spacing w:line="480" w:lineRule="auto"/>
              <w:jc w:val="both"/>
              <w:rPr>
                <w:rFonts w:cs="Arial"/>
                <w:b w:val="0"/>
                <w:sz w:val="24"/>
                <w:szCs w:val="24"/>
              </w:rPr>
            </w:pPr>
            <w:r w:rsidRPr="00D0223B">
              <w:rPr>
                <w:rFonts w:cs="Arial"/>
                <w:sz w:val="24"/>
                <w:szCs w:val="24"/>
              </w:rPr>
              <w:lastRenderedPageBreak/>
              <w:t>Distance</w:t>
            </w:r>
          </w:p>
        </w:tc>
        <w:tc>
          <w:tcPr>
            <w:tcW w:w="1417" w:type="dxa"/>
          </w:tcPr>
          <w:p w14:paraId="53785F4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4BEC5B2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45717C4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2DBA51F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5FE843B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6C7A46B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29F739F7"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09895649"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5D7BF38B" w14:textId="57A54C76" w:rsidR="00413B08" w:rsidRPr="00D0223B" w:rsidRDefault="00413B08" w:rsidP="00D34244">
            <w:pPr>
              <w:spacing w:line="480" w:lineRule="auto"/>
              <w:jc w:val="both"/>
              <w:rPr>
                <w:rFonts w:cs="Arial"/>
                <w:b w:val="0"/>
                <w:i/>
                <w:sz w:val="24"/>
                <w:szCs w:val="24"/>
              </w:rPr>
            </w:pPr>
            <w:r w:rsidRPr="00D0223B">
              <w:rPr>
                <w:rFonts w:cs="Arial"/>
                <w:b w:val="0"/>
                <w:i/>
                <w:sz w:val="24"/>
                <w:szCs w:val="24"/>
              </w:rPr>
              <w:t>Near to hospital (&lt;=10Km</w:t>
            </w:r>
            <w:r w:rsidR="00791B44">
              <w:rPr>
                <w:rStyle w:val="FootnoteReference"/>
                <w:rFonts w:cs="Arial"/>
                <w:b w:val="0"/>
                <w:i/>
                <w:sz w:val="24"/>
                <w:szCs w:val="24"/>
              </w:rPr>
              <w:footnoteReference w:id="4"/>
            </w:r>
            <w:r w:rsidRPr="00D0223B">
              <w:rPr>
                <w:rFonts w:cs="Arial"/>
                <w:b w:val="0"/>
                <w:i/>
                <w:sz w:val="24"/>
                <w:szCs w:val="24"/>
              </w:rPr>
              <w:t>)</w:t>
            </w:r>
          </w:p>
        </w:tc>
        <w:tc>
          <w:tcPr>
            <w:tcW w:w="1417" w:type="dxa"/>
          </w:tcPr>
          <w:p w14:paraId="773B09DD"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2EF6527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3AC7017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7F8F0DD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2E12B70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1F03DA1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71D167D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66689FB8"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4BFE464"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Far from hospital (&gt;10Km)</w:t>
            </w:r>
          </w:p>
        </w:tc>
        <w:tc>
          <w:tcPr>
            <w:tcW w:w="1417" w:type="dxa"/>
          </w:tcPr>
          <w:p w14:paraId="00A9C12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1.13</w:t>
            </w:r>
          </w:p>
        </w:tc>
        <w:tc>
          <w:tcPr>
            <w:tcW w:w="1134" w:type="dxa"/>
          </w:tcPr>
          <w:p w14:paraId="0B647DB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0.68-1.89</w:t>
            </w:r>
          </w:p>
        </w:tc>
        <w:tc>
          <w:tcPr>
            <w:tcW w:w="992" w:type="dxa"/>
          </w:tcPr>
          <w:p w14:paraId="2938A3D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0.63</w:t>
            </w:r>
          </w:p>
        </w:tc>
        <w:tc>
          <w:tcPr>
            <w:tcW w:w="284" w:type="dxa"/>
            <w:vMerge/>
          </w:tcPr>
          <w:p w14:paraId="7CF133F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4C63ABA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1.25</w:t>
            </w:r>
          </w:p>
        </w:tc>
        <w:tc>
          <w:tcPr>
            <w:tcW w:w="1134" w:type="dxa"/>
          </w:tcPr>
          <w:p w14:paraId="26BC7C1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0.72-2.18</w:t>
            </w:r>
          </w:p>
        </w:tc>
        <w:tc>
          <w:tcPr>
            <w:tcW w:w="992" w:type="dxa"/>
          </w:tcPr>
          <w:p w14:paraId="27F112B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0.43</w:t>
            </w:r>
          </w:p>
        </w:tc>
      </w:tr>
      <w:tr w:rsidR="00413B08" w:rsidRPr="00D0223B" w14:paraId="7E18A0A6"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56C4457C" w14:textId="77777777" w:rsidR="00413B08" w:rsidRPr="00D0223B" w:rsidRDefault="00413B08" w:rsidP="00D34244">
            <w:pPr>
              <w:spacing w:line="480" w:lineRule="auto"/>
              <w:ind w:left="720"/>
              <w:jc w:val="both"/>
              <w:rPr>
                <w:rFonts w:cs="Arial"/>
                <w:b w:val="0"/>
                <w:sz w:val="24"/>
                <w:szCs w:val="24"/>
              </w:rPr>
            </w:pPr>
          </w:p>
        </w:tc>
        <w:tc>
          <w:tcPr>
            <w:tcW w:w="1417" w:type="dxa"/>
          </w:tcPr>
          <w:p w14:paraId="42AA989D"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25AD8E7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0E3F0D0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23E375F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6830ABC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2E3B4D4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3410A86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bl>
    <w:p w14:paraId="11D7F379" w14:textId="77777777" w:rsidR="00413B08" w:rsidRPr="00D0223B" w:rsidRDefault="00413B08" w:rsidP="00D34244">
      <w:pPr>
        <w:spacing w:after="0" w:line="480" w:lineRule="auto"/>
        <w:rPr>
          <w:rFonts w:cs="Arial"/>
          <w:b/>
          <w:bCs/>
          <w:sz w:val="24"/>
          <w:szCs w:val="24"/>
        </w:rPr>
      </w:pPr>
      <w:r w:rsidRPr="00D0223B">
        <w:rPr>
          <w:rFonts w:cs="Arial"/>
          <w:b/>
          <w:bCs/>
          <w:sz w:val="24"/>
          <w:szCs w:val="24"/>
        </w:rPr>
        <w:t>OR=Odds Ratio; P-values from Logistic regression model</w:t>
      </w:r>
    </w:p>
    <w:p w14:paraId="24A4237A" w14:textId="77777777" w:rsidR="00413B08" w:rsidRPr="009C535C" w:rsidRDefault="00413B08" w:rsidP="00D34244">
      <w:pPr>
        <w:spacing w:line="480" w:lineRule="auto"/>
        <w:rPr>
          <w:rFonts w:cs="Arial"/>
          <w:color w:val="0070C0"/>
          <w:sz w:val="20"/>
          <w:szCs w:val="20"/>
          <w:u w:val="single"/>
        </w:rPr>
      </w:pPr>
    </w:p>
    <w:p w14:paraId="4E243E0C" w14:textId="3CA7A269" w:rsidR="003C5396" w:rsidRDefault="003C5396" w:rsidP="00D34244">
      <w:pPr>
        <w:widowControl w:val="0"/>
        <w:autoSpaceDE w:val="0"/>
        <w:autoSpaceDN w:val="0"/>
        <w:adjustRightInd w:val="0"/>
        <w:spacing w:line="480" w:lineRule="auto"/>
        <w:ind w:left="640" w:hanging="640"/>
        <w:rPr>
          <w:rFonts w:cs="Arial"/>
          <w:sz w:val="18"/>
          <w:szCs w:val="18"/>
        </w:rPr>
      </w:pPr>
    </w:p>
    <w:p w14:paraId="060E6C9E" w14:textId="75ECBB89" w:rsidR="00413B08" w:rsidRDefault="00413B08" w:rsidP="00D34244">
      <w:pPr>
        <w:widowControl w:val="0"/>
        <w:autoSpaceDE w:val="0"/>
        <w:autoSpaceDN w:val="0"/>
        <w:adjustRightInd w:val="0"/>
        <w:spacing w:line="480" w:lineRule="auto"/>
        <w:ind w:left="640" w:hanging="640"/>
        <w:rPr>
          <w:rFonts w:cs="Arial"/>
          <w:sz w:val="18"/>
          <w:szCs w:val="18"/>
        </w:rPr>
      </w:pPr>
    </w:p>
    <w:p w14:paraId="15E36D02" w14:textId="32AEE1B5" w:rsidR="00413B08" w:rsidRDefault="00413B08" w:rsidP="00D34244">
      <w:pPr>
        <w:widowControl w:val="0"/>
        <w:autoSpaceDE w:val="0"/>
        <w:autoSpaceDN w:val="0"/>
        <w:adjustRightInd w:val="0"/>
        <w:spacing w:line="480" w:lineRule="auto"/>
        <w:ind w:left="640" w:hanging="640"/>
        <w:rPr>
          <w:rFonts w:cs="Arial"/>
          <w:sz w:val="18"/>
          <w:szCs w:val="18"/>
        </w:rPr>
      </w:pPr>
    </w:p>
    <w:p w14:paraId="7A15A7D4" w14:textId="5578735B" w:rsidR="00413B08" w:rsidRDefault="00413B08" w:rsidP="00D34244">
      <w:pPr>
        <w:widowControl w:val="0"/>
        <w:autoSpaceDE w:val="0"/>
        <w:autoSpaceDN w:val="0"/>
        <w:adjustRightInd w:val="0"/>
        <w:spacing w:line="480" w:lineRule="auto"/>
        <w:ind w:left="640" w:hanging="640"/>
        <w:rPr>
          <w:rFonts w:cs="Arial"/>
          <w:sz w:val="18"/>
          <w:szCs w:val="18"/>
        </w:rPr>
      </w:pPr>
    </w:p>
    <w:p w14:paraId="08EE5609" w14:textId="2DC097BD" w:rsidR="00413B08" w:rsidRDefault="00413B08" w:rsidP="00D34244">
      <w:pPr>
        <w:widowControl w:val="0"/>
        <w:autoSpaceDE w:val="0"/>
        <w:autoSpaceDN w:val="0"/>
        <w:adjustRightInd w:val="0"/>
        <w:spacing w:line="480" w:lineRule="auto"/>
        <w:ind w:left="640" w:hanging="640"/>
        <w:rPr>
          <w:rFonts w:cs="Arial"/>
          <w:sz w:val="18"/>
          <w:szCs w:val="18"/>
        </w:rPr>
      </w:pPr>
    </w:p>
    <w:p w14:paraId="5089EEEC" w14:textId="20A12D32" w:rsidR="00413B08" w:rsidRDefault="00413B08" w:rsidP="00D34244">
      <w:pPr>
        <w:widowControl w:val="0"/>
        <w:autoSpaceDE w:val="0"/>
        <w:autoSpaceDN w:val="0"/>
        <w:adjustRightInd w:val="0"/>
        <w:spacing w:line="480" w:lineRule="auto"/>
        <w:ind w:left="640" w:hanging="640"/>
        <w:rPr>
          <w:rFonts w:cs="Arial"/>
          <w:sz w:val="18"/>
          <w:szCs w:val="18"/>
        </w:rPr>
      </w:pPr>
    </w:p>
    <w:p w14:paraId="624F9115" w14:textId="7CA7F899" w:rsidR="00413B08" w:rsidRDefault="00413B08" w:rsidP="00D34244">
      <w:pPr>
        <w:widowControl w:val="0"/>
        <w:autoSpaceDE w:val="0"/>
        <w:autoSpaceDN w:val="0"/>
        <w:adjustRightInd w:val="0"/>
        <w:spacing w:line="480" w:lineRule="auto"/>
        <w:ind w:left="640" w:hanging="640"/>
        <w:rPr>
          <w:rFonts w:cs="Arial"/>
          <w:sz w:val="18"/>
          <w:szCs w:val="18"/>
        </w:rPr>
      </w:pPr>
    </w:p>
    <w:p w14:paraId="52F91332" w14:textId="6EA308D0" w:rsidR="00413B08" w:rsidRDefault="00413B08" w:rsidP="00D34244">
      <w:pPr>
        <w:widowControl w:val="0"/>
        <w:autoSpaceDE w:val="0"/>
        <w:autoSpaceDN w:val="0"/>
        <w:adjustRightInd w:val="0"/>
        <w:spacing w:line="480" w:lineRule="auto"/>
        <w:ind w:left="640" w:hanging="640"/>
        <w:rPr>
          <w:rFonts w:cs="Arial"/>
          <w:sz w:val="18"/>
          <w:szCs w:val="18"/>
        </w:rPr>
      </w:pPr>
    </w:p>
    <w:p w14:paraId="7F95F7D0" w14:textId="77777777" w:rsidR="00675007" w:rsidRDefault="00675007" w:rsidP="00D34244">
      <w:pPr>
        <w:widowControl w:val="0"/>
        <w:autoSpaceDE w:val="0"/>
        <w:autoSpaceDN w:val="0"/>
        <w:adjustRightInd w:val="0"/>
        <w:spacing w:line="480" w:lineRule="auto"/>
        <w:ind w:left="640" w:hanging="640"/>
        <w:rPr>
          <w:rFonts w:cs="Arial"/>
          <w:sz w:val="18"/>
          <w:szCs w:val="18"/>
        </w:rPr>
      </w:pPr>
    </w:p>
    <w:p w14:paraId="6893CA55" w14:textId="419F5234" w:rsidR="00413B08" w:rsidRDefault="00413B08" w:rsidP="00D34244">
      <w:pPr>
        <w:widowControl w:val="0"/>
        <w:autoSpaceDE w:val="0"/>
        <w:autoSpaceDN w:val="0"/>
        <w:adjustRightInd w:val="0"/>
        <w:spacing w:line="480" w:lineRule="auto"/>
        <w:ind w:left="640" w:hanging="640"/>
        <w:rPr>
          <w:rFonts w:cs="Arial"/>
          <w:sz w:val="18"/>
          <w:szCs w:val="18"/>
        </w:rPr>
      </w:pPr>
    </w:p>
    <w:p w14:paraId="18217EFE" w14:textId="5E6982D2" w:rsidR="00413B08" w:rsidRDefault="00413B08" w:rsidP="00D34244">
      <w:pPr>
        <w:widowControl w:val="0"/>
        <w:autoSpaceDE w:val="0"/>
        <w:autoSpaceDN w:val="0"/>
        <w:adjustRightInd w:val="0"/>
        <w:spacing w:line="480" w:lineRule="auto"/>
        <w:ind w:left="640" w:hanging="640"/>
        <w:rPr>
          <w:rFonts w:cs="Arial"/>
          <w:sz w:val="18"/>
          <w:szCs w:val="18"/>
        </w:rPr>
      </w:pPr>
    </w:p>
    <w:p w14:paraId="744D71AF" w14:textId="77777777" w:rsidR="00413B08" w:rsidRPr="00D0223B" w:rsidRDefault="00413B08" w:rsidP="00D34244">
      <w:pPr>
        <w:pStyle w:val="Caption"/>
        <w:keepNext/>
        <w:spacing w:line="480" w:lineRule="auto"/>
        <w:rPr>
          <w:color w:val="auto"/>
          <w:sz w:val="24"/>
          <w:szCs w:val="24"/>
        </w:rPr>
      </w:pPr>
      <w:r w:rsidRPr="00D0223B">
        <w:rPr>
          <w:color w:val="auto"/>
          <w:sz w:val="24"/>
          <w:szCs w:val="24"/>
        </w:rPr>
        <w:lastRenderedPageBreak/>
        <w:t>Table 3-Delay in completion of treatment</w:t>
      </w:r>
    </w:p>
    <w:tbl>
      <w:tblPr>
        <w:tblStyle w:val="GridTable2-Accent61"/>
        <w:tblW w:w="9923" w:type="dxa"/>
        <w:tblLayout w:type="fixed"/>
        <w:tblLook w:val="04A0" w:firstRow="1" w:lastRow="0" w:firstColumn="1" w:lastColumn="0" w:noHBand="0" w:noVBand="1"/>
      </w:tblPr>
      <w:tblGrid>
        <w:gridCol w:w="2553"/>
        <w:gridCol w:w="1417"/>
        <w:gridCol w:w="1134"/>
        <w:gridCol w:w="992"/>
        <w:gridCol w:w="284"/>
        <w:gridCol w:w="1276"/>
        <w:gridCol w:w="1133"/>
        <w:gridCol w:w="1134"/>
      </w:tblGrid>
      <w:tr w:rsidR="00413B08" w:rsidRPr="00D0223B" w14:paraId="145AD1CD" w14:textId="77777777" w:rsidTr="00DD2237">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9923" w:type="dxa"/>
            <w:gridSpan w:val="8"/>
          </w:tcPr>
          <w:p w14:paraId="5A0F346B" w14:textId="77777777" w:rsidR="00413B08" w:rsidRPr="00D0223B" w:rsidRDefault="00413B08" w:rsidP="00D34244">
            <w:pPr>
              <w:spacing w:line="480" w:lineRule="auto"/>
              <w:rPr>
                <w:rFonts w:cs="Arial"/>
                <w:sz w:val="24"/>
                <w:szCs w:val="24"/>
              </w:rPr>
            </w:pPr>
          </w:p>
        </w:tc>
      </w:tr>
      <w:tr w:rsidR="00413B08" w:rsidRPr="00D0223B" w14:paraId="6E6CAB8A"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B2F72A5"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3543" w:type="dxa"/>
            <w:gridSpan w:val="3"/>
          </w:tcPr>
          <w:p w14:paraId="664E2797"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Univariate</w:t>
            </w:r>
          </w:p>
        </w:tc>
        <w:tc>
          <w:tcPr>
            <w:tcW w:w="284" w:type="dxa"/>
            <w:vMerge w:val="restart"/>
          </w:tcPr>
          <w:p w14:paraId="5F51AB3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543" w:type="dxa"/>
            <w:gridSpan w:val="3"/>
          </w:tcPr>
          <w:p w14:paraId="5B2325C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Multivariate</w:t>
            </w:r>
          </w:p>
        </w:tc>
      </w:tr>
      <w:tr w:rsidR="00413B08" w:rsidRPr="00D0223B" w14:paraId="4A3B271B"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59FDB715"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1417" w:type="dxa"/>
          </w:tcPr>
          <w:p w14:paraId="75657479"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4" w:type="dxa"/>
          </w:tcPr>
          <w:p w14:paraId="5032299C"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992" w:type="dxa"/>
          </w:tcPr>
          <w:p w14:paraId="2F7335FE"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c>
          <w:tcPr>
            <w:tcW w:w="284" w:type="dxa"/>
            <w:vMerge/>
          </w:tcPr>
          <w:p w14:paraId="71EB0F76"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1276" w:type="dxa"/>
          </w:tcPr>
          <w:p w14:paraId="61BD18E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3" w:type="dxa"/>
          </w:tcPr>
          <w:p w14:paraId="2E722E11"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1134" w:type="dxa"/>
          </w:tcPr>
          <w:p w14:paraId="6D5E0037"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r>
      <w:tr w:rsidR="00413B08" w:rsidRPr="00D0223B" w14:paraId="23317738"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A580AA7" w14:textId="77777777" w:rsidR="00413B08" w:rsidRPr="00D0223B" w:rsidRDefault="00413B08" w:rsidP="00D34244">
            <w:pPr>
              <w:spacing w:line="480" w:lineRule="auto"/>
              <w:jc w:val="both"/>
              <w:rPr>
                <w:rFonts w:cs="Arial"/>
                <w:b w:val="0"/>
                <w:sz w:val="24"/>
                <w:szCs w:val="24"/>
              </w:rPr>
            </w:pPr>
            <w:r w:rsidRPr="00D0223B">
              <w:rPr>
                <w:rFonts w:cs="Arial"/>
                <w:sz w:val="24"/>
                <w:szCs w:val="24"/>
              </w:rPr>
              <w:t>Age (Per year increase)</w:t>
            </w:r>
          </w:p>
        </w:tc>
        <w:tc>
          <w:tcPr>
            <w:tcW w:w="1417" w:type="dxa"/>
          </w:tcPr>
          <w:p w14:paraId="7E9D8C5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1.00</w:t>
            </w:r>
          </w:p>
        </w:tc>
        <w:tc>
          <w:tcPr>
            <w:tcW w:w="1134" w:type="dxa"/>
          </w:tcPr>
          <w:p w14:paraId="7D1D15F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0.97-1.03</w:t>
            </w:r>
          </w:p>
        </w:tc>
        <w:tc>
          <w:tcPr>
            <w:tcW w:w="992" w:type="dxa"/>
          </w:tcPr>
          <w:p w14:paraId="5FE02EB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w:t>
            </w:r>
          </w:p>
        </w:tc>
        <w:tc>
          <w:tcPr>
            <w:tcW w:w="284" w:type="dxa"/>
            <w:vMerge/>
          </w:tcPr>
          <w:p w14:paraId="366C42A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7245A7E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1.00</w:t>
            </w:r>
          </w:p>
        </w:tc>
        <w:tc>
          <w:tcPr>
            <w:tcW w:w="1133" w:type="dxa"/>
          </w:tcPr>
          <w:p w14:paraId="7548363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0.97-1.03</w:t>
            </w:r>
          </w:p>
        </w:tc>
        <w:tc>
          <w:tcPr>
            <w:tcW w:w="1134" w:type="dxa"/>
          </w:tcPr>
          <w:p w14:paraId="6E53E2D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w:t>
            </w:r>
          </w:p>
        </w:tc>
      </w:tr>
      <w:tr w:rsidR="00413B08" w:rsidRPr="00D0223B" w14:paraId="7C9AA8BA"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3BB76C98" w14:textId="77777777" w:rsidR="00413B08" w:rsidRPr="00D0223B" w:rsidRDefault="00413B08" w:rsidP="00D34244">
            <w:pPr>
              <w:spacing w:line="480" w:lineRule="auto"/>
              <w:jc w:val="both"/>
              <w:rPr>
                <w:rFonts w:cs="Arial"/>
                <w:b w:val="0"/>
                <w:sz w:val="24"/>
                <w:szCs w:val="24"/>
              </w:rPr>
            </w:pPr>
            <w:r w:rsidRPr="00D0223B">
              <w:rPr>
                <w:rFonts w:cs="Arial"/>
                <w:sz w:val="24"/>
                <w:szCs w:val="24"/>
              </w:rPr>
              <w:t>Gender</w:t>
            </w:r>
          </w:p>
        </w:tc>
        <w:tc>
          <w:tcPr>
            <w:tcW w:w="1417" w:type="dxa"/>
          </w:tcPr>
          <w:p w14:paraId="06CDE77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2435E82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4317AF7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7EB2D11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2D0BC13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3" w:type="dxa"/>
          </w:tcPr>
          <w:p w14:paraId="3700F40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3A9EE3E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19E58D60"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447D929"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Male</w:t>
            </w:r>
          </w:p>
        </w:tc>
        <w:tc>
          <w:tcPr>
            <w:tcW w:w="1417" w:type="dxa"/>
          </w:tcPr>
          <w:p w14:paraId="6362E1D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637E0CA7"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75B85AE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3C85246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5AD1F88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3" w:type="dxa"/>
          </w:tcPr>
          <w:p w14:paraId="44392C7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606B92A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69E1761F"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166D4FA7"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Female</w:t>
            </w:r>
          </w:p>
        </w:tc>
        <w:tc>
          <w:tcPr>
            <w:tcW w:w="1417" w:type="dxa"/>
          </w:tcPr>
          <w:p w14:paraId="7A9580D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1.27</w:t>
            </w:r>
          </w:p>
        </w:tc>
        <w:tc>
          <w:tcPr>
            <w:tcW w:w="1134" w:type="dxa"/>
          </w:tcPr>
          <w:p w14:paraId="547CF41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0.83-1.96</w:t>
            </w:r>
          </w:p>
        </w:tc>
        <w:tc>
          <w:tcPr>
            <w:tcW w:w="992" w:type="dxa"/>
          </w:tcPr>
          <w:p w14:paraId="58AD593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0.28</w:t>
            </w:r>
          </w:p>
        </w:tc>
        <w:tc>
          <w:tcPr>
            <w:tcW w:w="284" w:type="dxa"/>
            <w:vMerge/>
          </w:tcPr>
          <w:p w14:paraId="0D458A8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3FDFF8D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1.32</w:t>
            </w:r>
          </w:p>
        </w:tc>
        <w:tc>
          <w:tcPr>
            <w:tcW w:w="1133" w:type="dxa"/>
          </w:tcPr>
          <w:p w14:paraId="0E5A38D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0.86-2.05</w:t>
            </w:r>
          </w:p>
        </w:tc>
        <w:tc>
          <w:tcPr>
            <w:tcW w:w="1134" w:type="dxa"/>
          </w:tcPr>
          <w:p w14:paraId="364400D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0.21</w:t>
            </w:r>
          </w:p>
        </w:tc>
      </w:tr>
      <w:tr w:rsidR="00413B08" w:rsidRPr="00D0223B" w14:paraId="440D833F"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97D75AE" w14:textId="77777777" w:rsidR="00413B08" w:rsidRPr="00D0223B" w:rsidRDefault="00413B08" w:rsidP="00D34244">
            <w:pPr>
              <w:spacing w:line="480" w:lineRule="auto"/>
              <w:jc w:val="both"/>
              <w:rPr>
                <w:rFonts w:cs="Arial"/>
                <w:b w:val="0"/>
                <w:sz w:val="24"/>
                <w:szCs w:val="24"/>
              </w:rPr>
            </w:pPr>
            <w:r w:rsidRPr="00D0223B">
              <w:rPr>
                <w:rFonts w:cs="Arial"/>
                <w:sz w:val="24"/>
                <w:szCs w:val="24"/>
              </w:rPr>
              <w:t>Deprivation</w:t>
            </w:r>
          </w:p>
        </w:tc>
        <w:tc>
          <w:tcPr>
            <w:tcW w:w="1417" w:type="dxa"/>
          </w:tcPr>
          <w:p w14:paraId="2D1855B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199C846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24911F9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6E76B7F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5B7BF76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3" w:type="dxa"/>
          </w:tcPr>
          <w:p w14:paraId="3DCE729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340F250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74E305DC"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5570D6B6"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5 (least deprived)</w:t>
            </w:r>
          </w:p>
        </w:tc>
        <w:tc>
          <w:tcPr>
            <w:tcW w:w="1417" w:type="dxa"/>
          </w:tcPr>
          <w:p w14:paraId="64E9E14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7B734BF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1136E66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b/>
                <w:sz w:val="24"/>
                <w:szCs w:val="24"/>
                <w:lang w:val="en-GB"/>
              </w:rPr>
            </w:pPr>
            <w:r w:rsidRPr="00D0223B">
              <w:rPr>
                <w:rFonts w:eastAsiaTheme="minorHAnsi" w:cs="Arial"/>
                <w:b/>
                <w:sz w:val="24"/>
                <w:szCs w:val="24"/>
                <w:lang w:val="en-GB"/>
              </w:rPr>
              <w:t>0.049</w:t>
            </w:r>
          </w:p>
        </w:tc>
        <w:tc>
          <w:tcPr>
            <w:tcW w:w="284" w:type="dxa"/>
            <w:vMerge/>
          </w:tcPr>
          <w:p w14:paraId="0232C26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7057FAD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3" w:type="dxa"/>
          </w:tcPr>
          <w:p w14:paraId="7A3E469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4227332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0.066</w:t>
            </w:r>
          </w:p>
        </w:tc>
      </w:tr>
      <w:tr w:rsidR="00413B08" w:rsidRPr="00D0223B" w14:paraId="2E65166D"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464B1D2"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1 (most deprived)</w:t>
            </w:r>
          </w:p>
        </w:tc>
        <w:tc>
          <w:tcPr>
            <w:tcW w:w="1417" w:type="dxa"/>
          </w:tcPr>
          <w:p w14:paraId="6606AA8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2.80</w:t>
            </w:r>
          </w:p>
        </w:tc>
        <w:tc>
          <w:tcPr>
            <w:tcW w:w="1134" w:type="dxa"/>
          </w:tcPr>
          <w:p w14:paraId="28C8730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1.21-6.47</w:t>
            </w:r>
          </w:p>
        </w:tc>
        <w:tc>
          <w:tcPr>
            <w:tcW w:w="992" w:type="dxa"/>
          </w:tcPr>
          <w:p w14:paraId="2CF0BA2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2A22BE1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11E25FB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2.61</w:t>
            </w:r>
          </w:p>
        </w:tc>
        <w:tc>
          <w:tcPr>
            <w:tcW w:w="1133" w:type="dxa"/>
          </w:tcPr>
          <w:p w14:paraId="347F3C5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1.10-6.19</w:t>
            </w:r>
          </w:p>
        </w:tc>
        <w:tc>
          <w:tcPr>
            <w:tcW w:w="1134" w:type="dxa"/>
          </w:tcPr>
          <w:p w14:paraId="103A79F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075430D2"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771A2172"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2</w:t>
            </w:r>
          </w:p>
        </w:tc>
        <w:tc>
          <w:tcPr>
            <w:tcW w:w="1417" w:type="dxa"/>
          </w:tcPr>
          <w:p w14:paraId="4082080D"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1.64</w:t>
            </w:r>
          </w:p>
        </w:tc>
        <w:tc>
          <w:tcPr>
            <w:tcW w:w="1134" w:type="dxa"/>
          </w:tcPr>
          <w:p w14:paraId="577BBB7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0.85-3.17</w:t>
            </w:r>
          </w:p>
        </w:tc>
        <w:tc>
          <w:tcPr>
            <w:tcW w:w="992" w:type="dxa"/>
          </w:tcPr>
          <w:p w14:paraId="40D33E1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0301AFE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72C5151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1.58</w:t>
            </w:r>
          </w:p>
        </w:tc>
        <w:tc>
          <w:tcPr>
            <w:tcW w:w="1133" w:type="dxa"/>
          </w:tcPr>
          <w:p w14:paraId="0DC60E3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0.81-3.09</w:t>
            </w:r>
          </w:p>
        </w:tc>
        <w:tc>
          <w:tcPr>
            <w:tcW w:w="1134" w:type="dxa"/>
          </w:tcPr>
          <w:p w14:paraId="021C00B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1D116B2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3E18E94"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3</w:t>
            </w:r>
          </w:p>
        </w:tc>
        <w:tc>
          <w:tcPr>
            <w:tcW w:w="1417" w:type="dxa"/>
          </w:tcPr>
          <w:p w14:paraId="3F27ADA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1.29</w:t>
            </w:r>
          </w:p>
        </w:tc>
        <w:tc>
          <w:tcPr>
            <w:tcW w:w="1134" w:type="dxa"/>
          </w:tcPr>
          <w:p w14:paraId="703CDD4A"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0.71-2.33</w:t>
            </w:r>
          </w:p>
        </w:tc>
        <w:tc>
          <w:tcPr>
            <w:tcW w:w="992" w:type="dxa"/>
          </w:tcPr>
          <w:p w14:paraId="6A025DF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77DC815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615B871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1.26</w:t>
            </w:r>
          </w:p>
        </w:tc>
        <w:tc>
          <w:tcPr>
            <w:tcW w:w="1133" w:type="dxa"/>
          </w:tcPr>
          <w:p w14:paraId="0F59F06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0.68-2.30</w:t>
            </w:r>
          </w:p>
        </w:tc>
        <w:tc>
          <w:tcPr>
            <w:tcW w:w="1134" w:type="dxa"/>
          </w:tcPr>
          <w:p w14:paraId="08681C4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FDC344A"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40482962"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 xml:space="preserve">Quintile 4 </w:t>
            </w:r>
          </w:p>
        </w:tc>
        <w:tc>
          <w:tcPr>
            <w:tcW w:w="1417" w:type="dxa"/>
          </w:tcPr>
          <w:p w14:paraId="2B685E4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1.86</w:t>
            </w:r>
          </w:p>
        </w:tc>
        <w:tc>
          <w:tcPr>
            <w:tcW w:w="1134" w:type="dxa"/>
          </w:tcPr>
          <w:p w14:paraId="5DF4D2A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1.12-3.09</w:t>
            </w:r>
          </w:p>
        </w:tc>
        <w:tc>
          <w:tcPr>
            <w:tcW w:w="992" w:type="dxa"/>
          </w:tcPr>
          <w:p w14:paraId="1442583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503F000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1BF0384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1.89</w:t>
            </w:r>
          </w:p>
        </w:tc>
        <w:tc>
          <w:tcPr>
            <w:tcW w:w="1133" w:type="dxa"/>
          </w:tcPr>
          <w:p w14:paraId="69AABBD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1.13-3.13</w:t>
            </w:r>
          </w:p>
        </w:tc>
        <w:tc>
          <w:tcPr>
            <w:tcW w:w="1134" w:type="dxa"/>
          </w:tcPr>
          <w:p w14:paraId="55F47FE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0F9DFFCD"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DCEAD29" w14:textId="77777777" w:rsidR="00413B08" w:rsidRPr="00D0223B" w:rsidRDefault="00413B08" w:rsidP="00D34244">
            <w:pPr>
              <w:spacing w:line="480" w:lineRule="auto"/>
              <w:jc w:val="both"/>
              <w:rPr>
                <w:rFonts w:cs="Arial"/>
                <w:b w:val="0"/>
                <w:sz w:val="24"/>
                <w:szCs w:val="24"/>
              </w:rPr>
            </w:pPr>
            <w:r w:rsidRPr="00D0223B">
              <w:rPr>
                <w:rFonts w:cs="Arial"/>
                <w:sz w:val="24"/>
                <w:szCs w:val="24"/>
              </w:rPr>
              <w:t>Distance</w:t>
            </w:r>
          </w:p>
        </w:tc>
        <w:tc>
          <w:tcPr>
            <w:tcW w:w="1417" w:type="dxa"/>
          </w:tcPr>
          <w:p w14:paraId="5CD5D32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1212C0D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Pr>
          <w:p w14:paraId="747D802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Pr>
          <w:p w14:paraId="0DAA35E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55E2C1B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3" w:type="dxa"/>
          </w:tcPr>
          <w:p w14:paraId="772FACA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Pr>
          <w:p w14:paraId="7AFE7A1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8B5699D"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3B6B074E" w14:textId="7046D43F" w:rsidR="00413B08" w:rsidRPr="00D0223B" w:rsidRDefault="00413B08" w:rsidP="00D34244">
            <w:pPr>
              <w:spacing w:line="480" w:lineRule="auto"/>
              <w:jc w:val="both"/>
              <w:rPr>
                <w:rFonts w:cs="Arial"/>
                <w:b w:val="0"/>
                <w:i/>
                <w:sz w:val="24"/>
                <w:szCs w:val="24"/>
              </w:rPr>
            </w:pPr>
            <w:r w:rsidRPr="00D0223B">
              <w:rPr>
                <w:rFonts w:cs="Arial"/>
                <w:b w:val="0"/>
                <w:i/>
                <w:sz w:val="24"/>
                <w:szCs w:val="24"/>
              </w:rPr>
              <w:lastRenderedPageBreak/>
              <w:t>Near to hospital (&lt;=10Km</w:t>
            </w:r>
            <w:r w:rsidR="00791B44">
              <w:rPr>
                <w:rStyle w:val="FootnoteReference"/>
                <w:rFonts w:cs="Arial"/>
                <w:b w:val="0"/>
                <w:i/>
                <w:sz w:val="24"/>
                <w:szCs w:val="24"/>
              </w:rPr>
              <w:footnoteReference w:id="5"/>
            </w:r>
            <w:r w:rsidRPr="00D0223B">
              <w:rPr>
                <w:rFonts w:cs="Arial"/>
                <w:b w:val="0"/>
                <w:i/>
                <w:sz w:val="24"/>
                <w:szCs w:val="24"/>
              </w:rPr>
              <w:t>)</w:t>
            </w:r>
          </w:p>
        </w:tc>
        <w:tc>
          <w:tcPr>
            <w:tcW w:w="1417" w:type="dxa"/>
          </w:tcPr>
          <w:p w14:paraId="14041F2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Pr>
          <w:p w14:paraId="7D2B7FD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08D369A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3189789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01E4574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3" w:type="dxa"/>
          </w:tcPr>
          <w:p w14:paraId="2FF4320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462F1E9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39CC0F0C"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2A16EF3"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Far from hospital (&gt;10Km)</w:t>
            </w:r>
          </w:p>
        </w:tc>
        <w:tc>
          <w:tcPr>
            <w:tcW w:w="1417" w:type="dxa"/>
          </w:tcPr>
          <w:p w14:paraId="062A1BA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0.77</w:t>
            </w:r>
          </w:p>
        </w:tc>
        <w:tc>
          <w:tcPr>
            <w:tcW w:w="1134" w:type="dxa"/>
          </w:tcPr>
          <w:p w14:paraId="1872773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0.51-1.15</w:t>
            </w:r>
          </w:p>
        </w:tc>
        <w:tc>
          <w:tcPr>
            <w:tcW w:w="992" w:type="dxa"/>
          </w:tcPr>
          <w:p w14:paraId="7A5411E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0.21</w:t>
            </w:r>
          </w:p>
        </w:tc>
        <w:tc>
          <w:tcPr>
            <w:tcW w:w="284" w:type="dxa"/>
            <w:vMerge/>
          </w:tcPr>
          <w:p w14:paraId="064067F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276" w:type="dxa"/>
          </w:tcPr>
          <w:p w14:paraId="6FE1F74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0.85</w:t>
            </w:r>
          </w:p>
        </w:tc>
        <w:tc>
          <w:tcPr>
            <w:tcW w:w="1133" w:type="dxa"/>
          </w:tcPr>
          <w:p w14:paraId="4AD92D1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0.56-1.30</w:t>
            </w:r>
          </w:p>
        </w:tc>
        <w:tc>
          <w:tcPr>
            <w:tcW w:w="1134" w:type="dxa"/>
          </w:tcPr>
          <w:p w14:paraId="08A4EAB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0.46</w:t>
            </w:r>
          </w:p>
        </w:tc>
      </w:tr>
      <w:tr w:rsidR="00413B08" w:rsidRPr="00D0223B" w14:paraId="4DD083C3" w14:textId="77777777" w:rsidTr="00DD2237">
        <w:tc>
          <w:tcPr>
            <w:cnfStyle w:val="001000000000" w:firstRow="0" w:lastRow="0" w:firstColumn="1" w:lastColumn="0" w:oddVBand="0" w:evenVBand="0" w:oddHBand="0" w:evenHBand="0" w:firstRowFirstColumn="0" w:firstRowLastColumn="0" w:lastRowFirstColumn="0" w:lastRowLastColumn="0"/>
            <w:tcW w:w="2553" w:type="dxa"/>
          </w:tcPr>
          <w:p w14:paraId="646A002C" w14:textId="77777777" w:rsidR="00413B08" w:rsidRPr="00D0223B" w:rsidRDefault="00413B08" w:rsidP="00D34244">
            <w:pPr>
              <w:spacing w:line="480" w:lineRule="auto"/>
              <w:ind w:left="720"/>
              <w:jc w:val="both"/>
              <w:rPr>
                <w:rFonts w:cs="Arial"/>
                <w:b w:val="0"/>
                <w:sz w:val="24"/>
                <w:szCs w:val="24"/>
              </w:rPr>
            </w:pPr>
          </w:p>
        </w:tc>
        <w:tc>
          <w:tcPr>
            <w:tcW w:w="1417" w:type="dxa"/>
          </w:tcPr>
          <w:p w14:paraId="5195766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6DEBD56F"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Pr>
          <w:p w14:paraId="0B67EDE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Pr>
          <w:p w14:paraId="2D1D693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276" w:type="dxa"/>
          </w:tcPr>
          <w:p w14:paraId="5C5B323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3" w:type="dxa"/>
          </w:tcPr>
          <w:p w14:paraId="31A20E6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Pr>
          <w:p w14:paraId="310FFFA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bl>
    <w:p w14:paraId="535BA99A" w14:textId="77777777" w:rsidR="00413B08" w:rsidRPr="00D0223B" w:rsidRDefault="00413B08" w:rsidP="00D34244">
      <w:pPr>
        <w:spacing w:after="0" w:line="480" w:lineRule="auto"/>
        <w:rPr>
          <w:rFonts w:cs="Arial"/>
          <w:b/>
          <w:bCs/>
          <w:sz w:val="24"/>
          <w:szCs w:val="24"/>
        </w:rPr>
      </w:pPr>
      <w:r w:rsidRPr="00D0223B">
        <w:rPr>
          <w:rFonts w:cs="Arial"/>
          <w:b/>
          <w:bCs/>
          <w:sz w:val="24"/>
          <w:szCs w:val="24"/>
        </w:rPr>
        <w:t>OR=Odds Ratio; P-values from Logistic regression model</w:t>
      </w:r>
    </w:p>
    <w:p w14:paraId="24254661" w14:textId="6234EA4B" w:rsidR="00413B08" w:rsidRDefault="00413B08" w:rsidP="00D34244">
      <w:pPr>
        <w:widowControl w:val="0"/>
        <w:autoSpaceDE w:val="0"/>
        <w:autoSpaceDN w:val="0"/>
        <w:adjustRightInd w:val="0"/>
        <w:spacing w:line="480" w:lineRule="auto"/>
        <w:ind w:left="640" w:hanging="640"/>
        <w:rPr>
          <w:rFonts w:cs="Arial"/>
          <w:sz w:val="18"/>
          <w:szCs w:val="18"/>
        </w:rPr>
      </w:pPr>
    </w:p>
    <w:p w14:paraId="230D3C14" w14:textId="5EB6A8CB" w:rsidR="00413B08" w:rsidRDefault="00413B08" w:rsidP="00D34244">
      <w:pPr>
        <w:widowControl w:val="0"/>
        <w:autoSpaceDE w:val="0"/>
        <w:autoSpaceDN w:val="0"/>
        <w:adjustRightInd w:val="0"/>
        <w:spacing w:line="480" w:lineRule="auto"/>
        <w:ind w:left="640" w:hanging="640"/>
        <w:rPr>
          <w:rFonts w:cs="Arial"/>
          <w:sz w:val="18"/>
          <w:szCs w:val="18"/>
        </w:rPr>
      </w:pPr>
    </w:p>
    <w:p w14:paraId="20765861" w14:textId="3D6DFACF" w:rsidR="00413B08" w:rsidRDefault="00413B08" w:rsidP="00D34244">
      <w:pPr>
        <w:widowControl w:val="0"/>
        <w:autoSpaceDE w:val="0"/>
        <w:autoSpaceDN w:val="0"/>
        <w:adjustRightInd w:val="0"/>
        <w:spacing w:line="480" w:lineRule="auto"/>
        <w:ind w:left="640" w:hanging="640"/>
        <w:rPr>
          <w:rFonts w:cs="Arial"/>
          <w:sz w:val="18"/>
          <w:szCs w:val="18"/>
        </w:rPr>
      </w:pPr>
    </w:p>
    <w:p w14:paraId="3F3BACF4" w14:textId="1EAE9787" w:rsidR="00413B08" w:rsidRDefault="00413B08" w:rsidP="00D34244">
      <w:pPr>
        <w:widowControl w:val="0"/>
        <w:autoSpaceDE w:val="0"/>
        <w:autoSpaceDN w:val="0"/>
        <w:adjustRightInd w:val="0"/>
        <w:spacing w:line="480" w:lineRule="auto"/>
        <w:ind w:left="640" w:hanging="640"/>
        <w:rPr>
          <w:rFonts w:cs="Arial"/>
          <w:sz w:val="18"/>
          <w:szCs w:val="18"/>
        </w:rPr>
      </w:pPr>
    </w:p>
    <w:p w14:paraId="2AF7D44F" w14:textId="099BB807" w:rsidR="00413B08" w:rsidRDefault="00413B08" w:rsidP="00D34244">
      <w:pPr>
        <w:widowControl w:val="0"/>
        <w:autoSpaceDE w:val="0"/>
        <w:autoSpaceDN w:val="0"/>
        <w:adjustRightInd w:val="0"/>
        <w:spacing w:line="480" w:lineRule="auto"/>
        <w:ind w:left="640" w:hanging="640"/>
        <w:rPr>
          <w:rFonts w:cs="Arial"/>
          <w:sz w:val="18"/>
          <w:szCs w:val="18"/>
        </w:rPr>
      </w:pPr>
    </w:p>
    <w:p w14:paraId="35EF8C8E" w14:textId="131760F4" w:rsidR="00413B08" w:rsidRDefault="00413B08" w:rsidP="00D34244">
      <w:pPr>
        <w:widowControl w:val="0"/>
        <w:autoSpaceDE w:val="0"/>
        <w:autoSpaceDN w:val="0"/>
        <w:adjustRightInd w:val="0"/>
        <w:spacing w:line="480" w:lineRule="auto"/>
        <w:ind w:left="640" w:hanging="640"/>
        <w:rPr>
          <w:rFonts w:cs="Arial"/>
          <w:sz w:val="18"/>
          <w:szCs w:val="18"/>
        </w:rPr>
      </w:pPr>
    </w:p>
    <w:p w14:paraId="02EF191B" w14:textId="0962FDF8" w:rsidR="00413B08" w:rsidRDefault="00413B08" w:rsidP="00D34244">
      <w:pPr>
        <w:widowControl w:val="0"/>
        <w:autoSpaceDE w:val="0"/>
        <w:autoSpaceDN w:val="0"/>
        <w:adjustRightInd w:val="0"/>
        <w:spacing w:line="480" w:lineRule="auto"/>
        <w:ind w:left="640" w:hanging="640"/>
        <w:rPr>
          <w:rFonts w:cs="Arial"/>
          <w:sz w:val="18"/>
          <w:szCs w:val="18"/>
        </w:rPr>
      </w:pPr>
    </w:p>
    <w:p w14:paraId="35B5D22F" w14:textId="73A16489" w:rsidR="00413B08" w:rsidRDefault="00413B08" w:rsidP="00D34244">
      <w:pPr>
        <w:widowControl w:val="0"/>
        <w:autoSpaceDE w:val="0"/>
        <w:autoSpaceDN w:val="0"/>
        <w:adjustRightInd w:val="0"/>
        <w:spacing w:line="480" w:lineRule="auto"/>
        <w:ind w:left="640" w:hanging="640"/>
        <w:rPr>
          <w:rFonts w:cs="Arial"/>
          <w:sz w:val="18"/>
          <w:szCs w:val="18"/>
        </w:rPr>
      </w:pPr>
    </w:p>
    <w:p w14:paraId="119ACE7D" w14:textId="1ACBF663" w:rsidR="00413B08" w:rsidRDefault="00413B08" w:rsidP="00D34244">
      <w:pPr>
        <w:widowControl w:val="0"/>
        <w:autoSpaceDE w:val="0"/>
        <w:autoSpaceDN w:val="0"/>
        <w:adjustRightInd w:val="0"/>
        <w:spacing w:line="480" w:lineRule="auto"/>
        <w:ind w:left="640" w:hanging="640"/>
        <w:rPr>
          <w:rFonts w:cs="Arial"/>
          <w:sz w:val="18"/>
          <w:szCs w:val="18"/>
        </w:rPr>
      </w:pPr>
    </w:p>
    <w:p w14:paraId="1DB8051D" w14:textId="6C91B391" w:rsidR="00413B08" w:rsidRDefault="00413B08" w:rsidP="00D34244">
      <w:pPr>
        <w:widowControl w:val="0"/>
        <w:autoSpaceDE w:val="0"/>
        <w:autoSpaceDN w:val="0"/>
        <w:adjustRightInd w:val="0"/>
        <w:spacing w:line="480" w:lineRule="auto"/>
        <w:ind w:left="640" w:hanging="640"/>
        <w:rPr>
          <w:rFonts w:cs="Arial"/>
          <w:sz w:val="18"/>
          <w:szCs w:val="18"/>
        </w:rPr>
      </w:pPr>
    </w:p>
    <w:p w14:paraId="2CA2AF72" w14:textId="12B53AD8" w:rsidR="00413B08" w:rsidRDefault="00413B08" w:rsidP="00D34244">
      <w:pPr>
        <w:widowControl w:val="0"/>
        <w:autoSpaceDE w:val="0"/>
        <w:autoSpaceDN w:val="0"/>
        <w:adjustRightInd w:val="0"/>
        <w:spacing w:line="480" w:lineRule="auto"/>
        <w:ind w:left="640" w:hanging="640"/>
        <w:rPr>
          <w:rFonts w:cs="Arial"/>
          <w:sz w:val="18"/>
          <w:szCs w:val="18"/>
        </w:rPr>
      </w:pPr>
    </w:p>
    <w:p w14:paraId="4D9F23F2" w14:textId="66D85DEF" w:rsidR="00413B08" w:rsidRDefault="00413B08" w:rsidP="00D34244">
      <w:pPr>
        <w:widowControl w:val="0"/>
        <w:autoSpaceDE w:val="0"/>
        <w:autoSpaceDN w:val="0"/>
        <w:adjustRightInd w:val="0"/>
        <w:spacing w:line="480" w:lineRule="auto"/>
        <w:ind w:left="640" w:hanging="640"/>
        <w:rPr>
          <w:rFonts w:cs="Arial"/>
          <w:sz w:val="18"/>
          <w:szCs w:val="18"/>
        </w:rPr>
      </w:pPr>
    </w:p>
    <w:p w14:paraId="15987B16" w14:textId="1787C147" w:rsidR="00413B08" w:rsidRDefault="00413B08" w:rsidP="00D34244">
      <w:pPr>
        <w:widowControl w:val="0"/>
        <w:autoSpaceDE w:val="0"/>
        <w:autoSpaceDN w:val="0"/>
        <w:adjustRightInd w:val="0"/>
        <w:spacing w:line="480" w:lineRule="auto"/>
        <w:ind w:left="640" w:hanging="640"/>
        <w:rPr>
          <w:rFonts w:cs="Arial"/>
          <w:sz w:val="18"/>
          <w:szCs w:val="18"/>
        </w:rPr>
      </w:pPr>
    </w:p>
    <w:p w14:paraId="4E0E82E1" w14:textId="6FEB3BA3" w:rsidR="00413B08" w:rsidRDefault="00413B08" w:rsidP="00D34244">
      <w:pPr>
        <w:widowControl w:val="0"/>
        <w:autoSpaceDE w:val="0"/>
        <w:autoSpaceDN w:val="0"/>
        <w:adjustRightInd w:val="0"/>
        <w:spacing w:line="480" w:lineRule="auto"/>
        <w:ind w:left="640" w:hanging="640"/>
        <w:rPr>
          <w:rFonts w:cs="Arial"/>
          <w:sz w:val="18"/>
          <w:szCs w:val="18"/>
        </w:rPr>
      </w:pPr>
    </w:p>
    <w:p w14:paraId="1796D84C" w14:textId="2F6B0988" w:rsidR="00413B08" w:rsidRPr="00D0223B" w:rsidRDefault="00413B08" w:rsidP="00D34244">
      <w:pPr>
        <w:pStyle w:val="Caption"/>
        <w:keepNext/>
        <w:spacing w:line="480" w:lineRule="auto"/>
        <w:rPr>
          <w:color w:val="auto"/>
          <w:sz w:val="24"/>
          <w:szCs w:val="24"/>
        </w:rPr>
      </w:pPr>
      <w:r w:rsidRPr="00D0223B">
        <w:rPr>
          <w:color w:val="auto"/>
          <w:sz w:val="24"/>
          <w:szCs w:val="24"/>
        </w:rPr>
        <w:lastRenderedPageBreak/>
        <w:t xml:space="preserve">Table 4-Negative treatment outcome (deteriorated </w:t>
      </w:r>
      <w:r w:rsidR="00791B44">
        <w:rPr>
          <w:color w:val="auto"/>
          <w:sz w:val="24"/>
          <w:szCs w:val="24"/>
        </w:rPr>
        <w:t>visual acuity</w:t>
      </w:r>
      <w:r w:rsidRPr="00D0223B">
        <w:rPr>
          <w:color w:val="auto"/>
          <w:sz w:val="24"/>
          <w:szCs w:val="24"/>
        </w:rPr>
        <w:t xml:space="preserve"> after latest follow-up)</w:t>
      </w:r>
    </w:p>
    <w:tbl>
      <w:tblPr>
        <w:tblStyle w:val="GridTable2-Accent61"/>
        <w:tblW w:w="9780" w:type="dxa"/>
        <w:tblLayout w:type="fixed"/>
        <w:tblLook w:val="04A0" w:firstRow="1" w:lastRow="0" w:firstColumn="1" w:lastColumn="0" w:noHBand="0" w:noVBand="1"/>
      </w:tblPr>
      <w:tblGrid>
        <w:gridCol w:w="2551"/>
        <w:gridCol w:w="1417"/>
        <w:gridCol w:w="1134"/>
        <w:gridCol w:w="992"/>
        <w:gridCol w:w="284"/>
        <w:gridCol w:w="1276"/>
        <w:gridCol w:w="1134"/>
        <w:gridCol w:w="992"/>
      </w:tblGrid>
      <w:tr w:rsidR="00413B08" w:rsidRPr="00D0223B" w14:paraId="0FFE36CA" w14:textId="77777777" w:rsidTr="00DD2237">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9782" w:type="dxa"/>
            <w:gridSpan w:val="8"/>
            <w:tcBorders>
              <w:left w:val="nil"/>
              <w:right w:val="nil"/>
            </w:tcBorders>
          </w:tcPr>
          <w:p w14:paraId="10F4877B" w14:textId="77777777" w:rsidR="00413B08" w:rsidRPr="00D0223B" w:rsidRDefault="00413B08" w:rsidP="00D34244">
            <w:pPr>
              <w:spacing w:line="480" w:lineRule="auto"/>
              <w:rPr>
                <w:rFonts w:cs="Arial"/>
                <w:sz w:val="24"/>
                <w:szCs w:val="24"/>
              </w:rPr>
            </w:pPr>
          </w:p>
        </w:tc>
      </w:tr>
      <w:tr w:rsidR="00413B08" w:rsidRPr="00D0223B" w14:paraId="4709E560"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tcPr>
          <w:p w14:paraId="2688AEF3"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3543" w:type="dxa"/>
            <w:gridSpan w:val="3"/>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4AC6E0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Univariate</w:t>
            </w:r>
          </w:p>
        </w:tc>
        <w:tc>
          <w:tcPr>
            <w:tcW w:w="284" w:type="dxa"/>
            <w:vMerge w:val="restart"/>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605677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402" w:type="dxa"/>
            <w:gridSpan w:val="3"/>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585EC71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u w:val="single"/>
              </w:rPr>
            </w:pPr>
            <w:r w:rsidRPr="00D0223B">
              <w:rPr>
                <w:rFonts w:cs="Arial"/>
                <w:b/>
                <w:sz w:val="24"/>
                <w:szCs w:val="24"/>
                <w:u w:val="single"/>
              </w:rPr>
              <w:t>Multivariate</w:t>
            </w:r>
          </w:p>
        </w:tc>
      </w:tr>
      <w:tr w:rsidR="00413B08" w:rsidRPr="00D0223B" w14:paraId="370A306C"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tcPr>
          <w:p w14:paraId="61B16A0A" w14:textId="77777777" w:rsidR="00413B08" w:rsidRPr="00D0223B" w:rsidRDefault="00413B08" w:rsidP="00D34244">
            <w:pPr>
              <w:spacing w:line="480" w:lineRule="auto"/>
              <w:rPr>
                <w:rFonts w:cs="Arial"/>
                <w:caps/>
                <w:sz w:val="24"/>
                <w:szCs w:val="24"/>
                <w14:textOutline w14:w="9525" w14:cap="rnd" w14:cmpd="sng" w14:algn="ctr">
                  <w14:solidFill>
                    <w14:schemeClr w14:val="bg2">
                      <w14:lumMod w14:val="75000"/>
                    </w14:schemeClr>
                  </w14:solidFill>
                  <w14:prstDash w14:val="solid"/>
                  <w14:bevel/>
                </w14:textOutline>
              </w:rPr>
            </w:pP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E3DFD7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B3287EA"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C94FE3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3AEA4905"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49001D02"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Odds Ratio</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465A78D"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(95 % CI)</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6AD98D2F"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D0223B">
              <w:rPr>
                <w:rFonts w:cs="Arial"/>
                <w:b/>
                <w:sz w:val="24"/>
                <w:szCs w:val="24"/>
              </w:rPr>
              <w:t>P-Value</w:t>
            </w:r>
          </w:p>
        </w:tc>
      </w:tr>
      <w:tr w:rsidR="00413B08" w:rsidRPr="00D0223B" w14:paraId="2C2BF4F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1CF06BE3" w14:textId="77777777" w:rsidR="00413B08" w:rsidRPr="00D0223B" w:rsidRDefault="00413B08" w:rsidP="00D34244">
            <w:pPr>
              <w:spacing w:line="480" w:lineRule="auto"/>
              <w:jc w:val="both"/>
              <w:rPr>
                <w:rFonts w:cs="Arial"/>
                <w:b w:val="0"/>
                <w:sz w:val="24"/>
                <w:szCs w:val="24"/>
              </w:rPr>
            </w:pPr>
            <w:r w:rsidRPr="00D0223B">
              <w:rPr>
                <w:rFonts w:cs="Arial"/>
                <w:sz w:val="24"/>
                <w:szCs w:val="24"/>
              </w:rPr>
              <w:t>Age (Per year increase)</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4E67B65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BCAD70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0.96-1.02</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FA84D4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0.59</w:t>
            </w: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66A9BB4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1882001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0.99</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4E492FE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0.96-1.02</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68C0167F"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0.53</w:t>
            </w:r>
          </w:p>
        </w:tc>
      </w:tr>
      <w:tr w:rsidR="00413B08" w:rsidRPr="00D0223B" w14:paraId="3D0F0D25"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2D612748" w14:textId="77777777" w:rsidR="00413B08" w:rsidRPr="00D0223B" w:rsidRDefault="00413B08" w:rsidP="00D34244">
            <w:pPr>
              <w:spacing w:line="480" w:lineRule="auto"/>
              <w:jc w:val="both"/>
              <w:rPr>
                <w:rFonts w:cs="Arial"/>
                <w:b w:val="0"/>
                <w:sz w:val="24"/>
                <w:szCs w:val="24"/>
              </w:rPr>
            </w:pPr>
            <w:r w:rsidRPr="00D0223B">
              <w:rPr>
                <w:rFonts w:cs="Arial"/>
                <w:sz w:val="24"/>
                <w:szCs w:val="24"/>
              </w:rPr>
              <w:t>Gender</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032CCB8D"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6889A44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036F4F2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603B2C41"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591DAB3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623DD1D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78A7164A"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50CCEBF9"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05780C74"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Male</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982609B"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9C1096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0D9382C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6F0BC5A8"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1AAA9E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7B45D88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41901D9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44C84C5"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6085846D"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Female</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D3622AF"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1.18</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0DD92A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0.72-1.94</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F4FECE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0.51</w:t>
            </w: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68404AC2"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0580E39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1.22</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CA8265F"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0.74-2.02</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19D4D06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0.44</w:t>
            </w:r>
          </w:p>
        </w:tc>
      </w:tr>
      <w:tr w:rsidR="00413B08" w:rsidRPr="00D0223B" w14:paraId="3D183652"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568E429F" w14:textId="77777777" w:rsidR="00413B08" w:rsidRPr="00D0223B" w:rsidRDefault="00413B08" w:rsidP="00D34244">
            <w:pPr>
              <w:spacing w:line="480" w:lineRule="auto"/>
              <w:jc w:val="both"/>
              <w:rPr>
                <w:rFonts w:cs="Arial"/>
                <w:b w:val="0"/>
                <w:sz w:val="24"/>
                <w:szCs w:val="24"/>
              </w:rPr>
            </w:pPr>
            <w:r w:rsidRPr="00D0223B">
              <w:rPr>
                <w:rFonts w:cs="Arial"/>
                <w:sz w:val="24"/>
                <w:szCs w:val="24"/>
              </w:rPr>
              <w:t>Deprivation</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2A9EAB6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24232A0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740FEF3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2258CBF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3950151"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6606AA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7BE9380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194CDB89"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64E8BB55"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5 (least deprived)</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4F679A06"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548CB27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4A77AB7"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0.61</w:t>
            </w: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181B7F25"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1E97EE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25B6B3FF"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6D24012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0.57</w:t>
            </w:r>
          </w:p>
        </w:tc>
      </w:tr>
      <w:tr w:rsidR="00413B08" w:rsidRPr="00D0223B" w14:paraId="67641E0B"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348ECA3F"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Quintile 1 (most deprived)</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4F1A48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0.69</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542DB57"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0.24-1.98</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10E566D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4BA6C522"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7E5755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0.63</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18D2F867"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0.21-1.8</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7090359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53CA0820"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06E17D84"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2</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1398EB8D"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1.82</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C91355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0.73-4.53</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19B868D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529B6503"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E7EFA8F"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1.73</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85F0AF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0.68-4.39</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513405A9"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799C86CC"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08A68467"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Quintile 3</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7320F8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1.01</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68B6D8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0.53-1.95</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3DF60E6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2392E234"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4FCB07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0.96</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D0BB62D"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0.49-1.88</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4558C57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07282DEA"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04EC4A22" w14:textId="77777777" w:rsidR="00413B08" w:rsidRPr="00D0223B" w:rsidRDefault="00413B08" w:rsidP="00D34244">
            <w:pPr>
              <w:spacing w:line="480" w:lineRule="auto"/>
              <w:jc w:val="both"/>
              <w:rPr>
                <w:rFonts w:cs="Arial"/>
                <w:i/>
                <w:sz w:val="24"/>
                <w:szCs w:val="24"/>
              </w:rPr>
            </w:pPr>
            <w:r w:rsidRPr="00D0223B">
              <w:rPr>
                <w:rFonts w:cs="Arial"/>
                <w:b w:val="0"/>
                <w:i/>
                <w:sz w:val="24"/>
                <w:szCs w:val="24"/>
              </w:rPr>
              <w:t xml:space="preserve">Quintile 4 </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77E49DF0"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1.21</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188C0B1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0.66-2.23</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F92DBA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5001957F"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67D0FE54"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1.24</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7B9CA8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0.67-2.29</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0D9ACFF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33399EA5"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2B7629EC" w14:textId="77777777" w:rsidR="00413B08" w:rsidRPr="00D0223B" w:rsidRDefault="00413B08" w:rsidP="00D34244">
            <w:pPr>
              <w:spacing w:line="480" w:lineRule="auto"/>
              <w:jc w:val="both"/>
              <w:rPr>
                <w:rFonts w:cs="Arial"/>
                <w:b w:val="0"/>
                <w:sz w:val="24"/>
                <w:szCs w:val="24"/>
              </w:rPr>
            </w:pPr>
            <w:r w:rsidRPr="00D0223B">
              <w:rPr>
                <w:rFonts w:cs="Arial"/>
                <w:sz w:val="24"/>
                <w:szCs w:val="24"/>
              </w:rPr>
              <w:lastRenderedPageBreak/>
              <w:t>Distance</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6F331A40"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1682E916"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3734B0C2"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7B6DCC0E"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3E3A1D29"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567D9345"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2A87B50E"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p>
        </w:tc>
      </w:tr>
      <w:tr w:rsidR="00413B08" w:rsidRPr="00D0223B" w14:paraId="24D0B0CB"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44880180" w14:textId="2267F2C7" w:rsidR="00413B08" w:rsidRPr="00D0223B" w:rsidRDefault="00413B08" w:rsidP="00D34244">
            <w:pPr>
              <w:spacing w:line="480" w:lineRule="auto"/>
              <w:jc w:val="both"/>
              <w:rPr>
                <w:rFonts w:cs="Arial"/>
                <w:b w:val="0"/>
                <w:i/>
                <w:sz w:val="24"/>
                <w:szCs w:val="24"/>
              </w:rPr>
            </w:pPr>
            <w:r w:rsidRPr="00D0223B">
              <w:rPr>
                <w:rFonts w:cs="Arial"/>
                <w:b w:val="0"/>
                <w:i/>
                <w:sz w:val="24"/>
                <w:szCs w:val="24"/>
              </w:rPr>
              <w:t>Near to hospital (&lt;=10Km</w:t>
            </w:r>
            <w:r w:rsidR="00791B44">
              <w:rPr>
                <w:rStyle w:val="FootnoteReference"/>
                <w:rFonts w:cs="Arial"/>
                <w:b w:val="0"/>
                <w:i/>
                <w:sz w:val="24"/>
                <w:szCs w:val="24"/>
              </w:rPr>
              <w:footnoteReference w:id="6"/>
            </w:r>
            <w:r w:rsidRPr="00D0223B">
              <w:rPr>
                <w:rFonts w:cs="Arial"/>
                <w:b w:val="0"/>
                <w:i/>
                <w:sz w:val="24"/>
                <w:szCs w:val="24"/>
              </w:rPr>
              <w:t>)</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0AE5202"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2A8CEDA5"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7B85A16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508D59FC"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9C1FEA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Ref</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0253FC6E"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6B07C9AC"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r w:rsidR="00413B08" w:rsidRPr="00D0223B" w14:paraId="524484FB" w14:textId="77777777" w:rsidTr="00DD2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hideMark/>
          </w:tcPr>
          <w:p w14:paraId="751B161D" w14:textId="77777777" w:rsidR="00413B08" w:rsidRPr="00D0223B" w:rsidRDefault="00413B08" w:rsidP="00D34244">
            <w:pPr>
              <w:spacing w:line="480" w:lineRule="auto"/>
              <w:jc w:val="both"/>
              <w:rPr>
                <w:rFonts w:cs="Arial"/>
                <w:b w:val="0"/>
                <w:i/>
                <w:sz w:val="24"/>
                <w:szCs w:val="24"/>
              </w:rPr>
            </w:pPr>
            <w:r w:rsidRPr="00D0223B">
              <w:rPr>
                <w:rFonts w:cs="Arial"/>
                <w:b w:val="0"/>
                <w:i/>
                <w:sz w:val="24"/>
                <w:szCs w:val="24"/>
              </w:rPr>
              <w:t>Far from hospital (&gt;10Km)</w:t>
            </w: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B2C437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0.84</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5C25A3B8"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0.52-1.34</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2B06A21C"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0.46</w:t>
            </w: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3885E4F6" w14:textId="77777777" w:rsidR="00413B08" w:rsidRPr="00D0223B" w:rsidRDefault="00413B08" w:rsidP="00D34244">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03AD9494"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0.84</w:t>
            </w: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hideMark/>
          </w:tcPr>
          <w:p w14:paraId="352991C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0.51-1.38</w:t>
            </w: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hideMark/>
          </w:tcPr>
          <w:p w14:paraId="16C9AED3" w14:textId="77777777" w:rsidR="00413B08" w:rsidRPr="00D0223B" w:rsidRDefault="00413B08" w:rsidP="00D34244">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n-GB"/>
              </w:rPr>
            </w:pPr>
            <w:r w:rsidRPr="00D0223B">
              <w:rPr>
                <w:rFonts w:eastAsiaTheme="minorHAnsi" w:cs="Arial"/>
                <w:sz w:val="24"/>
                <w:szCs w:val="24"/>
                <w:lang w:val="en-GB"/>
              </w:rPr>
              <w:t>0.48</w:t>
            </w:r>
          </w:p>
        </w:tc>
      </w:tr>
      <w:tr w:rsidR="00413B08" w:rsidRPr="00D0223B" w14:paraId="7383D8D2" w14:textId="77777777" w:rsidTr="00DD2237">
        <w:tc>
          <w:tcPr>
            <w:cnfStyle w:val="001000000000" w:firstRow="0" w:lastRow="0" w:firstColumn="1" w:lastColumn="0" w:oddVBand="0" w:evenVBand="0" w:oddHBand="0" w:evenHBand="0" w:firstRowFirstColumn="0" w:firstRowLastColumn="0" w:lastRowFirstColumn="0" w:lastRowLastColumn="0"/>
            <w:tcW w:w="2553" w:type="dxa"/>
            <w:tcBorders>
              <w:top w:val="single" w:sz="2" w:space="0" w:color="BEC6B7" w:themeColor="accent6" w:themeTint="99"/>
              <w:left w:val="nil"/>
              <w:bottom w:val="single" w:sz="2" w:space="0" w:color="BEC6B7" w:themeColor="accent6" w:themeTint="99"/>
              <w:right w:val="single" w:sz="2" w:space="0" w:color="BEC6B7" w:themeColor="accent6" w:themeTint="99"/>
            </w:tcBorders>
          </w:tcPr>
          <w:p w14:paraId="29AE7118" w14:textId="77777777" w:rsidR="00413B08" w:rsidRPr="00D0223B" w:rsidRDefault="00413B08" w:rsidP="00D34244">
            <w:pPr>
              <w:spacing w:line="480" w:lineRule="auto"/>
              <w:ind w:left="720"/>
              <w:jc w:val="both"/>
              <w:rPr>
                <w:rFonts w:cs="Arial"/>
                <w:b w:val="0"/>
                <w:sz w:val="24"/>
                <w:szCs w:val="24"/>
              </w:rPr>
            </w:pPr>
          </w:p>
        </w:tc>
        <w:tc>
          <w:tcPr>
            <w:tcW w:w="1417"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24356C61"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308B83B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73496323"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284" w:type="dxa"/>
            <w:vMerge/>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vAlign w:val="center"/>
            <w:hideMark/>
          </w:tcPr>
          <w:p w14:paraId="616D3D7C" w14:textId="77777777" w:rsidR="00413B08" w:rsidRPr="00D0223B" w:rsidRDefault="00413B08" w:rsidP="00D34244">
            <w:pPr>
              <w:spacing w:line="48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1276"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36DC9CF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1134" w:type="dxa"/>
            <w:tcBorders>
              <w:top w:val="single" w:sz="2" w:space="0" w:color="BEC6B7" w:themeColor="accent6" w:themeTint="99"/>
              <w:left w:val="single" w:sz="2" w:space="0" w:color="BEC6B7" w:themeColor="accent6" w:themeTint="99"/>
              <w:bottom w:val="single" w:sz="2" w:space="0" w:color="BEC6B7" w:themeColor="accent6" w:themeTint="99"/>
              <w:right w:val="single" w:sz="2" w:space="0" w:color="BEC6B7" w:themeColor="accent6" w:themeTint="99"/>
            </w:tcBorders>
          </w:tcPr>
          <w:p w14:paraId="487F2858"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c>
          <w:tcPr>
            <w:tcW w:w="992" w:type="dxa"/>
            <w:tcBorders>
              <w:top w:val="single" w:sz="2" w:space="0" w:color="BEC6B7" w:themeColor="accent6" w:themeTint="99"/>
              <w:left w:val="single" w:sz="2" w:space="0" w:color="BEC6B7" w:themeColor="accent6" w:themeTint="99"/>
              <w:bottom w:val="single" w:sz="2" w:space="0" w:color="BEC6B7" w:themeColor="accent6" w:themeTint="99"/>
              <w:right w:val="nil"/>
            </w:tcBorders>
          </w:tcPr>
          <w:p w14:paraId="513B85AB" w14:textId="77777777" w:rsidR="00413B08" w:rsidRPr="00D0223B" w:rsidRDefault="00413B08" w:rsidP="00D34244">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n-GB"/>
              </w:rPr>
            </w:pPr>
          </w:p>
        </w:tc>
      </w:tr>
    </w:tbl>
    <w:p w14:paraId="2421D91E" w14:textId="77777777" w:rsidR="00413B08" w:rsidRPr="00D0223B" w:rsidRDefault="00413B08" w:rsidP="00D34244">
      <w:pPr>
        <w:spacing w:after="0" w:line="480" w:lineRule="auto"/>
        <w:rPr>
          <w:rFonts w:cs="Arial"/>
          <w:b/>
          <w:bCs/>
          <w:sz w:val="24"/>
          <w:szCs w:val="24"/>
        </w:rPr>
      </w:pPr>
      <w:r w:rsidRPr="00D0223B">
        <w:rPr>
          <w:rFonts w:cs="Arial"/>
          <w:b/>
          <w:bCs/>
          <w:sz w:val="24"/>
          <w:szCs w:val="24"/>
        </w:rPr>
        <w:t xml:space="preserve">OR=Odds Ratio; P-values from Logistic regression model </w:t>
      </w:r>
    </w:p>
    <w:p w14:paraId="2E5BD11B" w14:textId="00EC041E" w:rsidR="00413B08" w:rsidRPr="00D0223B" w:rsidRDefault="00413B08" w:rsidP="00D34244">
      <w:pPr>
        <w:widowControl w:val="0"/>
        <w:autoSpaceDE w:val="0"/>
        <w:autoSpaceDN w:val="0"/>
        <w:adjustRightInd w:val="0"/>
        <w:spacing w:line="480" w:lineRule="auto"/>
        <w:ind w:left="640" w:hanging="640"/>
        <w:rPr>
          <w:rFonts w:cs="Arial"/>
          <w:sz w:val="24"/>
          <w:szCs w:val="24"/>
        </w:rPr>
      </w:pPr>
    </w:p>
    <w:p w14:paraId="79669CDB" w14:textId="77777777" w:rsidR="00413B08" w:rsidRDefault="00413B08" w:rsidP="00D34244">
      <w:pPr>
        <w:widowControl w:val="0"/>
        <w:autoSpaceDE w:val="0"/>
        <w:autoSpaceDN w:val="0"/>
        <w:adjustRightInd w:val="0"/>
        <w:spacing w:line="480" w:lineRule="auto"/>
        <w:ind w:left="640" w:hanging="640"/>
        <w:rPr>
          <w:rFonts w:cs="Arial"/>
          <w:sz w:val="18"/>
          <w:szCs w:val="18"/>
        </w:rPr>
      </w:pPr>
    </w:p>
    <w:sectPr w:rsidR="00413B08" w:rsidSect="00D34244">
      <w:footerReference w:type="default" r:id="rId8"/>
      <w:footnotePr>
        <w:numFmt w:val="lowerLetter"/>
        <w:numRestart w:val="eachPage"/>
      </w:footnotePr>
      <w:pgSz w:w="12240" w:h="15840"/>
      <w:pgMar w:top="1418" w:right="1418" w:bottom="1418" w:left="1418"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C5F0A" w14:textId="77777777" w:rsidR="00E84991" w:rsidRDefault="00E84991" w:rsidP="00C6554A">
      <w:pPr>
        <w:spacing w:after="0" w:line="240" w:lineRule="auto"/>
      </w:pPr>
      <w:r>
        <w:separator/>
      </w:r>
    </w:p>
  </w:endnote>
  <w:endnote w:type="continuationSeparator" w:id="0">
    <w:p w14:paraId="305187A2" w14:textId="77777777" w:rsidR="00E84991" w:rsidRDefault="00E84991" w:rsidP="00C6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3394" w14:textId="167E238A" w:rsidR="00930DD2" w:rsidRDefault="00930DD2">
    <w:pPr>
      <w:pStyle w:val="Footer"/>
    </w:pPr>
    <w:r>
      <w:t xml:space="preserve">More </w:t>
    </w:r>
    <w:r>
      <w:fldChar w:fldCharType="begin"/>
    </w:r>
    <w:r>
      <w:instrText xml:space="preserve"> PAGE  \* Arabic  \* MERGEFORMAT </w:instrText>
    </w:r>
    <w:r>
      <w:fldChar w:fldCharType="separate"/>
    </w:r>
    <w:r w:rsidR="0009625A">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A8A8" w14:textId="77777777" w:rsidR="00E84991" w:rsidRDefault="00E84991" w:rsidP="00C6554A">
      <w:pPr>
        <w:spacing w:after="0" w:line="240" w:lineRule="auto"/>
      </w:pPr>
      <w:r>
        <w:separator/>
      </w:r>
    </w:p>
  </w:footnote>
  <w:footnote w:type="continuationSeparator" w:id="0">
    <w:p w14:paraId="2E1DF96D" w14:textId="77777777" w:rsidR="00E84991" w:rsidRDefault="00E84991" w:rsidP="00C6554A">
      <w:pPr>
        <w:spacing w:after="0" w:line="240" w:lineRule="auto"/>
      </w:pPr>
      <w:r>
        <w:continuationSeparator/>
      </w:r>
    </w:p>
  </w:footnote>
  <w:footnote w:id="1">
    <w:p w14:paraId="5FF48E7B" w14:textId="77777777" w:rsidR="00930DD2" w:rsidRPr="008F45B5" w:rsidRDefault="00930DD2" w:rsidP="00665B44">
      <w:pPr>
        <w:pStyle w:val="FootnoteText"/>
        <w:rPr>
          <w:sz w:val="20"/>
          <w:lang w:val="en-GB"/>
        </w:rPr>
      </w:pPr>
      <w:r w:rsidRPr="003E185D">
        <w:rPr>
          <w:rStyle w:val="FootnoteReference"/>
        </w:rPr>
        <w:footnoteRef/>
      </w:r>
      <w:r w:rsidRPr="008F45B5">
        <w:rPr>
          <w:sz w:val="20"/>
        </w:rPr>
        <w:t xml:space="preserve"> </w:t>
      </w:r>
      <w:r w:rsidRPr="008F45B5">
        <w:rPr>
          <w:sz w:val="20"/>
          <w:lang w:val="en-GB"/>
        </w:rPr>
        <w:t>Patients did not complete their treatment within the 11-month course of injection Eylea</w:t>
      </w:r>
    </w:p>
  </w:footnote>
  <w:footnote w:id="2">
    <w:p w14:paraId="377BEDFE" w14:textId="4B714C28" w:rsidR="00930DD2" w:rsidRPr="00D0223B" w:rsidRDefault="00930DD2">
      <w:pPr>
        <w:pStyle w:val="FootnoteText"/>
        <w:rPr>
          <w:lang w:val="en-GB"/>
        </w:rPr>
      </w:pPr>
      <w:r>
        <w:rPr>
          <w:rStyle w:val="FootnoteReference"/>
        </w:rPr>
        <w:footnoteRef/>
      </w:r>
      <w:r>
        <w:t xml:space="preserve"> </w:t>
      </w:r>
      <w:r>
        <w:rPr>
          <w:lang w:val="en-GB"/>
        </w:rPr>
        <w:t>KM - Kilometres</w:t>
      </w:r>
    </w:p>
  </w:footnote>
  <w:footnote w:id="3">
    <w:p w14:paraId="5698A259" w14:textId="72BD8A4E" w:rsidR="00930DD2" w:rsidRPr="00D0223B" w:rsidRDefault="00930DD2">
      <w:pPr>
        <w:pStyle w:val="FootnoteText"/>
        <w:rPr>
          <w:lang w:val="en-GB"/>
        </w:rPr>
      </w:pPr>
      <w:r>
        <w:rPr>
          <w:rStyle w:val="FootnoteReference"/>
        </w:rPr>
        <w:footnoteRef/>
      </w:r>
      <w:r>
        <w:t xml:space="preserve"> </w:t>
      </w:r>
      <w:r>
        <w:rPr>
          <w:lang w:val="en-GB"/>
        </w:rPr>
        <w:t>AMD – Age related macular degeneration</w:t>
      </w:r>
    </w:p>
  </w:footnote>
  <w:footnote w:id="4">
    <w:p w14:paraId="7B733E2E" w14:textId="002BE136" w:rsidR="00930DD2" w:rsidRPr="00927EA4" w:rsidRDefault="00930DD2">
      <w:pPr>
        <w:pStyle w:val="FootnoteText"/>
        <w:rPr>
          <w:lang w:val="es-ES"/>
        </w:rPr>
      </w:pPr>
      <w:r>
        <w:rPr>
          <w:rStyle w:val="FootnoteReference"/>
        </w:rPr>
        <w:footnoteRef/>
      </w:r>
      <w:r w:rsidRPr="00927EA4">
        <w:rPr>
          <w:lang w:val="es-ES"/>
        </w:rPr>
        <w:t xml:space="preserve"> KM - Kilometres</w:t>
      </w:r>
    </w:p>
  </w:footnote>
  <w:footnote w:id="5">
    <w:p w14:paraId="68497982" w14:textId="6B2E9CA8" w:rsidR="00930DD2" w:rsidRPr="00927EA4" w:rsidRDefault="00930DD2">
      <w:pPr>
        <w:pStyle w:val="FootnoteText"/>
        <w:rPr>
          <w:lang w:val="es-ES"/>
        </w:rPr>
      </w:pPr>
      <w:r>
        <w:rPr>
          <w:rStyle w:val="FootnoteReference"/>
        </w:rPr>
        <w:footnoteRef/>
      </w:r>
      <w:r w:rsidRPr="00927EA4">
        <w:rPr>
          <w:lang w:val="es-ES"/>
        </w:rPr>
        <w:t xml:space="preserve"> KM - Kilometres</w:t>
      </w:r>
    </w:p>
  </w:footnote>
  <w:footnote w:id="6">
    <w:p w14:paraId="08D98A39" w14:textId="43141D3E" w:rsidR="00930DD2" w:rsidRPr="00927EA4" w:rsidRDefault="00930DD2">
      <w:pPr>
        <w:pStyle w:val="FootnoteText"/>
        <w:rPr>
          <w:lang w:val="es-ES"/>
        </w:rPr>
      </w:pPr>
      <w:r>
        <w:rPr>
          <w:rStyle w:val="FootnoteReference"/>
        </w:rPr>
        <w:footnoteRef/>
      </w:r>
      <w:r w:rsidRPr="00927EA4">
        <w:rPr>
          <w:lang w:val="es-ES"/>
        </w:rPr>
        <w:t xml:space="preserve"> KM - Kilometres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F36869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55413E8"/>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12100C2"/>
    <w:multiLevelType w:val="hybridMultilevel"/>
    <w:tmpl w:val="B388DBBA"/>
    <w:lvl w:ilvl="0" w:tplc="A44C6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45C93"/>
    <w:multiLevelType w:val="hybridMultilevel"/>
    <w:tmpl w:val="CCCC5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769B7"/>
    <w:multiLevelType w:val="multilevel"/>
    <w:tmpl w:val="B972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E1986"/>
    <w:multiLevelType w:val="hybridMultilevel"/>
    <w:tmpl w:val="CE96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51057"/>
    <w:multiLevelType w:val="multilevel"/>
    <w:tmpl w:val="3A60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C506D"/>
    <w:multiLevelType w:val="hybridMultilevel"/>
    <w:tmpl w:val="B5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35AC9"/>
    <w:multiLevelType w:val="hybridMultilevel"/>
    <w:tmpl w:val="398E62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8C398F"/>
    <w:multiLevelType w:val="multilevel"/>
    <w:tmpl w:val="E09E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D02BD"/>
    <w:multiLevelType w:val="hybridMultilevel"/>
    <w:tmpl w:val="F2868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01D0D"/>
    <w:multiLevelType w:val="multilevel"/>
    <w:tmpl w:val="6F1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F1996"/>
    <w:multiLevelType w:val="multilevel"/>
    <w:tmpl w:val="A946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93215"/>
    <w:multiLevelType w:val="multilevel"/>
    <w:tmpl w:val="FF2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94BE4"/>
    <w:multiLevelType w:val="multilevel"/>
    <w:tmpl w:val="5EB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641B6"/>
    <w:multiLevelType w:val="hybridMultilevel"/>
    <w:tmpl w:val="5FC46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C28AD"/>
    <w:multiLevelType w:val="hybridMultilevel"/>
    <w:tmpl w:val="2C56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E4B0A"/>
    <w:multiLevelType w:val="hybridMultilevel"/>
    <w:tmpl w:val="1C2E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56E4D"/>
    <w:multiLevelType w:val="hybridMultilevel"/>
    <w:tmpl w:val="D1A8CB14"/>
    <w:lvl w:ilvl="0" w:tplc="F5403CBE">
      <w:start w:val="200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77282F"/>
    <w:multiLevelType w:val="multilevel"/>
    <w:tmpl w:val="9FD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A37DA"/>
    <w:multiLevelType w:val="multilevel"/>
    <w:tmpl w:val="C0F2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D044A"/>
    <w:multiLevelType w:val="multilevel"/>
    <w:tmpl w:val="7AD8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3753C"/>
    <w:multiLevelType w:val="hybridMultilevel"/>
    <w:tmpl w:val="84CC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07F73"/>
    <w:multiLevelType w:val="hybridMultilevel"/>
    <w:tmpl w:val="00DEA3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854D14"/>
    <w:multiLevelType w:val="multilevel"/>
    <w:tmpl w:val="6EB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D00C2"/>
    <w:multiLevelType w:val="hybridMultilevel"/>
    <w:tmpl w:val="BA665F6E"/>
    <w:lvl w:ilvl="0" w:tplc="CA524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D328A5"/>
    <w:multiLevelType w:val="hybridMultilevel"/>
    <w:tmpl w:val="0E5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A3F29"/>
    <w:multiLevelType w:val="hybridMultilevel"/>
    <w:tmpl w:val="703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F6223"/>
    <w:multiLevelType w:val="hybridMultilevel"/>
    <w:tmpl w:val="29CA6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75870"/>
    <w:multiLevelType w:val="hybridMultilevel"/>
    <w:tmpl w:val="E1BC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35527"/>
    <w:multiLevelType w:val="multilevel"/>
    <w:tmpl w:val="DF70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818A8"/>
    <w:multiLevelType w:val="multilevel"/>
    <w:tmpl w:val="158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71319"/>
    <w:multiLevelType w:val="multilevel"/>
    <w:tmpl w:val="8FB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34A54"/>
    <w:multiLevelType w:val="multilevel"/>
    <w:tmpl w:val="98A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3"/>
  </w:num>
  <w:num w:numId="4">
    <w:abstractNumId w:val="13"/>
  </w:num>
  <w:num w:numId="5">
    <w:abstractNumId w:val="12"/>
  </w:num>
  <w:num w:numId="6">
    <w:abstractNumId w:val="32"/>
  </w:num>
  <w:num w:numId="7">
    <w:abstractNumId w:val="14"/>
  </w:num>
  <w:num w:numId="8">
    <w:abstractNumId w:val="21"/>
  </w:num>
  <w:num w:numId="9">
    <w:abstractNumId w:val="6"/>
  </w:num>
  <w:num w:numId="10">
    <w:abstractNumId w:val="11"/>
  </w:num>
  <w:num w:numId="11">
    <w:abstractNumId w:val="20"/>
  </w:num>
  <w:num w:numId="12">
    <w:abstractNumId w:val="9"/>
  </w:num>
  <w:num w:numId="13">
    <w:abstractNumId w:val="19"/>
  </w:num>
  <w:num w:numId="14">
    <w:abstractNumId w:val="30"/>
  </w:num>
  <w:num w:numId="15">
    <w:abstractNumId w:val="24"/>
  </w:num>
  <w:num w:numId="16">
    <w:abstractNumId w:val="31"/>
  </w:num>
  <w:num w:numId="17">
    <w:abstractNumId w:val="33"/>
  </w:num>
  <w:num w:numId="18">
    <w:abstractNumId w:val="5"/>
  </w:num>
  <w:num w:numId="19">
    <w:abstractNumId w:val="29"/>
  </w:num>
  <w:num w:numId="20">
    <w:abstractNumId w:val="22"/>
  </w:num>
  <w:num w:numId="21">
    <w:abstractNumId w:val="17"/>
  </w:num>
  <w:num w:numId="22">
    <w:abstractNumId w:val="3"/>
  </w:num>
  <w:num w:numId="23">
    <w:abstractNumId w:val="16"/>
  </w:num>
  <w:num w:numId="24">
    <w:abstractNumId w:val="7"/>
  </w:num>
  <w:num w:numId="25">
    <w:abstractNumId w:val="15"/>
  </w:num>
  <w:num w:numId="26">
    <w:abstractNumId w:val="8"/>
  </w:num>
  <w:num w:numId="27">
    <w:abstractNumId w:val="2"/>
  </w:num>
  <w:num w:numId="28">
    <w:abstractNumId w:val="25"/>
  </w:num>
  <w:num w:numId="29">
    <w:abstractNumId w:val="27"/>
  </w:num>
  <w:num w:numId="30">
    <w:abstractNumId w:val="18"/>
  </w:num>
  <w:num w:numId="31">
    <w:abstractNumId w:val="10"/>
  </w:num>
  <w:num w:numId="32">
    <w:abstractNumId w:val="4"/>
  </w:num>
  <w:num w:numId="3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4"/>
    <w:lvlOverride w:ilvl="1">
      <w:lvl w:ilvl="1">
        <w:numFmt w:val="decimal"/>
        <w:lvlText w:val="%2."/>
        <w:lvlJc w:val="left"/>
        <w:pPr>
          <w:tabs>
            <w:tab w:val="num" w:pos="1440"/>
          </w:tabs>
          <w:ind w:left="1440" w:hanging="360"/>
        </w:pPr>
      </w:lvl>
    </w:lvlOverride>
  </w:num>
  <w:num w:numId="35">
    <w:abstractNumId w:val="26"/>
  </w:num>
  <w:num w:numId="36">
    <w:abstractNumId w:val="28"/>
  </w:num>
  <w:num w:numId="37">
    <w:abstractNumId w:val="3"/>
  </w:num>
  <w:num w:numId="3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numFmt w:val="lowerLette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85"/>
    <w:rsid w:val="00000868"/>
    <w:rsid w:val="00002B14"/>
    <w:rsid w:val="00003242"/>
    <w:rsid w:val="00004543"/>
    <w:rsid w:val="00005F39"/>
    <w:rsid w:val="00010BC2"/>
    <w:rsid w:val="00011423"/>
    <w:rsid w:val="000127E2"/>
    <w:rsid w:val="0001389B"/>
    <w:rsid w:val="000166A0"/>
    <w:rsid w:val="00025920"/>
    <w:rsid w:val="000260CC"/>
    <w:rsid w:val="0003012C"/>
    <w:rsid w:val="00031C15"/>
    <w:rsid w:val="000351EC"/>
    <w:rsid w:val="00035AE8"/>
    <w:rsid w:val="00035CEC"/>
    <w:rsid w:val="0004013F"/>
    <w:rsid w:val="000434AB"/>
    <w:rsid w:val="000434B5"/>
    <w:rsid w:val="000436AB"/>
    <w:rsid w:val="00043862"/>
    <w:rsid w:val="0004423C"/>
    <w:rsid w:val="00051302"/>
    <w:rsid w:val="00052348"/>
    <w:rsid w:val="00056352"/>
    <w:rsid w:val="00056C06"/>
    <w:rsid w:val="00056C35"/>
    <w:rsid w:val="00057311"/>
    <w:rsid w:val="00062FF7"/>
    <w:rsid w:val="0006393A"/>
    <w:rsid w:val="00063A3A"/>
    <w:rsid w:val="0006479F"/>
    <w:rsid w:val="00065526"/>
    <w:rsid w:val="00072AF6"/>
    <w:rsid w:val="00073CD4"/>
    <w:rsid w:val="00074EC3"/>
    <w:rsid w:val="0007554B"/>
    <w:rsid w:val="000772F0"/>
    <w:rsid w:val="00077B5B"/>
    <w:rsid w:val="000827E5"/>
    <w:rsid w:val="00086AD8"/>
    <w:rsid w:val="000918D5"/>
    <w:rsid w:val="000940EF"/>
    <w:rsid w:val="00094DBE"/>
    <w:rsid w:val="000950D9"/>
    <w:rsid w:val="0009625A"/>
    <w:rsid w:val="000964E9"/>
    <w:rsid w:val="000A0ED4"/>
    <w:rsid w:val="000A2A20"/>
    <w:rsid w:val="000A46C1"/>
    <w:rsid w:val="000A49DC"/>
    <w:rsid w:val="000A68D6"/>
    <w:rsid w:val="000B0625"/>
    <w:rsid w:val="000B0FF5"/>
    <w:rsid w:val="000B134E"/>
    <w:rsid w:val="000B164A"/>
    <w:rsid w:val="000B2A4D"/>
    <w:rsid w:val="000B5079"/>
    <w:rsid w:val="000B7E98"/>
    <w:rsid w:val="000C2757"/>
    <w:rsid w:val="000C504C"/>
    <w:rsid w:val="000C5975"/>
    <w:rsid w:val="000D103B"/>
    <w:rsid w:val="000D24B7"/>
    <w:rsid w:val="000D395D"/>
    <w:rsid w:val="000D6B4B"/>
    <w:rsid w:val="000D7E61"/>
    <w:rsid w:val="000E05C3"/>
    <w:rsid w:val="000E746B"/>
    <w:rsid w:val="000F0D6B"/>
    <w:rsid w:val="000F0DA2"/>
    <w:rsid w:val="000F3E47"/>
    <w:rsid w:val="000F434A"/>
    <w:rsid w:val="000F4650"/>
    <w:rsid w:val="000F4BE1"/>
    <w:rsid w:val="000F5519"/>
    <w:rsid w:val="000F7FCB"/>
    <w:rsid w:val="001001B6"/>
    <w:rsid w:val="001003FF"/>
    <w:rsid w:val="0010393D"/>
    <w:rsid w:val="0010539B"/>
    <w:rsid w:val="001056E4"/>
    <w:rsid w:val="00107CAF"/>
    <w:rsid w:val="001104C4"/>
    <w:rsid w:val="00111001"/>
    <w:rsid w:val="001118FB"/>
    <w:rsid w:val="00114F1D"/>
    <w:rsid w:val="00115C36"/>
    <w:rsid w:val="00117405"/>
    <w:rsid w:val="001177CF"/>
    <w:rsid w:val="00120352"/>
    <w:rsid w:val="001209ED"/>
    <w:rsid w:val="00122F8F"/>
    <w:rsid w:val="0012405D"/>
    <w:rsid w:val="00125055"/>
    <w:rsid w:val="00127086"/>
    <w:rsid w:val="00127FFD"/>
    <w:rsid w:val="00130566"/>
    <w:rsid w:val="00132207"/>
    <w:rsid w:val="00134BDD"/>
    <w:rsid w:val="00135B5F"/>
    <w:rsid w:val="0013717D"/>
    <w:rsid w:val="0013732A"/>
    <w:rsid w:val="00137A34"/>
    <w:rsid w:val="00140ABB"/>
    <w:rsid w:val="00141D84"/>
    <w:rsid w:val="00142676"/>
    <w:rsid w:val="001428D9"/>
    <w:rsid w:val="00146726"/>
    <w:rsid w:val="00147436"/>
    <w:rsid w:val="00147E37"/>
    <w:rsid w:val="00150673"/>
    <w:rsid w:val="00150D26"/>
    <w:rsid w:val="00151785"/>
    <w:rsid w:val="001528A0"/>
    <w:rsid w:val="00152C85"/>
    <w:rsid w:val="00157587"/>
    <w:rsid w:val="0015765D"/>
    <w:rsid w:val="00157D7A"/>
    <w:rsid w:val="00160212"/>
    <w:rsid w:val="00160C30"/>
    <w:rsid w:val="00161FA0"/>
    <w:rsid w:val="001637FC"/>
    <w:rsid w:val="001665A1"/>
    <w:rsid w:val="001715C2"/>
    <w:rsid w:val="001734FD"/>
    <w:rsid w:val="00174068"/>
    <w:rsid w:val="00175322"/>
    <w:rsid w:val="00176E01"/>
    <w:rsid w:val="001821BB"/>
    <w:rsid w:val="001832B3"/>
    <w:rsid w:val="00184B4B"/>
    <w:rsid w:val="00185D0E"/>
    <w:rsid w:val="0019066A"/>
    <w:rsid w:val="00192616"/>
    <w:rsid w:val="00195BFC"/>
    <w:rsid w:val="001974DC"/>
    <w:rsid w:val="00197983"/>
    <w:rsid w:val="001A0493"/>
    <w:rsid w:val="001A0A31"/>
    <w:rsid w:val="001A2005"/>
    <w:rsid w:val="001A2611"/>
    <w:rsid w:val="001A47A7"/>
    <w:rsid w:val="001A7728"/>
    <w:rsid w:val="001B1FDA"/>
    <w:rsid w:val="001B259A"/>
    <w:rsid w:val="001B2EC8"/>
    <w:rsid w:val="001B30A5"/>
    <w:rsid w:val="001C00C5"/>
    <w:rsid w:val="001C0A14"/>
    <w:rsid w:val="001C2F3C"/>
    <w:rsid w:val="001C32D6"/>
    <w:rsid w:val="001C34EF"/>
    <w:rsid w:val="001C46AC"/>
    <w:rsid w:val="001C5ABB"/>
    <w:rsid w:val="001C60D3"/>
    <w:rsid w:val="001C6452"/>
    <w:rsid w:val="001D170F"/>
    <w:rsid w:val="001D1F7F"/>
    <w:rsid w:val="001D334F"/>
    <w:rsid w:val="001D381D"/>
    <w:rsid w:val="001D47E3"/>
    <w:rsid w:val="001D7106"/>
    <w:rsid w:val="001E1D87"/>
    <w:rsid w:val="001E42E8"/>
    <w:rsid w:val="001E4F00"/>
    <w:rsid w:val="001E506E"/>
    <w:rsid w:val="001E6311"/>
    <w:rsid w:val="001E7247"/>
    <w:rsid w:val="001E7691"/>
    <w:rsid w:val="001F2838"/>
    <w:rsid w:val="001F2C7C"/>
    <w:rsid w:val="001F4BE7"/>
    <w:rsid w:val="002005B6"/>
    <w:rsid w:val="00202798"/>
    <w:rsid w:val="00202B2B"/>
    <w:rsid w:val="002066C1"/>
    <w:rsid w:val="002067E4"/>
    <w:rsid w:val="0020701E"/>
    <w:rsid w:val="002079F9"/>
    <w:rsid w:val="00207AE4"/>
    <w:rsid w:val="00213BCA"/>
    <w:rsid w:val="0021500E"/>
    <w:rsid w:val="00215364"/>
    <w:rsid w:val="002177C9"/>
    <w:rsid w:val="002209C8"/>
    <w:rsid w:val="00222072"/>
    <w:rsid w:val="00222359"/>
    <w:rsid w:val="00224578"/>
    <w:rsid w:val="002259B5"/>
    <w:rsid w:val="00226354"/>
    <w:rsid w:val="002324FA"/>
    <w:rsid w:val="00233A08"/>
    <w:rsid w:val="0023436D"/>
    <w:rsid w:val="00234723"/>
    <w:rsid w:val="00234B96"/>
    <w:rsid w:val="00234BFF"/>
    <w:rsid w:val="00234FE5"/>
    <w:rsid w:val="00235863"/>
    <w:rsid w:val="002359F1"/>
    <w:rsid w:val="00235A59"/>
    <w:rsid w:val="00236974"/>
    <w:rsid w:val="002411EE"/>
    <w:rsid w:val="00242F1B"/>
    <w:rsid w:val="002433EC"/>
    <w:rsid w:val="00243E1C"/>
    <w:rsid w:val="00244609"/>
    <w:rsid w:val="0024554C"/>
    <w:rsid w:val="00250076"/>
    <w:rsid w:val="00251286"/>
    <w:rsid w:val="00252C85"/>
    <w:rsid w:val="0025408B"/>
    <w:rsid w:val="002554CD"/>
    <w:rsid w:val="0025577D"/>
    <w:rsid w:val="00255E65"/>
    <w:rsid w:val="00257DDC"/>
    <w:rsid w:val="00260AE8"/>
    <w:rsid w:val="00260C1A"/>
    <w:rsid w:val="00262B06"/>
    <w:rsid w:val="00263F5C"/>
    <w:rsid w:val="00264D2A"/>
    <w:rsid w:val="00267264"/>
    <w:rsid w:val="002676F5"/>
    <w:rsid w:val="002708B8"/>
    <w:rsid w:val="00270D4F"/>
    <w:rsid w:val="002734C5"/>
    <w:rsid w:val="00280879"/>
    <w:rsid w:val="00280CFE"/>
    <w:rsid w:val="002836DD"/>
    <w:rsid w:val="0028419F"/>
    <w:rsid w:val="00285F94"/>
    <w:rsid w:val="00287397"/>
    <w:rsid w:val="002913ED"/>
    <w:rsid w:val="00292D18"/>
    <w:rsid w:val="00293B83"/>
    <w:rsid w:val="0029548E"/>
    <w:rsid w:val="00295AE0"/>
    <w:rsid w:val="0029727E"/>
    <w:rsid w:val="002976D6"/>
    <w:rsid w:val="002A137E"/>
    <w:rsid w:val="002A33B4"/>
    <w:rsid w:val="002A3F7B"/>
    <w:rsid w:val="002A454F"/>
    <w:rsid w:val="002A7274"/>
    <w:rsid w:val="002B2C07"/>
    <w:rsid w:val="002B3564"/>
    <w:rsid w:val="002B3870"/>
    <w:rsid w:val="002B4021"/>
    <w:rsid w:val="002B4294"/>
    <w:rsid w:val="002B49F6"/>
    <w:rsid w:val="002B66AB"/>
    <w:rsid w:val="002B7422"/>
    <w:rsid w:val="002C1317"/>
    <w:rsid w:val="002C2EC5"/>
    <w:rsid w:val="002C5EF0"/>
    <w:rsid w:val="002D0475"/>
    <w:rsid w:val="002D1465"/>
    <w:rsid w:val="002D1583"/>
    <w:rsid w:val="002D180F"/>
    <w:rsid w:val="002D4189"/>
    <w:rsid w:val="002D42B4"/>
    <w:rsid w:val="002D58CE"/>
    <w:rsid w:val="002D5A27"/>
    <w:rsid w:val="002D623E"/>
    <w:rsid w:val="002D6947"/>
    <w:rsid w:val="002D7E05"/>
    <w:rsid w:val="002E1768"/>
    <w:rsid w:val="002E273A"/>
    <w:rsid w:val="002E4C89"/>
    <w:rsid w:val="002E72B6"/>
    <w:rsid w:val="002F15C4"/>
    <w:rsid w:val="002F1F0F"/>
    <w:rsid w:val="002F4070"/>
    <w:rsid w:val="002F4A28"/>
    <w:rsid w:val="002F6FEB"/>
    <w:rsid w:val="003000D2"/>
    <w:rsid w:val="00303271"/>
    <w:rsid w:val="00303743"/>
    <w:rsid w:val="00304300"/>
    <w:rsid w:val="00304F28"/>
    <w:rsid w:val="00305F1F"/>
    <w:rsid w:val="003076F6"/>
    <w:rsid w:val="0031021B"/>
    <w:rsid w:val="00310D4A"/>
    <w:rsid w:val="00311E6E"/>
    <w:rsid w:val="00312784"/>
    <w:rsid w:val="00313B90"/>
    <w:rsid w:val="00315D99"/>
    <w:rsid w:val="0031613E"/>
    <w:rsid w:val="00316213"/>
    <w:rsid w:val="00317282"/>
    <w:rsid w:val="00320E9C"/>
    <w:rsid w:val="003263CB"/>
    <w:rsid w:val="00326FDD"/>
    <w:rsid w:val="00327720"/>
    <w:rsid w:val="00332560"/>
    <w:rsid w:val="003335C5"/>
    <w:rsid w:val="00333A02"/>
    <w:rsid w:val="00333D0D"/>
    <w:rsid w:val="00334424"/>
    <w:rsid w:val="00336395"/>
    <w:rsid w:val="00337608"/>
    <w:rsid w:val="0034144B"/>
    <w:rsid w:val="00341865"/>
    <w:rsid w:val="00341B77"/>
    <w:rsid w:val="003444EC"/>
    <w:rsid w:val="0034556F"/>
    <w:rsid w:val="0034568C"/>
    <w:rsid w:val="00345A5F"/>
    <w:rsid w:val="003500D4"/>
    <w:rsid w:val="00350124"/>
    <w:rsid w:val="00351C89"/>
    <w:rsid w:val="00352368"/>
    <w:rsid w:val="00354488"/>
    <w:rsid w:val="00356465"/>
    <w:rsid w:val="00357F8B"/>
    <w:rsid w:val="00360AAC"/>
    <w:rsid w:val="003622ED"/>
    <w:rsid w:val="00366059"/>
    <w:rsid w:val="00372675"/>
    <w:rsid w:val="003753F4"/>
    <w:rsid w:val="003760A6"/>
    <w:rsid w:val="00376E57"/>
    <w:rsid w:val="00377934"/>
    <w:rsid w:val="00381ABC"/>
    <w:rsid w:val="00381D30"/>
    <w:rsid w:val="00384586"/>
    <w:rsid w:val="00384E8F"/>
    <w:rsid w:val="003854DE"/>
    <w:rsid w:val="00387871"/>
    <w:rsid w:val="00387E2E"/>
    <w:rsid w:val="00390139"/>
    <w:rsid w:val="0039092F"/>
    <w:rsid w:val="00391BE3"/>
    <w:rsid w:val="003926A2"/>
    <w:rsid w:val="00394915"/>
    <w:rsid w:val="00395B98"/>
    <w:rsid w:val="00397C0C"/>
    <w:rsid w:val="003A156A"/>
    <w:rsid w:val="003A1C88"/>
    <w:rsid w:val="003A2B10"/>
    <w:rsid w:val="003A2DCD"/>
    <w:rsid w:val="003A44E5"/>
    <w:rsid w:val="003A710A"/>
    <w:rsid w:val="003A7F0F"/>
    <w:rsid w:val="003B06A1"/>
    <w:rsid w:val="003B2D76"/>
    <w:rsid w:val="003B2FCE"/>
    <w:rsid w:val="003B5465"/>
    <w:rsid w:val="003B66EC"/>
    <w:rsid w:val="003C13E0"/>
    <w:rsid w:val="003C2C74"/>
    <w:rsid w:val="003C5396"/>
    <w:rsid w:val="003C749B"/>
    <w:rsid w:val="003C7DB1"/>
    <w:rsid w:val="003E0912"/>
    <w:rsid w:val="003E185D"/>
    <w:rsid w:val="003E18DC"/>
    <w:rsid w:val="003E1F3A"/>
    <w:rsid w:val="003E20B4"/>
    <w:rsid w:val="003E2423"/>
    <w:rsid w:val="003E27B0"/>
    <w:rsid w:val="003E3EDA"/>
    <w:rsid w:val="003E46BB"/>
    <w:rsid w:val="003E517E"/>
    <w:rsid w:val="003E61FE"/>
    <w:rsid w:val="003E7D09"/>
    <w:rsid w:val="003F16A9"/>
    <w:rsid w:val="003F3B66"/>
    <w:rsid w:val="003F3E8E"/>
    <w:rsid w:val="003F46D5"/>
    <w:rsid w:val="003F5554"/>
    <w:rsid w:val="003F6891"/>
    <w:rsid w:val="003F68A1"/>
    <w:rsid w:val="003F6F1A"/>
    <w:rsid w:val="003F76F4"/>
    <w:rsid w:val="003F7AF1"/>
    <w:rsid w:val="004005A9"/>
    <w:rsid w:val="00400C15"/>
    <w:rsid w:val="00401199"/>
    <w:rsid w:val="004011C4"/>
    <w:rsid w:val="00402A53"/>
    <w:rsid w:val="00403048"/>
    <w:rsid w:val="004042F3"/>
    <w:rsid w:val="00405C80"/>
    <w:rsid w:val="00406344"/>
    <w:rsid w:val="00406C71"/>
    <w:rsid w:val="004072CF"/>
    <w:rsid w:val="00410539"/>
    <w:rsid w:val="00413B08"/>
    <w:rsid w:val="00417A62"/>
    <w:rsid w:val="004202E9"/>
    <w:rsid w:val="004208E6"/>
    <w:rsid w:val="00422ADF"/>
    <w:rsid w:val="00422F38"/>
    <w:rsid w:val="0042577F"/>
    <w:rsid w:val="00426320"/>
    <w:rsid w:val="004269A2"/>
    <w:rsid w:val="00433485"/>
    <w:rsid w:val="004338B9"/>
    <w:rsid w:val="00435D62"/>
    <w:rsid w:val="00437593"/>
    <w:rsid w:val="00440F08"/>
    <w:rsid w:val="004422EA"/>
    <w:rsid w:val="0044262C"/>
    <w:rsid w:val="00446184"/>
    <w:rsid w:val="004463A9"/>
    <w:rsid w:val="004473B8"/>
    <w:rsid w:val="00447C87"/>
    <w:rsid w:val="004508FA"/>
    <w:rsid w:val="00451210"/>
    <w:rsid w:val="0045252F"/>
    <w:rsid w:val="00452756"/>
    <w:rsid w:val="0045320E"/>
    <w:rsid w:val="004537DA"/>
    <w:rsid w:val="00453A83"/>
    <w:rsid w:val="00455ECE"/>
    <w:rsid w:val="00456920"/>
    <w:rsid w:val="0046131A"/>
    <w:rsid w:val="00461944"/>
    <w:rsid w:val="00461AA3"/>
    <w:rsid w:val="00462033"/>
    <w:rsid w:val="00462359"/>
    <w:rsid w:val="0046567F"/>
    <w:rsid w:val="00466452"/>
    <w:rsid w:val="00470425"/>
    <w:rsid w:val="00472A9A"/>
    <w:rsid w:val="0047310F"/>
    <w:rsid w:val="004748B3"/>
    <w:rsid w:val="00476D04"/>
    <w:rsid w:val="00480918"/>
    <w:rsid w:val="0048178D"/>
    <w:rsid w:val="00482AC5"/>
    <w:rsid w:val="0048586F"/>
    <w:rsid w:val="004866B2"/>
    <w:rsid w:val="00487A74"/>
    <w:rsid w:val="00487F7A"/>
    <w:rsid w:val="004909E7"/>
    <w:rsid w:val="004918C5"/>
    <w:rsid w:val="004920D9"/>
    <w:rsid w:val="00492311"/>
    <w:rsid w:val="00494785"/>
    <w:rsid w:val="00494BAA"/>
    <w:rsid w:val="004A0312"/>
    <w:rsid w:val="004A1361"/>
    <w:rsid w:val="004A18B7"/>
    <w:rsid w:val="004A4185"/>
    <w:rsid w:val="004A610E"/>
    <w:rsid w:val="004A650D"/>
    <w:rsid w:val="004A6CE7"/>
    <w:rsid w:val="004B3A6B"/>
    <w:rsid w:val="004B407F"/>
    <w:rsid w:val="004B4E5E"/>
    <w:rsid w:val="004C049F"/>
    <w:rsid w:val="004C0B98"/>
    <w:rsid w:val="004C1720"/>
    <w:rsid w:val="004C59C3"/>
    <w:rsid w:val="004C65F8"/>
    <w:rsid w:val="004D0153"/>
    <w:rsid w:val="004D279F"/>
    <w:rsid w:val="004D2F06"/>
    <w:rsid w:val="004D6B1D"/>
    <w:rsid w:val="004D744D"/>
    <w:rsid w:val="004E220C"/>
    <w:rsid w:val="004E222F"/>
    <w:rsid w:val="004E2BD2"/>
    <w:rsid w:val="004E4343"/>
    <w:rsid w:val="004E4430"/>
    <w:rsid w:val="004E4C3F"/>
    <w:rsid w:val="004E7C90"/>
    <w:rsid w:val="004F2BC3"/>
    <w:rsid w:val="004F3361"/>
    <w:rsid w:val="004F69E8"/>
    <w:rsid w:val="004F6D15"/>
    <w:rsid w:val="005000E2"/>
    <w:rsid w:val="00502651"/>
    <w:rsid w:val="0050280F"/>
    <w:rsid w:val="0050299D"/>
    <w:rsid w:val="00504C74"/>
    <w:rsid w:val="00504D10"/>
    <w:rsid w:val="00505D4D"/>
    <w:rsid w:val="005066FA"/>
    <w:rsid w:val="00511300"/>
    <w:rsid w:val="00511DAC"/>
    <w:rsid w:val="00513B5C"/>
    <w:rsid w:val="00520466"/>
    <w:rsid w:val="00522CE1"/>
    <w:rsid w:val="00525D13"/>
    <w:rsid w:val="00525F11"/>
    <w:rsid w:val="00527374"/>
    <w:rsid w:val="00527E94"/>
    <w:rsid w:val="00530506"/>
    <w:rsid w:val="005316EE"/>
    <w:rsid w:val="005343A7"/>
    <w:rsid w:val="00534508"/>
    <w:rsid w:val="0053489A"/>
    <w:rsid w:val="005370A2"/>
    <w:rsid w:val="00537857"/>
    <w:rsid w:val="0054082A"/>
    <w:rsid w:val="00545E49"/>
    <w:rsid w:val="005461A6"/>
    <w:rsid w:val="00552917"/>
    <w:rsid w:val="0055585B"/>
    <w:rsid w:val="00555A31"/>
    <w:rsid w:val="0055790D"/>
    <w:rsid w:val="00560211"/>
    <w:rsid w:val="00560DDE"/>
    <w:rsid w:val="0056241F"/>
    <w:rsid w:val="00562929"/>
    <w:rsid w:val="00563A31"/>
    <w:rsid w:val="00566026"/>
    <w:rsid w:val="005661D3"/>
    <w:rsid w:val="0056698E"/>
    <w:rsid w:val="00567F05"/>
    <w:rsid w:val="00574BD6"/>
    <w:rsid w:val="00576028"/>
    <w:rsid w:val="00576FF4"/>
    <w:rsid w:val="0058045A"/>
    <w:rsid w:val="005807CB"/>
    <w:rsid w:val="00582C8C"/>
    <w:rsid w:val="00583A99"/>
    <w:rsid w:val="00585EA9"/>
    <w:rsid w:val="00590C3F"/>
    <w:rsid w:val="0059101B"/>
    <w:rsid w:val="005924D0"/>
    <w:rsid w:val="005928BF"/>
    <w:rsid w:val="005965CD"/>
    <w:rsid w:val="00596EEC"/>
    <w:rsid w:val="005A14AC"/>
    <w:rsid w:val="005A18EA"/>
    <w:rsid w:val="005A18F1"/>
    <w:rsid w:val="005A1A3E"/>
    <w:rsid w:val="005A2754"/>
    <w:rsid w:val="005A38B5"/>
    <w:rsid w:val="005A69A7"/>
    <w:rsid w:val="005A71DA"/>
    <w:rsid w:val="005A74BB"/>
    <w:rsid w:val="005B0C26"/>
    <w:rsid w:val="005B0D00"/>
    <w:rsid w:val="005B5874"/>
    <w:rsid w:val="005B60E0"/>
    <w:rsid w:val="005B71ED"/>
    <w:rsid w:val="005B7768"/>
    <w:rsid w:val="005C6F8A"/>
    <w:rsid w:val="005C7931"/>
    <w:rsid w:val="005C7AFE"/>
    <w:rsid w:val="005D064A"/>
    <w:rsid w:val="005D14FA"/>
    <w:rsid w:val="005D16DB"/>
    <w:rsid w:val="005D290A"/>
    <w:rsid w:val="005D44F4"/>
    <w:rsid w:val="005D748C"/>
    <w:rsid w:val="005D7D88"/>
    <w:rsid w:val="005E041C"/>
    <w:rsid w:val="005E11B6"/>
    <w:rsid w:val="005E1B7B"/>
    <w:rsid w:val="005E36B9"/>
    <w:rsid w:val="005E60BB"/>
    <w:rsid w:val="005E6176"/>
    <w:rsid w:val="005F239D"/>
    <w:rsid w:val="005F6BAA"/>
    <w:rsid w:val="006028E2"/>
    <w:rsid w:val="00602FEB"/>
    <w:rsid w:val="00603A93"/>
    <w:rsid w:val="0060549B"/>
    <w:rsid w:val="00605E16"/>
    <w:rsid w:val="006061A7"/>
    <w:rsid w:val="00606F4B"/>
    <w:rsid w:val="00607811"/>
    <w:rsid w:val="006100FE"/>
    <w:rsid w:val="00610346"/>
    <w:rsid w:val="00613D9A"/>
    <w:rsid w:val="0061478C"/>
    <w:rsid w:val="006156F1"/>
    <w:rsid w:val="00615800"/>
    <w:rsid w:val="00620777"/>
    <w:rsid w:val="00620B41"/>
    <w:rsid w:val="00620D98"/>
    <w:rsid w:val="00623D65"/>
    <w:rsid w:val="0062434C"/>
    <w:rsid w:val="00625B7B"/>
    <w:rsid w:val="00626077"/>
    <w:rsid w:val="00626FF5"/>
    <w:rsid w:val="00627000"/>
    <w:rsid w:val="0062796D"/>
    <w:rsid w:val="006301F9"/>
    <w:rsid w:val="00632303"/>
    <w:rsid w:val="0063290C"/>
    <w:rsid w:val="0063562B"/>
    <w:rsid w:val="00637377"/>
    <w:rsid w:val="00642A55"/>
    <w:rsid w:val="00642FC9"/>
    <w:rsid w:val="00643B5C"/>
    <w:rsid w:val="00643F20"/>
    <w:rsid w:val="006452F2"/>
    <w:rsid w:val="00646754"/>
    <w:rsid w:val="00646E49"/>
    <w:rsid w:val="00646F14"/>
    <w:rsid w:val="0065300B"/>
    <w:rsid w:val="006530D6"/>
    <w:rsid w:val="00655206"/>
    <w:rsid w:val="00656A40"/>
    <w:rsid w:val="006607C2"/>
    <w:rsid w:val="00661771"/>
    <w:rsid w:val="00661FAC"/>
    <w:rsid w:val="00663DC8"/>
    <w:rsid w:val="00664331"/>
    <w:rsid w:val="00665B44"/>
    <w:rsid w:val="00665D5C"/>
    <w:rsid w:val="00667039"/>
    <w:rsid w:val="00673731"/>
    <w:rsid w:val="00675007"/>
    <w:rsid w:val="00675B6E"/>
    <w:rsid w:val="00677E52"/>
    <w:rsid w:val="006808B9"/>
    <w:rsid w:val="00681844"/>
    <w:rsid w:val="006834C3"/>
    <w:rsid w:val="00683A74"/>
    <w:rsid w:val="0068441A"/>
    <w:rsid w:val="00684A2D"/>
    <w:rsid w:val="00685349"/>
    <w:rsid w:val="006859C5"/>
    <w:rsid w:val="00686E7A"/>
    <w:rsid w:val="0069139B"/>
    <w:rsid w:val="0069177B"/>
    <w:rsid w:val="00692AB9"/>
    <w:rsid w:val="00694045"/>
    <w:rsid w:val="00695477"/>
    <w:rsid w:val="00695F83"/>
    <w:rsid w:val="0069678B"/>
    <w:rsid w:val="006969A3"/>
    <w:rsid w:val="006A06BF"/>
    <w:rsid w:val="006A14EA"/>
    <w:rsid w:val="006A157D"/>
    <w:rsid w:val="006A2C6C"/>
    <w:rsid w:val="006A3B66"/>
    <w:rsid w:val="006A3CE7"/>
    <w:rsid w:val="006A4095"/>
    <w:rsid w:val="006B306D"/>
    <w:rsid w:val="006B3C33"/>
    <w:rsid w:val="006B4249"/>
    <w:rsid w:val="006B6C09"/>
    <w:rsid w:val="006C09F4"/>
    <w:rsid w:val="006C2DFA"/>
    <w:rsid w:val="006C3742"/>
    <w:rsid w:val="006C3A3A"/>
    <w:rsid w:val="006C4817"/>
    <w:rsid w:val="006C7A89"/>
    <w:rsid w:val="006D0E17"/>
    <w:rsid w:val="006D0F8F"/>
    <w:rsid w:val="006D1C45"/>
    <w:rsid w:val="006D1D85"/>
    <w:rsid w:val="006D4016"/>
    <w:rsid w:val="006D4611"/>
    <w:rsid w:val="006D571D"/>
    <w:rsid w:val="006D735C"/>
    <w:rsid w:val="006D7804"/>
    <w:rsid w:val="006E2350"/>
    <w:rsid w:val="006E2FC3"/>
    <w:rsid w:val="006E4B79"/>
    <w:rsid w:val="006E5708"/>
    <w:rsid w:val="006E5E0B"/>
    <w:rsid w:val="006E7FC7"/>
    <w:rsid w:val="006F046D"/>
    <w:rsid w:val="006F51A9"/>
    <w:rsid w:val="006F5B57"/>
    <w:rsid w:val="006F6F78"/>
    <w:rsid w:val="006F7427"/>
    <w:rsid w:val="006F7D31"/>
    <w:rsid w:val="006F7F35"/>
    <w:rsid w:val="00701C0F"/>
    <w:rsid w:val="00703301"/>
    <w:rsid w:val="00703F5D"/>
    <w:rsid w:val="007049C8"/>
    <w:rsid w:val="007052A6"/>
    <w:rsid w:val="007057F5"/>
    <w:rsid w:val="007060D8"/>
    <w:rsid w:val="007109E7"/>
    <w:rsid w:val="00710B5A"/>
    <w:rsid w:val="00711756"/>
    <w:rsid w:val="007126CA"/>
    <w:rsid w:val="00712F83"/>
    <w:rsid w:val="00714FA8"/>
    <w:rsid w:val="007160FC"/>
    <w:rsid w:val="00716439"/>
    <w:rsid w:val="00716E12"/>
    <w:rsid w:val="00716E6D"/>
    <w:rsid w:val="00717FB9"/>
    <w:rsid w:val="007243F1"/>
    <w:rsid w:val="00725147"/>
    <w:rsid w:val="0072718E"/>
    <w:rsid w:val="00727CB0"/>
    <w:rsid w:val="00734F44"/>
    <w:rsid w:val="00736297"/>
    <w:rsid w:val="00736C92"/>
    <w:rsid w:val="00736EB0"/>
    <w:rsid w:val="00740C48"/>
    <w:rsid w:val="007420E5"/>
    <w:rsid w:val="00743231"/>
    <w:rsid w:val="00743300"/>
    <w:rsid w:val="00744575"/>
    <w:rsid w:val="0074699E"/>
    <w:rsid w:val="00747187"/>
    <w:rsid w:val="00747240"/>
    <w:rsid w:val="00747B7C"/>
    <w:rsid w:val="00750C57"/>
    <w:rsid w:val="00751A42"/>
    <w:rsid w:val="00753390"/>
    <w:rsid w:val="0075763F"/>
    <w:rsid w:val="00760982"/>
    <w:rsid w:val="00761308"/>
    <w:rsid w:val="00761903"/>
    <w:rsid w:val="00762211"/>
    <w:rsid w:val="00763B99"/>
    <w:rsid w:val="00765BCA"/>
    <w:rsid w:val="007669DF"/>
    <w:rsid w:val="00766A5B"/>
    <w:rsid w:val="00770D57"/>
    <w:rsid w:val="00770FC3"/>
    <w:rsid w:val="00775C26"/>
    <w:rsid w:val="00777A68"/>
    <w:rsid w:val="00777B6E"/>
    <w:rsid w:val="00780263"/>
    <w:rsid w:val="0078101E"/>
    <w:rsid w:val="00781A85"/>
    <w:rsid w:val="00781F05"/>
    <w:rsid w:val="00782E34"/>
    <w:rsid w:val="007832F0"/>
    <w:rsid w:val="00783F0B"/>
    <w:rsid w:val="007873C0"/>
    <w:rsid w:val="00787A5D"/>
    <w:rsid w:val="00791612"/>
    <w:rsid w:val="0079178F"/>
    <w:rsid w:val="00791B44"/>
    <w:rsid w:val="0079240D"/>
    <w:rsid w:val="00792692"/>
    <w:rsid w:val="00792B55"/>
    <w:rsid w:val="00793FCA"/>
    <w:rsid w:val="00794326"/>
    <w:rsid w:val="007953D2"/>
    <w:rsid w:val="0079561A"/>
    <w:rsid w:val="00796A6D"/>
    <w:rsid w:val="00796E4C"/>
    <w:rsid w:val="00797A85"/>
    <w:rsid w:val="007A13C6"/>
    <w:rsid w:val="007A32AB"/>
    <w:rsid w:val="007A6FE3"/>
    <w:rsid w:val="007A783F"/>
    <w:rsid w:val="007B0BD1"/>
    <w:rsid w:val="007B1752"/>
    <w:rsid w:val="007B209D"/>
    <w:rsid w:val="007B3A73"/>
    <w:rsid w:val="007B3EE5"/>
    <w:rsid w:val="007B5353"/>
    <w:rsid w:val="007B5D60"/>
    <w:rsid w:val="007B6DB9"/>
    <w:rsid w:val="007B7838"/>
    <w:rsid w:val="007C288E"/>
    <w:rsid w:val="007C2FAF"/>
    <w:rsid w:val="007C39AA"/>
    <w:rsid w:val="007C4191"/>
    <w:rsid w:val="007C4C76"/>
    <w:rsid w:val="007C5B6D"/>
    <w:rsid w:val="007C692E"/>
    <w:rsid w:val="007D062B"/>
    <w:rsid w:val="007D0971"/>
    <w:rsid w:val="007D1C9F"/>
    <w:rsid w:val="007D4095"/>
    <w:rsid w:val="007D57BA"/>
    <w:rsid w:val="007D650D"/>
    <w:rsid w:val="007D74DD"/>
    <w:rsid w:val="007E07D5"/>
    <w:rsid w:val="007E0E84"/>
    <w:rsid w:val="007E1D2C"/>
    <w:rsid w:val="007E2001"/>
    <w:rsid w:val="007E2C4A"/>
    <w:rsid w:val="007E7F06"/>
    <w:rsid w:val="007F0BB9"/>
    <w:rsid w:val="007F103C"/>
    <w:rsid w:val="007F3756"/>
    <w:rsid w:val="007F6397"/>
    <w:rsid w:val="007F6932"/>
    <w:rsid w:val="007F756B"/>
    <w:rsid w:val="007F79FC"/>
    <w:rsid w:val="008015D7"/>
    <w:rsid w:val="00802D5C"/>
    <w:rsid w:val="00802F60"/>
    <w:rsid w:val="00805DAE"/>
    <w:rsid w:val="00807624"/>
    <w:rsid w:val="00810299"/>
    <w:rsid w:val="00811ECA"/>
    <w:rsid w:val="008124A2"/>
    <w:rsid w:val="008141DE"/>
    <w:rsid w:val="008144AF"/>
    <w:rsid w:val="00815D33"/>
    <w:rsid w:val="00817348"/>
    <w:rsid w:val="00817793"/>
    <w:rsid w:val="0082016A"/>
    <w:rsid w:val="008224BC"/>
    <w:rsid w:val="008231A2"/>
    <w:rsid w:val="00823558"/>
    <w:rsid w:val="00824D82"/>
    <w:rsid w:val="00833540"/>
    <w:rsid w:val="008338D3"/>
    <w:rsid w:val="008349DD"/>
    <w:rsid w:val="00835486"/>
    <w:rsid w:val="00836545"/>
    <w:rsid w:val="00840445"/>
    <w:rsid w:val="00842AD5"/>
    <w:rsid w:val="00843B2A"/>
    <w:rsid w:val="00850253"/>
    <w:rsid w:val="00851478"/>
    <w:rsid w:val="00852016"/>
    <w:rsid w:val="00852E5B"/>
    <w:rsid w:val="008553DF"/>
    <w:rsid w:val="00855929"/>
    <w:rsid w:val="00855CD1"/>
    <w:rsid w:val="0085634A"/>
    <w:rsid w:val="00857489"/>
    <w:rsid w:val="00857F97"/>
    <w:rsid w:val="008603FC"/>
    <w:rsid w:val="00860CDC"/>
    <w:rsid w:val="008616A9"/>
    <w:rsid w:val="008635C0"/>
    <w:rsid w:val="00865A61"/>
    <w:rsid w:val="00866F4C"/>
    <w:rsid w:val="00867F40"/>
    <w:rsid w:val="00870B6D"/>
    <w:rsid w:val="00870E0C"/>
    <w:rsid w:val="0087235E"/>
    <w:rsid w:val="00872417"/>
    <w:rsid w:val="00874802"/>
    <w:rsid w:val="008750FA"/>
    <w:rsid w:val="008775B4"/>
    <w:rsid w:val="0088009B"/>
    <w:rsid w:val="00880695"/>
    <w:rsid w:val="00880AC8"/>
    <w:rsid w:val="00880FBB"/>
    <w:rsid w:val="00882E7A"/>
    <w:rsid w:val="008855FA"/>
    <w:rsid w:val="008879A2"/>
    <w:rsid w:val="00890477"/>
    <w:rsid w:val="008910E8"/>
    <w:rsid w:val="00893041"/>
    <w:rsid w:val="00893C2E"/>
    <w:rsid w:val="00895DE3"/>
    <w:rsid w:val="0089685E"/>
    <w:rsid w:val="00896ADB"/>
    <w:rsid w:val="00896D0D"/>
    <w:rsid w:val="0089773D"/>
    <w:rsid w:val="008A22B3"/>
    <w:rsid w:val="008A281E"/>
    <w:rsid w:val="008A37E9"/>
    <w:rsid w:val="008A4C24"/>
    <w:rsid w:val="008B051D"/>
    <w:rsid w:val="008B08D0"/>
    <w:rsid w:val="008B09B6"/>
    <w:rsid w:val="008B441E"/>
    <w:rsid w:val="008B474B"/>
    <w:rsid w:val="008B5B73"/>
    <w:rsid w:val="008B6854"/>
    <w:rsid w:val="008C3989"/>
    <w:rsid w:val="008C462A"/>
    <w:rsid w:val="008C6554"/>
    <w:rsid w:val="008C6652"/>
    <w:rsid w:val="008C7E79"/>
    <w:rsid w:val="008D0115"/>
    <w:rsid w:val="008D0AE8"/>
    <w:rsid w:val="008D0FCB"/>
    <w:rsid w:val="008D4BEA"/>
    <w:rsid w:val="008D5D95"/>
    <w:rsid w:val="008D6B58"/>
    <w:rsid w:val="008D6E7F"/>
    <w:rsid w:val="008D7E1F"/>
    <w:rsid w:val="008E0675"/>
    <w:rsid w:val="008E3898"/>
    <w:rsid w:val="008E4463"/>
    <w:rsid w:val="008E44FE"/>
    <w:rsid w:val="008E5601"/>
    <w:rsid w:val="008E5A46"/>
    <w:rsid w:val="008E5B5E"/>
    <w:rsid w:val="008E6443"/>
    <w:rsid w:val="008F1D07"/>
    <w:rsid w:val="008F45B5"/>
    <w:rsid w:val="008F5A97"/>
    <w:rsid w:val="008F5E46"/>
    <w:rsid w:val="008F6AF4"/>
    <w:rsid w:val="008F6BDF"/>
    <w:rsid w:val="00901E28"/>
    <w:rsid w:val="009030EB"/>
    <w:rsid w:val="00907C26"/>
    <w:rsid w:val="00907F02"/>
    <w:rsid w:val="00910985"/>
    <w:rsid w:val="009138BE"/>
    <w:rsid w:val="00914709"/>
    <w:rsid w:val="0092040A"/>
    <w:rsid w:val="00924B4B"/>
    <w:rsid w:val="00925468"/>
    <w:rsid w:val="00925E51"/>
    <w:rsid w:val="009262AD"/>
    <w:rsid w:val="00926D6F"/>
    <w:rsid w:val="00927EA4"/>
    <w:rsid w:val="00927EDA"/>
    <w:rsid w:val="0093011C"/>
    <w:rsid w:val="0093043C"/>
    <w:rsid w:val="009307EE"/>
    <w:rsid w:val="00930D3E"/>
    <w:rsid w:val="00930DD2"/>
    <w:rsid w:val="00931584"/>
    <w:rsid w:val="00931948"/>
    <w:rsid w:val="00932B62"/>
    <w:rsid w:val="0093343E"/>
    <w:rsid w:val="00935611"/>
    <w:rsid w:val="00935F5F"/>
    <w:rsid w:val="00936249"/>
    <w:rsid w:val="00937AF7"/>
    <w:rsid w:val="00937E8C"/>
    <w:rsid w:val="00942C6D"/>
    <w:rsid w:val="0094308B"/>
    <w:rsid w:val="00943EEC"/>
    <w:rsid w:val="009442A2"/>
    <w:rsid w:val="0094489B"/>
    <w:rsid w:val="00947745"/>
    <w:rsid w:val="0095122F"/>
    <w:rsid w:val="00951340"/>
    <w:rsid w:val="009522BD"/>
    <w:rsid w:val="00952EC5"/>
    <w:rsid w:val="00953531"/>
    <w:rsid w:val="009541C2"/>
    <w:rsid w:val="00954853"/>
    <w:rsid w:val="00954891"/>
    <w:rsid w:val="009550CA"/>
    <w:rsid w:val="0095594B"/>
    <w:rsid w:val="00955F0A"/>
    <w:rsid w:val="00955F8C"/>
    <w:rsid w:val="009561EB"/>
    <w:rsid w:val="00956BB7"/>
    <w:rsid w:val="00960BA5"/>
    <w:rsid w:val="0096417B"/>
    <w:rsid w:val="00964F34"/>
    <w:rsid w:val="00965EFE"/>
    <w:rsid w:val="00966CB8"/>
    <w:rsid w:val="009713B5"/>
    <w:rsid w:val="0097184F"/>
    <w:rsid w:val="00971E66"/>
    <w:rsid w:val="009760E8"/>
    <w:rsid w:val="00976DE7"/>
    <w:rsid w:val="00980153"/>
    <w:rsid w:val="00980B5C"/>
    <w:rsid w:val="00981B8D"/>
    <w:rsid w:val="00982494"/>
    <w:rsid w:val="009833B7"/>
    <w:rsid w:val="0098445A"/>
    <w:rsid w:val="00985476"/>
    <w:rsid w:val="00987BB6"/>
    <w:rsid w:val="009906A3"/>
    <w:rsid w:val="009906BD"/>
    <w:rsid w:val="009916FE"/>
    <w:rsid w:val="00992FD8"/>
    <w:rsid w:val="009955A5"/>
    <w:rsid w:val="009A0E46"/>
    <w:rsid w:val="009A17FE"/>
    <w:rsid w:val="009A19F2"/>
    <w:rsid w:val="009A1CCF"/>
    <w:rsid w:val="009A2161"/>
    <w:rsid w:val="009A302F"/>
    <w:rsid w:val="009A708B"/>
    <w:rsid w:val="009A7BB6"/>
    <w:rsid w:val="009B09AA"/>
    <w:rsid w:val="009B0D0C"/>
    <w:rsid w:val="009B34FF"/>
    <w:rsid w:val="009B5793"/>
    <w:rsid w:val="009B7315"/>
    <w:rsid w:val="009B7AA6"/>
    <w:rsid w:val="009C41B1"/>
    <w:rsid w:val="009C4DCC"/>
    <w:rsid w:val="009C50A2"/>
    <w:rsid w:val="009C535C"/>
    <w:rsid w:val="009C6967"/>
    <w:rsid w:val="009C6BAA"/>
    <w:rsid w:val="009D1097"/>
    <w:rsid w:val="009D1C70"/>
    <w:rsid w:val="009D34A0"/>
    <w:rsid w:val="009D4F6D"/>
    <w:rsid w:val="009D5C04"/>
    <w:rsid w:val="009E3613"/>
    <w:rsid w:val="009E3748"/>
    <w:rsid w:val="009E44E0"/>
    <w:rsid w:val="009E502C"/>
    <w:rsid w:val="009E544C"/>
    <w:rsid w:val="009E6339"/>
    <w:rsid w:val="009E6A38"/>
    <w:rsid w:val="009F0FE7"/>
    <w:rsid w:val="009F1077"/>
    <w:rsid w:val="009F5CD0"/>
    <w:rsid w:val="009F5DD8"/>
    <w:rsid w:val="009F5EC7"/>
    <w:rsid w:val="009F64F4"/>
    <w:rsid w:val="009F72CF"/>
    <w:rsid w:val="00A00A9F"/>
    <w:rsid w:val="00A02517"/>
    <w:rsid w:val="00A029E7"/>
    <w:rsid w:val="00A06126"/>
    <w:rsid w:val="00A145A1"/>
    <w:rsid w:val="00A15311"/>
    <w:rsid w:val="00A17E27"/>
    <w:rsid w:val="00A22BBC"/>
    <w:rsid w:val="00A26681"/>
    <w:rsid w:val="00A26EF0"/>
    <w:rsid w:val="00A275CB"/>
    <w:rsid w:val="00A278EA"/>
    <w:rsid w:val="00A30E1F"/>
    <w:rsid w:val="00A32215"/>
    <w:rsid w:val="00A325DC"/>
    <w:rsid w:val="00A32C9C"/>
    <w:rsid w:val="00A33499"/>
    <w:rsid w:val="00A35650"/>
    <w:rsid w:val="00A36530"/>
    <w:rsid w:val="00A3799A"/>
    <w:rsid w:val="00A37D13"/>
    <w:rsid w:val="00A4039B"/>
    <w:rsid w:val="00A4069E"/>
    <w:rsid w:val="00A40E96"/>
    <w:rsid w:val="00A47B24"/>
    <w:rsid w:val="00A51267"/>
    <w:rsid w:val="00A51C5A"/>
    <w:rsid w:val="00A54933"/>
    <w:rsid w:val="00A62194"/>
    <w:rsid w:val="00A67E89"/>
    <w:rsid w:val="00A71403"/>
    <w:rsid w:val="00A7177B"/>
    <w:rsid w:val="00A72A3E"/>
    <w:rsid w:val="00A72FDD"/>
    <w:rsid w:val="00A73584"/>
    <w:rsid w:val="00A74626"/>
    <w:rsid w:val="00A761D0"/>
    <w:rsid w:val="00A84426"/>
    <w:rsid w:val="00A8485A"/>
    <w:rsid w:val="00A86BE5"/>
    <w:rsid w:val="00A92B44"/>
    <w:rsid w:val="00A92C9A"/>
    <w:rsid w:val="00A93E5D"/>
    <w:rsid w:val="00A9502D"/>
    <w:rsid w:val="00A96352"/>
    <w:rsid w:val="00A9663B"/>
    <w:rsid w:val="00AA0857"/>
    <w:rsid w:val="00AA19D0"/>
    <w:rsid w:val="00AA1D52"/>
    <w:rsid w:val="00AA3AA7"/>
    <w:rsid w:val="00AA636A"/>
    <w:rsid w:val="00AA6622"/>
    <w:rsid w:val="00AA7E17"/>
    <w:rsid w:val="00AB094C"/>
    <w:rsid w:val="00AB2B81"/>
    <w:rsid w:val="00AB2D65"/>
    <w:rsid w:val="00AB2E8A"/>
    <w:rsid w:val="00AB3757"/>
    <w:rsid w:val="00AB4550"/>
    <w:rsid w:val="00AB6181"/>
    <w:rsid w:val="00AC2B44"/>
    <w:rsid w:val="00AC4FC1"/>
    <w:rsid w:val="00AD053D"/>
    <w:rsid w:val="00AE099A"/>
    <w:rsid w:val="00AE0AAC"/>
    <w:rsid w:val="00AE1A4A"/>
    <w:rsid w:val="00AE227E"/>
    <w:rsid w:val="00AE29BD"/>
    <w:rsid w:val="00AE3623"/>
    <w:rsid w:val="00AE3A26"/>
    <w:rsid w:val="00AE4683"/>
    <w:rsid w:val="00AE46C9"/>
    <w:rsid w:val="00AE488B"/>
    <w:rsid w:val="00AE5978"/>
    <w:rsid w:val="00AE7862"/>
    <w:rsid w:val="00AF0AA8"/>
    <w:rsid w:val="00AF0D76"/>
    <w:rsid w:val="00AF3850"/>
    <w:rsid w:val="00AF484A"/>
    <w:rsid w:val="00AF57AA"/>
    <w:rsid w:val="00AF5A19"/>
    <w:rsid w:val="00AF7031"/>
    <w:rsid w:val="00AF7790"/>
    <w:rsid w:val="00B01D27"/>
    <w:rsid w:val="00B035FA"/>
    <w:rsid w:val="00B03C82"/>
    <w:rsid w:val="00B043F6"/>
    <w:rsid w:val="00B1013D"/>
    <w:rsid w:val="00B14612"/>
    <w:rsid w:val="00B166ED"/>
    <w:rsid w:val="00B20D1E"/>
    <w:rsid w:val="00B21578"/>
    <w:rsid w:val="00B237A6"/>
    <w:rsid w:val="00B24948"/>
    <w:rsid w:val="00B24CC6"/>
    <w:rsid w:val="00B2640F"/>
    <w:rsid w:val="00B31DE1"/>
    <w:rsid w:val="00B322CB"/>
    <w:rsid w:val="00B34177"/>
    <w:rsid w:val="00B37C77"/>
    <w:rsid w:val="00B40B80"/>
    <w:rsid w:val="00B4623A"/>
    <w:rsid w:val="00B465D3"/>
    <w:rsid w:val="00B465DF"/>
    <w:rsid w:val="00B46F9B"/>
    <w:rsid w:val="00B47A77"/>
    <w:rsid w:val="00B50A66"/>
    <w:rsid w:val="00B50CFC"/>
    <w:rsid w:val="00B51B2C"/>
    <w:rsid w:val="00B52789"/>
    <w:rsid w:val="00B527E7"/>
    <w:rsid w:val="00B528F3"/>
    <w:rsid w:val="00B52DC7"/>
    <w:rsid w:val="00B52E6C"/>
    <w:rsid w:val="00B56388"/>
    <w:rsid w:val="00B567A6"/>
    <w:rsid w:val="00B57022"/>
    <w:rsid w:val="00B61F66"/>
    <w:rsid w:val="00B61F9C"/>
    <w:rsid w:val="00B6490E"/>
    <w:rsid w:val="00B66973"/>
    <w:rsid w:val="00B70227"/>
    <w:rsid w:val="00B70377"/>
    <w:rsid w:val="00B7042E"/>
    <w:rsid w:val="00B71359"/>
    <w:rsid w:val="00B726EF"/>
    <w:rsid w:val="00B73CBB"/>
    <w:rsid w:val="00B73F37"/>
    <w:rsid w:val="00B74BA9"/>
    <w:rsid w:val="00B74FDE"/>
    <w:rsid w:val="00B76C03"/>
    <w:rsid w:val="00B76EC9"/>
    <w:rsid w:val="00B7785C"/>
    <w:rsid w:val="00B8184F"/>
    <w:rsid w:val="00B821BA"/>
    <w:rsid w:val="00B83190"/>
    <w:rsid w:val="00B85681"/>
    <w:rsid w:val="00B86962"/>
    <w:rsid w:val="00B86A19"/>
    <w:rsid w:val="00B90C02"/>
    <w:rsid w:val="00B92BF4"/>
    <w:rsid w:val="00B93304"/>
    <w:rsid w:val="00B95CFE"/>
    <w:rsid w:val="00B96971"/>
    <w:rsid w:val="00B97CF0"/>
    <w:rsid w:val="00BA2879"/>
    <w:rsid w:val="00BA5475"/>
    <w:rsid w:val="00BA5BF8"/>
    <w:rsid w:val="00BA7C51"/>
    <w:rsid w:val="00BB1CD4"/>
    <w:rsid w:val="00BB303A"/>
    <w:rsid w:val="00BB3D9E"/>
    <w:rsid w:val="00BB485F"/>
    <w:rsid w:val="00BB5154"/>
    <w:rsid w:val="00BB7867"/>
    <w:rsid w:val="00BB7F59"/>
    <w:rsid w:val="00BC0217"/>
    <w:rsid w:val="00BC1E51"/>
    <w:rsid w:val="00BC21DC"/>
    <w:rsid w:val="00BC3D75"/>
    <w:rsid w:val="00BC424A"/>
    <w:rsid w:val="00BC6CD9"/>
    <w:rsid w:val="00BC783E"/>
    <w:rsid w:val="00BD0203"/>
    <w:rsid w:val="00BD2B11"/>
    <w:rsid w:val="00BD4B4F"/>
    <w:rsid w:val="00BD4C90"/>
    <w:rsid w:val="00BD59AC"/>
    <w:rsid w:val="00BD7C00"/>
    <w:rsid w:val="00BE2192"/>
    <w:rsid w:val="00BE22EE"/>
    <w:rsid w:val="00BE2555"/>
    <w:rsid w:val="00BE3A3B"/>
    <w:rsid w:val="00BE4000"/>
    <w:rsid w:val="00BE4270"/>
    <w:rsid w:val="00BE674A"/>
    <w:rsid w:val="00BE67C9"/>
    <w:rsid w:val="00BE6810"/>
    <w:rsid w:val="00BF0745"/>
    <w:rsid w:val="00BF0938"/>
    <w:rsid w:val="00BF0B27"/>
    <w:rsid w:val="00BF144D"/>
    <w:rsid w:val="00BF3189"/>
    <w:rsid w:val="00BF4A4D"/>
    <w:rsid w:val="00BF5FF3"/>
    <w:rsid w:val="00C00C86"/>
    <w:rsid w:val="00C06687"/>
    <w:rsid w:val="00C068E2"/>
    <w:rsid w:val="00C0727B"/>
    <w:rsid w:val="00C075AB"/>
    <w:rsid w:val="00C07A25"/>
    <w:rsid w:val="00C07E90"/>
    <w:rsid w:val="00C118DF"/>
    <w:rsid w:val="00C172EA"/>
    <w:rsid w:val="00C17649"/>
    <w:rsid w:val="00C212D1"/>
    <w:rsid w:val="00C260D3"/>
    <w:rsid w:val="00C27ED8"/>
    <w:rsid w:val="00C3096B"/>
    <w:rsid w:val="00C30FEB"/>
    <w:rsid w:val="00C32650"/>
    <w:rsid w:val="00C3422F"/>
    <w:rsid w:val="00C347E6"/>
    <w:rsid w:val="00C34B7C"/>
    <w:rsid w:val="00C35295"/>
    <w:rsid w:val="00C35950"/>
    <w:rsid w:val="00C36AC3"/>
    <w:rsid w:val="00C3782B"/>
    <w:rsid w:val="00C408AD"/>
    <w:rsid w:val="00C409C0"/>
    <w:rsid w:val="00C40EEC"/>
    <w:rsid w:val="00C4102B"/>
    <w:rsid w:val="00C445F4"/>
    <w:rsid w:val="00C451FD"/>
    <w:rsid w:val="00C46EE8"/>
    <w:rsid w:val="00C47325"/>
    <w:rsid w:val="00C47418"/>
    <w:rsid w:val="00C50B05"/>
    <w:rsid w:val="00C50F33"/>
    <w:rsid w:val="00C516D5"/>
    <w:rsid w:val="00C54BD7"/>
    <w:rsid w:val="00C55846"/>
    <w:rsid w:val="00C5632B"/>
    <w:rsid w:val="00C60B64"/>
    <w:rsid w:val="00C619ED"/>
    <w:rsid w:val="00C61B6A"/>
    <w:rsid w:val="00C62299"/>
    <w:rsid w:val="00C6554A"/>
    <w:rsid w:val="00C66421"/>
    <w:rsid w:val="00C66573"/>
    <w:rsid w:val="00C669D3"/>
    <w:rsid w:val="00C672E5"/>
    <w:rsid w:val="00C67561"/>
    <w:rsid w:val="00C71108"/>
    <w:rsid w:val="00C71712"/>
    <w:rsid w:val="00C75C4C"/>
    <w:rsid w:val="00C768C2"/>
    <w:rsid w:val="00C76A96"/>
    <w:rsid w:val="00C81DE2"/>
    <w:rsid w:val="00C832BD"/>
    <w:rsid w:val="00C84334"/>
    <w:rsid w:val="00C845F2"/>
    <w:rsid w:val="00C84992"/>
    <w:rsid w:val="00C84D25"/>
    <w:rsid w:val="00C853E8"/>
    <w:rsid w:val="00C86516"/>
    <w:rsid w:val="00C87325"/>
    <w:rsid w:val="00C92934"/>
    <w:rsid w:val="00C92C63"/>
    <w:rsid w:val="00C92ED0"/>
    <w:rsid w:val="00C93213"/>
    <w:rsid w:val="00C93AE0"/>
    <w:rsid w:val="00C94EE6"/>
    <w:rsid w:val="00C95733"/>
    <w:rsid w:val="00C962FE"/>
    <w:rsid w:val="00C96F97"/>
    <w:rsid w:val="00CA242C"/>
    <w:rsid w:val="00CA530F"/>
    <w:rsid w:val="00CA617F"/>
    <w:rsid w:val="00CA79E1"/>
    <w:rsid w:val="00CB1FD4"/>
    <w:rsid w:val="00CB1FF3"/>
    <w:rsid w:val="00CB297D"/>
    <w:rsid w:val="00CB45FB"/>
    <w:rsid w:val="00CB4A5F"/>
    <w:rsid w:val="00CB5771"/>
    <w:rsid w:val="00CC0FE5"/>
    <w:rsid w:val="00CC20CE"/>
    <w:rsid w:val="00CC2C0A"/>
    <w:rsid w:val="00CC4A63"/>
    <w:rsid w:val="00CC538E"/>
    <w:rsid w:val="00CC59F1"/>
    <w:rsid w:val="00CD15A6"/>
    <w:rsid w:val="00CD23E4"/>
    <w:rsid w:val="00CD2BD6"/>
    <w:rsid w:val="00CD35D2"/>
    <w:rsid w:val="00CD3A39"/>
    <w:rsid w:val="00CD3BE0"/>
    <w:rsid w:val="00CD59E2"/>
    <w:rsid w:val="00CE0492"/>
    <w:rsid w:val="00CE2776"/>
    <w:rsid w:val="00CE4111"/>
    <w:rsid w:val="00CE4668"/>
    <w:rsid w:val="00CE7258"/>
    <w:rsid w:val="00CF1DF3"/>
    <w:rsid w:val="00CF2D61"/>
    <w:rsid w:val="00CF4BA5"/>
    <w:rsid w:val="00CF5F1E"/>
    <w:rsid w:val="00D01E11"/>
    <w:rsid w:val="00D0223B"/>
    <w:rsid w:val="00D022D5"/>
    <w:rsid w:val="00D02B48"/>
    <w:rsid w:val="00D0358D"/>
    <w:rsid w:val="00D0482A"/>
    <w:rsid w:val="00D0640D"/>
    <w:rsid w:val="00D07421"/>
    <w:rsid w:val="00D115CD"/>
    <w:rsid w:val="00D12E31"/>
    <w:rsid w:val="00D153E4"/>
    <w:rsid w:val="00D16495"/>
    <w:rsid w:val="00D16970"/>
    <w:rsid w:val="00D1777A"/>
    <w:rsid w:val="00D21506"/>
    <w:rsid w:val="00D21D0D"/>
    <w:rsid w:val="00D24F28"/>
    <w:rsid w:val="00D26F75"/>
    <w:rsid w:val="00D27458"/>
    <w:rsid w:val="00D31286"/>
    <w:rsid w:val="00D327F4"/>
    <w:rsid w:val="00D32C51"/>
    <w:rsid w:val="00D32F2E"/>
    <w:rsid w:val="00D334FC"/>
    <w:rsid w:val="00D34244"/>
    <w:rsid w:val="00D3537F"/>
    <w:rsid w:val="00D35930"/>
    <w:rsid w:val="00D407FA"/>
    <w:rsid w:val="00D410B3"/>
    <w:rsid w:val="00D456A0"/>
    <w:rsid w:val="00D45E9E"/>
    <w:rsid w:val="00D4672F"/>
    <w:rsid w:val="00D468AB"/>
    <w:rsid w:val="00D52B03"/>
    <w:rsid w:val="00D55A5D"/>
    <w:rsid w:val="00D602CF"/>
    <w:rsid w:val="00D608EA"/>
    <w:rsid w:val="00D61792"/>
    <w:rsid w:val="00D61CB4"/>
    <w:rsid w:val="00D62538"/>
    <w:rsid w:val="00D62E55"/>
    <w:rsid w:val="00D65371"/>
    <w:rsid w:val="00D70099"/>
    <w:rsid w:val="00D7019C"/>
    <w:rsid w:val="00D72777"/>
    <w:rsid w:val="00D72FEA"/>
    <w:rsid w:val="00D748D4"/>
    <w:rsid w:val="00D7589F"/>
    <w:rsid w:val="00D75EAD"/>
    <w:rsid w:val="00D765D3"/>
    <w:rsid w:val="00D80C66"/>
    <w:rsid w:val="00D81AFD"/>
    <w:rsid w:val="00D83E2B"/>
    <w:rsid w:val="00D83E43"/>
    <w:rsid w:val="00D8549E"/>
    <w:rsid w:val="00D85813"/>
    <w:rsid w:val="00D918A9"/>
    <w:rsid w:val="00D939E3"/>
    <w:rsid w:val="00D95477"/>
    <w:rsid w:val="00D96156"/>
    <w:rsid w:val="00DA0904"/>
    <w:rsid w:val="00DA2F51"/>
    <w:rsid w:val="00DA3DB2"/>
    <w:rsid w:val="00DB006D"/>
    <w:rsid w:val="00DB07C5"/>
    <w:rsid w:val="00DB1D5A"/>
    <w:rsid w:val="00DB268A"/>
    <w:rsid w:val="00DB26CD"/>
    <w:rsid w:val="00DB3245"/>
    <w:rsid w:val="00DB3DB3"/>
    <w:rsid w:val="00DB6A08"/>
    <w:rsid w:val="00DB7384"/>
    <w:rsid w:val="00DB7947"/>
    <w:rsid w:val="00DD015D"/>
    <w:rsid w:val="00DD05C5"/>
    <w:rsid w:val="00DD0F16"/>
    <w:rsid w:val="00DD101F"/>
    <w:rsid w:val="00DD2237"/>
    <w:rsid w:val="00DD2352"/>
    <w:rsid w:val="00DD292B"/>
    <w:rsid w:val="00DD38DF"/>
    <w:rsid w:val="00DD38F5"/>
    <w:rsid w:val="00DD5502"/>
    <w:rsid w:val="00DD719E"/>
    <w:rsid w:val="00DD746E"/>
    <w:rsid w:val="00DE08AA"/>
    <w:rsid w:val="00DE2299"/>
    <w:rsid w:val="00DE5536"/>
    <w:rsid w:val="00DE60F7"/>
    <w:rsid w:val="00DF2778"/>
    <w:rsid w:val="00DF394D"/>
    <w:rsid w:val="00DF3E08"/>
    <w:rsid w:val="00DF78A1"/>
    <w:rsid w:val="00E00B29"/>
    <w:rsid w:val="00E015D0"/>
    <w:rsid w:val="00E0169E"/>
    <w:rsid w:val="00E01737"/>
    <w:rsid w:val="00E02BFC"/>
    <w:rsid w:val="00E04735"/>
    <w:rsid w:val="00E065A5"/>
    <w:rsid w:val="00E137A2"/>
    <w:rsid w:val="00E169E0"/>
    <w:rsid w:val="00E22668"/>
    <w:rsid w:val="00E234A4"/>
    <w:rsid w:val="00E25493"/>
    <w:rsid w:val="00E25B63"/>
    <w:rsid w:val="00E25C80"/>
    <w:rsid w:val="00E26A0D"/>
    <w:rsid w:val="00E27EE4"/>
    <w:rsid w:val="00E31ABA"/>
    <w:rsid w:val="00E326DF"/>
    <w:rsid w:val="00E32B19"/>
    <w:rsid w:val="00E33227"/>
    <w:rsid w:val="00E34A8E"/>
    <w:rsid w:val="00E34DF4"/>
    <w:rsid w:val="00E3584C"/>
    <w:rsid w:val="00E40C56"/>
    <w:rsid w:val="00E410C2"/>
    <w:rsid w:val="00E44B9F"/>
    <w:rsid w:val="00E4537B"/>
    <w:rsid w:val="00E47270"/>
    <w:rsid w:val="00E50691"/>
    <w:rsid w:val="00E51D4C"/>
    <w:rsid w:val="00E5310B"/>
    <w:rsid w:val="00E537FE"/>
    <w:rsid w:val="00E53EB9"/>
    <w:rsid w:val="00E54D11"/>
    <w:rsid w:val="00E55234"/>
    <w:rsid w:val="00E56E45"/>
    <w:rsid w:val="00E61C26"/>
    <w:rsid w:val="00E64906"/>
    <w:rsid w:val="00E64BDE"/>
    <w:rsid w:val="00E70B34"/>
    <w:rsid w:val="00E74689"/>
    <w:rsid w:val="00E7473B"/>
    <w:rsid w:val="00E75BE9"/>
    <w:rsid w:val="00E7664D"/>
    <w:rsid w:val="00E76D72"/>
    <w:rsid w:val="00E80D2E"/>
    <w:rsid w:val="00E80DCB"/>
    <w:rsid w:val="00E81F52"/>
    <w:rsid w:val="00E837D0"/>
    <w:rsid w:val="00E83A3B"/>
    <w:rsid w:val="00E84991"/>
    <w:rsid w:val="00E868ED"/>
    <w:rsid w:val="00E872BC"/>
    <w:rsid w:val="00E90327"/>
    <w:rsid w:val="00E90684"/>
    <w:rsid w:val="00E907F1"/>
    <w:rsid w:val="00E93EB6"/>
    <w:rsid w:val="00E9548C"/>
    <w:rsid w:val="00E9572C"/>
    <w:rsid w:val="00E96A29"/>
    <w:rsid w:val="00E96B95"/>
    <w:rsid w:val="00EA01C9"/>
    <w:rsid w:val="00EA4343"/>
    <w:rsid w:val="00EA45AC"/>
    <w:rsid w:val="00EA4628"/>
    <w:rsid w:val="00EA59E8"/>
    <w:rsid w:val="00EA635D"/>
    <w:rsid w:val="00EA7A3C"/>
    <w:rsid w:val="00EB32E9"/>
    <w:rsid w:val="00EB43DC"/>
    <w:rsid w:val="00EB7621"/>
    <w:rsid w:val="00EC1D2E"/>
    <w:rsid w:val="00EC1FF6"/>
    <w:rsid w:val="00EC2EE7"/>
    <w:rsid w:val="00EC47DF"/>
    <w:rsid w:val="00EC5331"/>
    <w:rsid w:val="00ED00D6"/>
    <w:rsid w:val="00ED124A"/>
    <w:rsid w:val="00ED27E7"/>
    <w:rsid w:val="00ED2A73"/>
    <w:rsid w:val="00ED35A1"/>
    <w:rsid w:val="00ED4300"/>
    <w:rsid w:val="00ED4C70"/>
    <w:rsid w:val="00ED7C44"/>
    <w:rsid w:val="00ED7E6C"/>
    <w:rsid w:val="00EE0051"/>
    <w:rsid w:val="00EE157F"/>
    <w:rsid w:val="00EE2119"/>
    <w:rsid w:val="00EE3312"/>
    <w:rsid w:val="00EE66E7"/>
    <w:rsid w:val="00EE790F"/>
    <w:rsid w:val="00EF13CC"/>
    <w:rsid w:val="00EF1B3B"/>
    <w:rsid w:val="00EF5525"/>
    <w:rsid w:val="00EF5986"/>
    <w:rsid w:val="00EF5EAB"/>
    <w:rsid w:val="00EF6C53"/>
    <w:rsid w:val="00EF6D01"/>
    <w:rsid w:val="00F012AA"/>
    <w:rsid w:val="00F016A7"/>
    <w:rsid w:val="00F04700"/>
    <w:rsid w:val="00F057ED"/>
    <w:rsid w:val="00F067E9"/>
    <w:rsid w:val="00F11934"/>
    <w:rsid w:val="00F1351E"/>
    <w:rsid w:val="00F140CE"/>
    <w:rsid w:val="00F14E9C"/>
    <w:rsid w:val="00F16338"/>
    <w:rsid w:val="00F20AED"/>
    <w:rsid w:val="00F22922"/>
    <w:rsid w:val="00F275CA"/>
    <w:rsid w:val="00F3151B"/>
    <w:rsid w:val="00F321C2"/>
    <w:rsid w:val="00F334CC"/>
    <w:rsid w:val="00F33F5D"/>
    <w:rsid w:val="00F359AD"/>
    <w:rsid w:val="00F36016"/>
    <w:rsid w:val="00F362E7"/>
    <w:rsid w:val="00F369B0"/>
    <w:rsid w:val="00F40019"/>
    <w:rsid w:val="00F40A79"/>
    <w:rsid w:val="00F431D5"/>
    <w:rsid w:val="00F43493"/>
    <w:rsid w:val="00F46273"/>
    <w:rsid w:val="00F51690"/>
    <w:rsid w:val="00F5175F"/>
    <w:rsid w:val="00F5697C"/>
    <w:rsid w:val="00F61A98"/>
    <w:rsid w:val="00F62FE9"/>
    <w:rsid w:val="00F63A81"/>
    <w:rsid w:val="00F64888"/>
    <w:rsid w:val="00F662C7"/>
    <w:rsid w:val="00F66C77"/>
    <w:rsid w:val="00F71E1F"/>
    <w:rsid w:val="00F7357B"/>
    <w:rsid w:val="00F73953"/>
    <w:rsid w:val="00F73BFF"/>
    <w:rsid w:val="00F749DC"/>
    <w:rsid w:val="00F74A1F"/>
    <w:rsid w:val="00F752E2"/>
    <w:rsid w:val="00F75D9C"/>
    <w:rsid w:val="00F80EB7"/>
    <w:rsid w:val="00F8128E"/>
    <w:rsid w:val="00F82A84"/>
    <w:rsid w:val="00F82EF9"/>
    <w:rsid w:val="00F84126"/>
    <w:rsid w:val="00F846BB"/>
    <w:rsid w:val="00F84898"/>
    <w:rsid w:val="00F85CEC"/>
    <w:rsid w:val="00F85FF5"/>
    <w:rsid w:val="00F86904"/>
    <w:rsid w:val="00F86E1A"/>
    <w:rsid w:val="00F900A2"/>
    <w:rsid w:val="00F90D23"/>
    <w:rsid w:val="00F90D91"/>
    <w:rsid w:val="00F92BFA"/>
    <w:rsid w:val="00F97E7A"/>
    <w:rsid w:val="00F97F52"/>
    <w:rsid w:val="00F97F9B"/>
    <w:rsid w:val="00FA0D0B"/>
    <w:rsid w:val="00FA24C6"/>
    <w:rsid w:val="00FA2AB6"/>
    <w:rsid w:val="00FA321B"/>
    <w:rsid w:val="00FA43FD"/>
    <w:rsid w:val="00FA4717"/>
    <w:rsid w:val="00FA4D05"/>
    <w:rsid w:val="00FA7965"/>
    <w:rsid w:val="00FB032F"/>
    <w:rsid w:val="00FB276E"/>
    <w:rsid w:val="00FB27FC"/>
    <w:rsid w:val="00FB4379"/>
    <w:rsid w:val="00FB49DC"/>
    <w:rsid w:val="00FB5AD3"/>
    <w:rsid w:val="00FB660A"/>
    <w:rsid w:val="00FC03C3"/>
    <w:rsid w:val="00FC2CA7"/>
    <w:rsid w:val="00FC48DE"/>
    <w:rsid w:val="00FC5265"/>
    <w:rsid w:val="00FC5AB3"/>
    <w:rsid w:val="00FD097A"/>
    <w:rsid w:val="00FD0B34"/>
    <w:rsid w:val="00FD3615"/>
    <w:rsid w:val="00FD411F"/>
    <w:rsid w:val="00FD61DD"/>
    <w:rsid w:val="00FD6681"/>
    <w:rsid w:val="00FE46CF"/>
    <w:rsid w:val="00FE6948"/>
    <w:rsid w:val="00FE6F89"/>
    <w:rsid w:val="00FE6FA5"/>
    <w:rsid w:val="00FF2A44"/>
    <w:rsid w:val="00FF320E"/>
    <w:rsid w:val="00FF3B33"/>
    <w:rsid w:val="00FF6377"/>
    <w:rsid w:val="00FF72E1"/>
    <w:rsid w:val="00FF73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6F904"/>
  <w15:docId w15:val="{A5A634CD-C4A7-4F7B-B711-1E74A53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9F2"/>
    <w:rPr>
      <w:rFonts w:ascii="Arial" w:hAnsi="Arial"/>
    </w:rPr>
  </w:style>
  <w:style w:type="paragraph" w:styleId="Heading1">
    <w:name w:val="heading 1"/>
    <w:basedOn w:val="Normal"/>
    <w:next w:val="Normal"/>
    <w:link w:val="Heading1Char"/>
    <w:uiPriority w:val="9"/>
    <w:qFormat/>
    <w:rsid w:val="0078101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E29BD"/>
    <w:pPr>
      <w:keepNext/>
      <w:keepLines/>
      <w:spacing w:before="200" w:after="0"/>
      <w:outlineLvl w:val="1"/>
    </w:pPr>
    <w:rPr>
      <w:rFonts w:asciiTheme="majorHAnsi" w:eastAsiaTheme="majorEastAsia" w:hAnsiTheme="majorHAnsi" w:cstheme="majorBidi"/>
      <w:b/>
      <w:bCs/>
      <w:color w:val="E48312" w:themeColor="accent1"/>
      <w:sz w:val="26"/>
      <w:szCs w:val="26"/>
    </w:rPr>
  </w:style>
  <w:style w:type="paragraph" w:styleId="Heading3">
    <w:name w:val="heading 3"/>
    <w:basedOn w:val="Normal"/>
    <w:next w:val="Normal"/>
    <w:link w:val="Heading3Char"/>
    <w:uiPriority w:val="9"/>
    <w:unhideWhenUsed/>
    <w:qFormat/>
    <w:rsid w:val="00AE29BD"/>
    <w:pPr>
      <w:keepNext/>
      <w:keepLines/>
      <w:spacing w:before="200" w:after="0"/>
      <w:outlineLvl w:val="2"/>
    </w:pPr>
    <w:rPr>
      <w:rFonts w:asciiTheme="majorHAnsi" w:eastAsiaTheme="majorEastAsia" w:hAnsiTheme="majorHAnsi" w:cstheme="majorBidi"/>
      <w:b/>
      <w:bCs/>
      <w:color w:val="E48312" w:themeColor="accent1"/>
    </w:rPr>
  </w:style>
  <w:style w:type="paragraph" w:styleId="Heading4">
    <w:name w:val="heading 4"/>
    <w:basedOn w:val="Normal"/>
    <w:next w:val="Normal"/>
    <w:link w:val="Heading4Char"/>
    <w:uiPriority w:val="9"/>
    <w:semiHidden/>
    <w:unhideWhenUsed/>
    <w:qFormat/>
    <w:rsid w:val="00AE29BD"/>
    <w:pPr>
      <w:keepNext/>
      <w:keepLines/>
      <w:spacing w:before="200" w:after="0"/>
      <w:outlineLvl w:val="3"/>
    </w:pPr>
    <w:rPr>
      <w:rFonts w:asciiTheme="majorHAnsi" w:eastAsiaTheme="majorEastAsia" w:hAnsiTheme="majorHAnsi" w:cstheme="majorBidi"/>
      <w:b/>
      <w:bCs/>
      <w:i/>
      <w:iCs/>
      <w:color w:val="E48312" w:themeColor="accent1"/>
    </w:rPr>
  </w:style>
  <w:style w:type="paragraph" w:styleId="Heading5">
    <w:name w:val="heading 5"/>
    <w:basedOn w:val="Normal"/>
    <w:next w:val="Normal"/>
    <w:link w:val="Heading5Char"/>
    <w:uiPriority w:val="9"/>
    <w:semiHidden/>
    <w:unhideWhenUsed/>
    <w:qFormat/>
    <w:rsid w:val="00AE29BD"/>
    <w:pPr>
      <w:keepNext/>
      <w:keepLines/>
      <w:spacing w:before="200" w:after="0"/>
      <w:outlineLvl w:val="4"/>
    </w:pPr>
    <w:rPr>
      <w:rFonts w:asciiTheme="majorHAnsi" w:eastAsiaTheme="majorEastAsia" w:hAnsiTheme="majorHAnsi" w:cstheme="majorBidi"/>
      <w:color w:val="714109" w:themeColor="accent1" w:themeShade="7F"/>
    </w:rPr>
  </w:style>
  <w:style w:type="paragraph" w:styleId="Heading6">
    <w:name w:val="heading 6"/>
    <w:basedOn w:val="Normal"/>
    <w:next w:val="Normal"/>
    <w:link w:val="Heading6Char"/>
    <w:uiPriority w:val="9"/>
    <w:semiHidden/>
    <w:unhideWhenUsed/>
    <w:qFormat/>
    <w:rsid w:val="00AE29BD"/>
    <w:pPr>
      <w:keepNext/>
      <w:keepLines/>
      <w:spacing w:before="200" w:after="0"/>
      <w:outlineLvl w:val="5"/>
    </w:pPr>
    <w:rPr>
      <w:rFonts w:asciiTheme="majorHAnsi" w:eastAsiaTheme="majorEastAsia" w:hAnsiTheme="majorHAnsi" w:cstheme="majorBidi"/>
      <w:i/>
      <w:iCs/>
      <w:color w:val="714109" w:themeColor="accent1" w:themeShade="7F"/>
    </w:rPr>
  </w:style>
  <w:style w:type="paragraph" w:styleId="Heading7">
    <w:name w:val="heading 7"/>
    <w:basedOn w:val="Normal"/>
    <w:next w:val="Normal"/>
    <w:link w:val="Heading7Char"/>
    <w:uiPriority w:val="9"/>
    <w:semiHidden/>
    <w:unhideWhenUsed/>
    <w:qFormat/>
    <w:rsid w:val="00AE29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29BD"/>
    <w:pPr>
      <w:keepNext/>
      <w:keepLines/>
      <w:spacing w:before="200" w:after="0"/>
      <w:outlineLvl w:val="7"/>
    </w:pPr>
    <w:rPr>
      <w:rFonts w:asciiTheme="majorHAnsi" w:eastAsiaTheme="majorEastAsia" w:hAnsiTheme="majorHAnsi" w:cstheme="majorBidi"/>
      <w:color w:val="E48312" w:themeColor="accent1"/>
      <w:sz w:val="20"/>
      <w:szCs w:val="20"/>
    </w:rPr>
  </w:style>
  <w:style w:type="paragraph" w:styleId="Heading9">
    <w:name w:val="heading 9"/>
    <w:basedOn w:val="Normal"/>
    <w:next w:val="Normal"/>
    <w:link w:val="Heading9Char"/>
    <w:uiPriority w:val="9"/>
    <w:semiHidden/>
    <w:unhideWhenUsed/>
    <w:qFormat/>
    <w:rsid w:val="00AE29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1E"/>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AE29BD"/>
    <w:rPr>
      <w:rFonts w:asciiTheme="majorHAnsi" w:eastAsiaTheme="majorEastAsia" w:hAnsiTheme="majorHAnsi" w:cstheme="majorBidi"/>
      <w:b/>
      <w:bCs/>
      <w:color w:val="E48312" w:themeColor="accent1"/>
      <w:sz w:val="26"/>
      <w:szCs w:val="26"/>
    </w:rPr>
  </w:style>
  <w:style w:type="paragraph" w:customStyle="1" w:styleId="ContactInfo">
    <w:name w:val="Contact Info"/>
    <w:basedOn w:val="Normal"/>
    <w:uiPriority w:val="4"/>
    <w:rsid w:val="00AE29BD"/>
    <w:pPr>
      <w:spacing w:after="0"/>
      <w:jc w:val="center"/>
    </w:pPr>
  </w:style>
  <w:style w:type="paragraph" w:styleId="ListBullet">
    <w:name w:val="List Bullet"/>
    <w:basedOn w:val="Normal"/>
    <w:uiPriority w:val="10"/>
    <w:unhideWhenUsed/>
    <w:rsid w:val="00AE29BD"/>
    <w:pPr>
      <w:numPr>
        <w:numId w:val="1"/>
      </w:numPr>
    </w:pPr>
  </w:style>
  <w:style w:type="paragraph" w:styleId="Title">
    <w:name w:val="Title"/>
    <w:basedOn w:val="Normal"/>
    <w:next w:val="Normal"/>
    <w:link w:val="TitleChar"/>
    <w:uiPriority w:val="10"/>
    <w:qFormat/>
    <w:rsid w:val="00AE29BD"/>
    <w:pPr>
      <w:pBdr>
        <w:bottom w:val="single" w:sz="8" w:space="4" w:color="E48312" w:themeColor="accent1"/>
      </w:pBdr>
      <w:spacing w:after="300" w:line="240" w:lineRule="auto"/>
      <w:contextualSpacing/>
    </w:pPr>
    <w:rPr>
      <w:rFonts w:asciiTheme="majorHAnsi" w:eastAsiaTheme="majorEastAsia" w:hAnsiTheme="majorHAnsi" w:cstheme="majorBidi"/>
      <w:color w:val="49533D" w:themeColor="text2" w:themeShade="BF"/>
      <w:spacing w:val="5"/>
      <w:sz w:val="52"/>
      <w:szCs w:val="52"/>
    </w:rPr>
  </w:style>
  <w:style w:type="character" w:customStyle="1" w:styleId="TitleChar">
    <w:name w:val="Title Char"/>
    <w:basedOn w:val="DefaultParagraphFont"/>
    <w:link w:val="Title"/>
    <w:uiPriority w:val="10"/>
    <w:rsid w:val="00AE29BD"/>
    <w:rPr>
      <w:rFonts w:asciiTheme="majorHAnsi" w:eastAsiaTheme="majorEastAsia" w:hAnsiTheme="majorHAnsi" w:cstheme="majorBidi"/>
      <w:color w:val="49533D" w:themeColor="text2" w:themeShade="BF"/>
      <w:spacing w:val="5"/>
      <w:sz w:val="52"/>
      <w:szCs w:val="52"/>
    </w:rPr>
  </w:style>
  <w:style w:type="paragraph" w:styleId="Subtitle">
    <w:name w:val="Subtitle"/>
    <w:basedOn w:val="Normal"/>
    <w:next w:val="Normal"/>
    <w:link w:val="SubtitleChar"/>
    <w:uiPriority w:val="11"/>
    <w:qFormat/>
    <w:rsid w:val="00AE29BD"/>
    <w:pPr>
      <w:numPr>
        <w:ilvl w:val="1"/>
      </w:numPr>
    </w:pPr>
    <w:rPr>
      <w:rFonts w:asciiTheme="majorHAnsi" w:eastAsiaTheme="majorEastAsia" w:hAnsiTheme="majorHAnsi" w:cstheme="majorBidi"/>
      <w:i/>
      <w:iCs/>
      <w:color w:val="E48312" w:themeColor="accent1"/>
      <w:spacing w:val="15"/>
      <w:sz w:val="24"/>
      <w:szCs w:val="24"/>
    </w:rPr>
  </w:style>
  <w:style w:type="character" w:customStyle="1" w:styleId="SubtitleChar">
    <w:name w:val="Subtitle Char"/>
    <w:basedOn w:val="DefaultParagraphFont"/>
    <w:link w:val="Subtitle"/>
    <w:uiPriority w:val="11"/>
    <w:rsid w:val="00AE29BD"/>
    <w:rPr>
      <w:rFonts w:asciiTheme="majorHAnsi" w:eastAsiaTheme="majorEastAsia" w:hAnsiTheme="majorHAnsi" w:cstheme="majorBidi"/>
      <w:i/>
      <w:iCs/>
      <w:color w:val="E48312" w:themeColor="accent1"/>
      <w:spacing w:val="15"/>
      <w:sz w:val="24"/>
      <w:szCs w:val="24"/>
    </w:rPr>
  </w:style>
  <w:style w:type="paragraph" w:styleId="Footer">
    <w:name w:val="footer"/>
    <w:basedOn w:val="Normal"/>
    <w:link w:val="FooterChar"/>
    <w:uiPriority w:val="99"/>
    <w:unhideWhenUsed/>
    <w:rsid w:val="00C6554A"/>
    <w:pPr>
      <w:spacing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rsid w:val="00AE29BD"/>
    <w:pPr>
      <w:spacing w:after="0" w:line="240" w:lineRule="auto"/>
      <w:jc w:val="center"/>
    </w:pPr>
  </w:style>
  <w:style w:type="paragraph" w:styleId="Header">
    <w:name w:val="header"/>
    <w:basedOn w:val="Normal"/>
    <w:link w:val="HeaderChar"/>
    <w:uiPriority w:val="99"/>
    <w:unhideWhenUsed/>
    <w:rsid w:val="00C6554A"/>
    <w:pPr>
      <w:spacing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rsid w:val="00AE29BD"/>
    <w:pPr>
      <w:numPr>
        <w:numId w:val="2"/>
      </w:numPr>
      <w:contextualSpacing/>
    </w:pPr>
  </w:style>
  <w:style w:type="character" w:customStyle="1" w:styleId="Heading3Char">
    <w:name w:val="Heading 3 Char"/>
    <w:basedOn w:val="DefaultParagraphFont"/>
    <w:link w:val="Heading3"/>
    <w:uiPriority w:val="9"/>
    <w:rsid w:val="00AE29BD"/>
    <w:rPr>
      <w:rFonts w:asciiTheme="majorHAnsi" w:eastAsiaTheme="majorEastAsia" w:hAnsiTheme="majorHAnsi" w:cstheme="majorBidi"/>
      <w:b/>
      <w:bCs/>
      <w:color w:val="E48312" w:themeColor="accent1"/>
    </w:rPr>
  </w:style>
  <w:style w:type="character" w:customStyle="1" w:styleId="Heading8Char">
    <w:name w:val="Heading 8 Char"/>
    <w:basedOn w:val="DefaultParagraphFont"/>
    <w:link w:val="Heading8"/>
    <w:uiPriority w:val="9"/>
    <w:semiHidden/>
    <w:rsid w:val="00AE29BD"/>
    <w:rPr>
      <w:rFonts w:asciiTheme="majorHAnsi" w:eastAsiaTheme="majorEastAsia" w:hAnsiTheme="majorHAnsi" w:cstheme="majorBidi"/>
      <w:color w:val="E48312" w:themeColor="accent1"/>
      <w:sz w:val="20"/>
      <w:szCs w:val="20"/>
    </w:rPr>
  </w:style>
  <w:style w:type="character" w:customStyle="1" w:styleId="Heading9Char">
    <w:name w:val="Heading 9 Char"/>
    <w:basedOn w:val="DefaultParagraphFont"/>
    <w:link w:val="Heading9"/>
    <w:uiPriority w:val="9"/>
    <w:semiHidden/>
    <w:rsid w:val="00AE29BD"/>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AE29BD"/>
    <w:rPr>
      <w:b/>
      <w:bCs/>
      <w:i/>
      <w:iCs/>
      <w:color w:val="E48312" w:themeColor="accent1"/>
    </w:rPr>
  </w:style>
  <w:style w:type="paragraph" w:styleId="IntenseQuote">
    <w:name w:val="Intense Quote"/>
    <w:basedOn w:val="Normal"/>
    <w:next w:val="Normal"/>
    <w:link w:val="IntenseQuoteChar"/>
    <w:uiPriority w:val="30"/>
    <w:qFormat/>
    <w:rsid w:val="00AE29BD"/>
    <w:pPr>
      <w:pBdr>
        <w:bottom w:val="single" w:sz="4" w:space="4" w:color="E48312" w:themeColor="accent1"/>
      </w:pBdr>
      <w:spacing w:before="200" w:after="280"/>
      <w:ind w:left="936" w:right="936"/>
    </w:pPr>
    <w:rPr>
      <w:b/>
      <w:bCs/>
      <w:i/>
      <w:iCs/>
      <w:color w:val="E48312" w:themeColor="accent1"/>
    </w:rPr>
  </w:style>
  <w:style w:type="character" w:customStyle="1" w:styleId="IntenseQuoteChar">
    <w:name w:val="Intense Quote Char"/>
    <w:basedOn w:val="DefaultParagraphFont"/>
    <w:link w:val="IntenseQuote"/>
    <w:uiPriority w:val="30"/>
    <w:rsid w:val="00AE29BD"/>
    <w:rPr>
      <w:b/>
      <w:bCs/>
      <w:i/>
      <w:iCs/>
      <w:color w:val="E48312" w:themeColor="accent1"/>
    </w:rPr>
  </w:style>
  <w:style w:type="character" w:styleId="IntenseReference">
    <w:name w:val="Intense Reference"/>
    <w:basedOn w:val="DefaultParagraphFont"/>
    <w:uiPriority w:val="32"/>
    <w:qFormat/>
    <w:rsid w:val="00AE29BD"/>
    <w:rPr>
      <w:b/>
      <w:bCs/>
      <w:smallCaps/>
      <w:color w:val="BD582C" w:themeColor="accent2"/>
      <w:spacing w:val="5"/>
      <w:u w:val="single"/>
    </w:rPr>
  </w:style>
  <w:style w:type="paragraph" w:styleId="Caption">
    <w:name w:val="caption"/>
    <w:basedOn w:val="Normal"/>
    <w:next w:val="Normal"/>
    <w:uiPriority w:val="35"/>
    <w:unhideWhenUsed/>
    <w:qFormat/>
    <w:rsid w:val="00AE29BD"/>
    <w:pPr>
      <w:spacing w:line="240" w:lineRule="auto"/>
    </w:pPr>
    <w:rPr>
      <w:b/>
      <w:bCs/>
      <w:color w:val="E48312" w:themeColor="accent1"/>
      <w:sz w:val="18"/>
      <w:szCs w:val="18"/>
    </w:rPr>
  </w:style>
  <w:style w:type="paragraph" w:styleId="BalloonText">
    <w:name w:val="Balloon Text"/>
    <w:basedOn w:val="Normal"/>
    <w:link w:val="BalloonTextChar"/>
    <w:uiPriority w:val="99"/>
    <w:semiHidden/>
    <w:unhideWhenUsed/>
    <w:rsid w:val="00C6554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AA610D" w:themeColor="accent1" w:themeShade="BF"/>
        <w:left w:val="single" w:sz="2" w:space="10" w:color="AA610D" w:themeColor="accent1" w:themeShade="BF"/>
        <w:bottom w:val="single" w:sz="2" w:space="10" w:color="AA610D" w:themeColor="accent1" w:themeShade="BF"/>
        <w:right w:val="single" w:sz="2" w:space="10" w:color="AA610D" w:themeColor="accent1" w:themeShade="BF"/>
      </w:pBdr>
      <w:ind w:left="1152" w:right="1152"/>
    </w:pPr>
    <w:rPr>
      <w:i/>
      <w:iCs/>
      <w:color w:val="AA610D"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unhideWhenUsed/>
    <w:rsid w:val="00C6554A"/>
    <w:pPr>
      <w:spacing w:line="240" w:lineRule="auto"/>
    </w:pPr>
    <w:rPr>
      <w:szCs w:val="20"/>
    </w:rPr>
  </w:style>
  <w:style w:type="character" w:customStyle="1" w:styleId="CommentTextChar">
    <w:name w:val="Comment Text Char"/>
    <w:basedOn w:val="DefaultParagraphFont"/>
    <w:link w:val="CommentText"/>
    <w:uiPriority w:val="99"/>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AA610D" w:themeColor="accent1" w:themeShade="BF"/>
      <w:u w:val="single"/>
    </w:rPr>
  </w:style>
  <w:style w:type="paragraph" w:styleId="FootnoteText">
    <w:name w:val="footnote text"/>
    <w:basedOn w:val="Normal"/>
    <w:link w:val="FootnoteTextChar"/>
    <w:uiPriority w:val="99"/>
    <w:semiHidden/>
    <w:unhideWhenUsed/>
    <w:rsid w:val="00C6554A"/>
    <w:pPr>
      <w:spacing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432B2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AE29BD"/>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AE29BD"/>
    <w:rPr>
      <w:rFonts w:asciiTheme="majorHAnsi" w:eastAsiaTheme="majorEastAsia" w:hAnsiTheme="majorHAnsi" w:cstheme="majorBidi"/>
      <w:i/>
      <w:iCs/>
      <w:color w:val="714109" w:themeColor="accent1" w:themeShade="7F"/>
    </w:rPr>
  </w:style>
  <w:style w:type="paragraph" w:styleId="ListParagraph">
    <w:name w:val="List Paragraph"/>
    <w:basedOn w:val="Normal"/>
    <w:uiPriority w:val="34"/>
    <w:qFormat/>
    <w:rsid w:val="00F73953"/>
    <w:pPr>
      <w:ind w:left="720"/>
      <w:contextualSpacing/>
    </w:pPr>
  </w:style>
  <w:style w:type="table" w:styleId="TableGrid">
    <w:name w:val="Table Grid"/>
    <w:basedOn w:val="TableNormal"/>
    <w:uiPriority w:val="39"/>
    <w:rsid w:val="00F7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B570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semiHidden/>
    <w:rsid w:val="00AE29BD"/>
    <w:rPr>
      <w:rFonts w:asciiTheme="majorHAnsi" w:eastAsiaTheme="majorEastAsia" w:hAnsiTheme="majorHAnsi" w:cstheme="majorBidi"/>
      <w:b/>
      <w:bCs/>
      <w:i/>
      <w:iCs/>
      <w:color w:val="E48312" w:themeColor="accent1"/>
    </w:rPr>
  </w:style>
  <w:style w:type="character" w:customStyle="1" w:styleId="Heading5Char">
    <w:name w:val="Heading 5 Char"/>
    <w:basedOn w:val="DefaultParagraphFont"/>
    <w:link w:val="Heading5"/>
    <w:uiPriority w:val="9"/>
    <w:semiHidden/>
    <w:rsid w:val="00AE29BD"/>
    <w:rPr>
      <w:rFonts w:asciiTheme="majorHAnsi" w:eastAsiaTheme="majorEastAsia" w:hAnsiTheme="majorHAnsi" w:cstheme="majorBidi"/>
      <w:color w:val="714109" w:themeColor="accent1" w:themeShade="7F"/>
    </w:rPr>
  </w:style>
  <w:style w:type="character" w:styleId="Strong">
    <w:name w:val="Strong"/>
    <w:basedOn w:val="DefaultParagraphFont"/>
    <w:uiPriority w:val="22"/>
    <w:qFormat/>
    <w:rsid w:val="00AE29BD"/>
    <w:rPr>
      <w:b/>
      <w:bCs/>
    </w:rPr>
  </w:style>
  <w:style w:type="character" w:styleId="Emphasis">
    <w:name w:val="Emphasis"/>
    <w:basedOn w:val="DefaultParagraphFont"/>
    <w:uiPriority w:val="20"/>
    <w:qFormat/>
    <w:rsid w:val="00AE29BD"/>
    <w:rPr>
      <w:i/>
      <w:iCs/>
    </w:rPr>
  </w:style>
  <w:style w:type="paragraph" w:styleId="NoSpacing">
    <w:name w:val="No Spacing"/>
    <w:uiPriority w:val="1"/>
    <w:qFormat/>
    <w:rsid w:val="00AE29BD"/>
    <w:pPr>
      <w:spacing w:after="0" w:line="240" w:lineRule="auto"/>
    </w:pPr>
  </w:style>
  <w:style w:type="paragraph" w:styleId="Quote">
    <w:name w:val="Quote"/>
    <w:basedOn w:val="Normal"/>
    <w:next w:val="Normal"/>
    <w:link w:val="QuoteChar"/>
    <w:uiPriority w:val="29"/>
    <w:qFormat/>
    <w:rsid w:val="00AE29BD"/>
    <w:rPr>
      <w:i/>
      <w:iCs/>
      <w:color w:val="000000" w:themeColor="text1"/>
    </w:rPr>
  </w:style>
  <w:style w:type="character" w:customStyle="1" w:styleId="QuoteChar">
    <w:name w:val="Quote Char"/>
    <w:basedOn w:val="DefaultParagraphFont"/>
    <w:link w:val="Quote"/>
    <w:uiPriority w:val="29"/>
    <w:rsid w:val="00AE29BD"/>
    <w:rPr>
      <w:i/>
      <w:iCs/>
      <w:color w:val="000000" w:themeColor="text1"/>
    </w:rPr>
  </w:style>
  <w:style w:type="character" w:styleId="SubtleEmphasis">
    <w:name w:val="Subtle Emphasis"/>
    <w:basedOn w:val="DefaultParagraphFont"/>
    <w:uiPriority w:val="19"/>
    <w:qFormat/>
    <w:rsid w:val="00AE29BD"/>
    <w:rPr>
      <w:i/>
      <w:iCs/>
      <w:color w:val="808080" w:themeColor="text1" w:themeTint="7F"/>
    </w:rPr>
  </w:style>
  <w:style w:type="character" w:styleId="SubtleReference">
    <w:name w:val="Subtle Reference"/>
    <w:basedOn w:val="DefaultParagraphFont"/>
    <w:uiPriority w:val="31"/>
    <w:qFormat/>
    <w:rsid w:val="00AE29BD"/>
    <w:rPr>
      <w:smallCaps/>
      <w:color w:val="BD582C" w:themeColor="accent2"/>
      <w:u w:val="single"/>
    </w:rPr>
  </w:style>
  <w:style w:type="character" w:styleId="BookTitle">
    <w:name w:val="Book Title"/>
    <w:basedOn w:val="DefaultParagraphFont"/>
    <w:uiPriority w:val="33"/>
    <w:qFormat/>
    <w:rsid w:val="00AE29BD"/>
    <w:rPr>
      <w:b/>
      <w:bCs/>
      <w:smallCaps/>
      <w:spacing w:val="5"/>
    </w:rPr>
  </w:style>
  <w:style w:type="paragraph" w:styleId="TOCHeading">
    <w:name w:val="TOC Heading"/>
    <w:basedOn w:val="Heading1"/>
    <w:next w:val="Normal"/>
    <w:uiPriority w:val="39"/>
    <w:unhideWhenUsed/>
    <w:qFormat/>
    <w:rsid w:val="00AE29BD"/>
    <w:pPr>
      <w:outlineLvl w:val="9"/>
    </w:pPr>
  </w:style>
  <w:style w:type="table" w:customStyle="1" w:styleId="PlainTable51">
    <w:name w:val="Plain Table 51"/>
    <w:basedOn w:val="TableNormal"/>
    <w:uiPriority w:val="45"/>
    <w:rsid w:val="00F516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476D04"/>
    <w:pPr>
      <w:spacing w:after="0" w:line="240" w:lineRule="auto"/>
    </w:pPr>
    <w:rPr>
      <w:color w:val="A29A4E" w:themeColor="accent5" w:themeShade="BF"/>
    </w:rPr>
    <w:tblPr>
      <w:tblStyleRowBandSize w:val="1"/>
      <w:tblStyleColBandSize w:val="1"/>
      <w:tblBorders>
        <w:top w:val="single" w:sz="4" w:space="0" w:color="C2BC80" w:themeColor="accent5"/>
        <w:bottom w:val="single" w:sz="4" w:space="0" w:color="C2BC80" w:themeColor="accent5"/>
      </w:tblBorders>
    </w:tblPr>
    <w:tblStylePr w:type="firstRow">
      <w:rPr>
        <w:b/>
        <w:bCs/>
      </w:rPr>
      <w:tblPr/>
      <w:tcPr>
        <w:tcBorders>
          <w:bottom w:val="single" w:sz="4" w:space="0" w:color="C2BC80" w:themeColor="accent5"/>
        </w:tcBorders>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customStyle="1" w:styleId="ListTable6Colorful-Accent21">
    <w:name w:val="List Table 6 Colorful - Accent 21"/>
    <w:basedOn w:val="TableNormal"/>
    <w:uiPriority w:val="51"/>
    <w:rsid w:val="00476D04"/>
    <w:pPr>
      <w:spacing w:after="0" w:line="240" w:lineRule="auto"/>
    </w:pPr>
    <w:rPr>
      <w:color w:val="8D4121" w:themeColor="accent2" w:themeShade="BF"/>
    </w:rPr>
    <w:tblPr>
      <w:tblStyleRowBandSize w:val="1"/>
      <w:tblStyleColBandSize w:val="1"/>
      <w:tblBorders>
        <w:top w:val="single" w:sz="4" w:space="0" w:color="BD582C" w:themeColor="accent2"/>
        <w:bottom w:val="single" w:sz="4" w:space="0" w:color="BD582C" w:themeColor="accent2"/>
      </w:tblBorders>
    </w:tblPr>
    <w:tblStylePr w:type="firstRow">
      <w:rPr>
        <w:b/>
        <w:bCs/>
      </w:rPr>
      <w:tblPr/>
      <w:tcPr>
        <w:tcBorders>
          <w:bottom w:val="single" w:sz="4" w:space="0" w:color="BD582C" w:themeColor="accent2"/>
        </w:tcBorders>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customStyle="1" w:styleId="PlainTable11">
    <w:name w:val="Plain Table 11"/>
    <w:basedOn w:val="TableNormal"/>
    <w:uiPriority w:val="41"/>
    <w:rsid w:val="00476D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648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648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1">
    <w:name w:val="List Table 21"/>
    <w:basedOn w:val="TableNormal"/>
    <w:uiPriority w:val="47"/>
    <w:rsid w:val="00734F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6B3C33"/>
  </w:style>
  <w:style w:type="character" w:styleId="FootnoteReference">
    <w:name w:val="footnote reference"/>
    <w:basedOn w:val="DefaultParagraphFont"/>
    <w:uiPriority w:val="99"/>
    <w:semiHidden/>
    <w:unhideWhenUsed/>
    <w:rsid w:val="00796A6D"/>
    <w:rPr>
      <w:vertAlign w:val="superscript"/>
    </w:rPr>
  </w:style>
  <w:style w:type="character" w:customStyle="1" w:styleId="Mention1">
    <w:name w:val="Mention1"/>
    <w:basedOn w:val="DefaultParagraphFont"/>
    <w:uiPriority w:val="99"/>
    <w:semiHidden/>
    <w:unhideWhenUsed/>
    <w:rsid w:val="00452756"/>
    <w:rPr>
      <w:color w:val="2B579A"/>
      <w:shd w:val="clear" w:color="auto" w:fill="E6E6E6"/>
    </w:rPr>
  </w:style>
  <w:style w:type="paragraph" w:styleId="NormalWeb">
    <w:name w:val="Normal (Web)"/>
    <w:basedOn w:val="Normal"/>
    <w:uiPriority w:val="99"/>
    <w:semiHidden/>
    <w:unhideWhenUsed/>
    <w:rsid w:val="003C74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urrenthithighlight">
    <w:name w:val="currenthithighlight"/>
    <w:basedOn w:val="DefaultParagraphFont"/>
    <w:rsid w:val="00F16338"/>
  </w:style>
  <w:style w:type="paragraph" w:customStyle="1" w:styleId="p">
    <w:name w:val="p"/>
    <w:basedOn w:val="Normal"/>
    <w:rsid w:val="009B57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PlainTable41">
    <w:name w:val="Plain Table 41"/>
    <w:basedOn w:val="TableNormal"/>
    <w:uiPriority w:val="44"/>
    <w:rsid w:val="001118FB"/>
    <w:pPr>
      <w:spacing w:after="0" w:line="240" w:lineRule="auto"/>
    </w:pPr>
    <w:rPr>
      <w:rFonts w:eastAsiaTheme="minorHAnsi"/>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61">
    <w:name w:val="Grid Table 2 - Accent 61"/>
    <w:basedOn w:val="TableNormal"/>
    <w:uiPriority w:val="47"/>
    <w:rsid w:val="009C535C"/>
    <w:pPr>
      <w:spacing w:after="0" w:line="240" w:lineRule="auto"/>
    </w:pPr>
    <w:tblPr>
      <w:tblStyleRowBandSize w:val="1"/>
      <w:tblStyleColBandSize w:val="1"/>
      <w:tblBorders>
        <w:top w:val="single" w:sz="2" w:space="0" w:color="BEC6B7" w:themeColor="accent6" w:themeTint="99"/>
        <w:bottom w:val="single" w:sz="2" w:space="0" w:color="BEC6B7" w:themeColor="accent6" w:themeTint="99"/>
        <w:insideH w:val="single" w:sz="2" w:space="0" w:color="BEC6B7" w:themeColor="accent6" w:themeTint="99"/>
        <w:insideV w:val="single" w:sz="2" w:space="0" w:color="BEC6B7" w:themeColor="accent6" w:themeTint="99"/>
      </w:tblBorders>
    </w:tblPr>
    <w:tblStylePr w:type="firstRow">
      <w:rPr>
        <w:b/>
        <w:bCs/>
      </w:rPr>
      <w:tblPr/>
      <w:tcPr>
        <w:tcBorders>
          <w:top w:val="nil"/>
          <w:bottom w:val="single" w:sz="12" w:space="0" w:color="BEC6B7" w:themeColor="accent6" w:themeTint="99"/>
          <w:insideH w:val="nil"/>
          <w:insideV w:val="nil"/>
        </w:tcBorders>
        <w:shd w:val="clear" w:color="auto" w:fill="FFFFFF" w:themeFill="background1"/>
      </w:tcPr>
    </w:tblStylePr>
    <w:tblStylePr w:type="lastRow">
      <w:rPr>
        <w:b/>
        <w:bCs/>
      </w:rPr>
      <w:tblPr/>
      <w:tcPr>
        <w:tcBorders>
          <w:top w:val="double" w:sz="2" w:space="0" w:color="BEC6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styleId="EndnoteReference">
    <w:name w:val="endnote reference"/>
    <w:basedOn w:val="DefaultParagraphFont"/>
    <w:uiPriority w:val="99"/>
    <w:semiHidden/>
    <w:unhideWhenUsed/>
    <w:rsid w:val="00642A55"/>
    <w:rPr>
      <w:vertAlign w:val="superscript"/>
    </w:rPr>
  </w:style>
  <w:style w:type="character" w:customStyle="1" w:styleId="cit">
    <w:name w:val="cit"/>
    <w:basedOn w:val="DefaultParagraphFont"/>
    <w:rsid w:val="005B0C26"/>
  </w:style>
  <w:style w:type="character" w:customStyle="1" w:styleId="doi">
    <w:name w:val="doi"/>
    <w:basedOn w:val="DefaultParagraphFont"/>
    <w:rsid w:val="005B0C26"/>
  </w:style>
  <w:style w:type="character" w:customStyle="1" w:styleId="fm-citation-ids-label">
    <w:name w:val="fm-citation-ids-label"/>
    <w:basedOn w:val="DefaultParagraphFont"/>
    <w:rsid w:val="005B0C26"/>
  </w:style>
  <w:style w:type="paragraph" w:styleId="TOC1">
    <w:name w:val="toc 1"/>
    <w:basedOn w:val="Normal"/>
    <w:next w:val="Normal"/>
    <w:autoRedefine/>
    <w:uiPriority w:val="39"/>
    <w:unhideWhenUsed/>
    <w:rsid w:val="00980153"/>
    <w:pPr>
      <w:spacing w:after="100"/>
    </w:pPr>
  </w:style>
  <w:style w:type="paragraph" w:styleId="TOC2">
    <w:name w:val="toc 2"/>
    <w:basedOn w:val="Normal"/>
    <w:next w:val="Normal"/>
    <w:autoRedefine/>
    <w:uiPriority w:val="39"/>
    <w:unhideWhenUsed/>
    <w:rsid w:val="006F7F35"/>
    <w:pPr>
      <w:spacing w:after="100" w:line="259" w:lineRule="auto"/>
      <w:ind w:left="220"/>
    </w:pPr>
    <w:rPr>
      <w:rFonts w:asciiTheme="minorHAnsi" w:hAnsiTheme="minorHAnsi" w:cs="Times New Roman"/>
    </w:rPr>
  </w:style>
  <w:style w:type="paragraph" w:styleId="TOC3">
    <w:name w:val="toc 3"/>
    <w:basedOn w:val="Normal"/>
    <w:next w:val="Normal"/>
    <w:autoRedefine/>
    <w:uiPriority w:val="39"/>
    <w:unhideWhenUsed/>
    <w:rsid w:val="006F7F35"/>
    <w:pPr>
      <w:spacing w:after="100" w:line="259" w:lineRule="auto"/>
      <w:ind w:left="440"/>
    </w:pPr>
    <w:rPr>
      <w:rFonts w:asciiTheme="minorHAnsi" w:hAnsiTheme="minorHAnsi" w:cs="Times New Roman"/>
    </w:rPr>
  </w:style>
  <w:style w:type="paragraph" w:styleId="TableofFigures">
    <w:name w:val="table of figures"/>
    <w:basedOn w:val="Normal"/>
    <w:next w:val="Normal"/>
    <w:uiPriority w:val="99"/>
    <w:unhideWhenUsed/>
    <w:rsid w:val="006F7F35"/>
    <w:pPr>
      <w:spacing w:after="0"/>
    </w:pPr>
  </w:style>
  <w:style w:type="paragraph" w:styleId="Revision">
    <w:name w:val="Revision"/>
    <w:hidden/>
    <w:uiPriority w:val="99"/>
    <w:semiHidden/>
    <w:rsid w:val="005D064A"/>
    <w:pPr>
      <w:spacing w:after="0" w:line="240" w:lineRule="auto"/>
    </w:pPr>
    <w:rPr>
      <w:rFonts w:ascii="Arial" w:hAnsi="Arial"/>
    </w:rPr>
  </w:style>
  <w:style w:type="character" w:styleId="LineNumber">
    <w:name w:val="line number"/>
    <w:basedOn w:val="DefaultParagraphFont"/>
    <w:uiPriority w:val="99"/>
    <w:semiHidden/>
    <w:unhideWhenUsed/>
    <w:rsid w:val="00C76A96"/>
  </w:style>
  <w:style w:type="paragraph" w:customStyle="1" w:styleId="Title1">
    <w:name w:val="Title1"/>
    <w:basedOn w:val="Normal"/>
    <w:rsid w:val="006100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6100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6100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rnl">
    <w:name w:val="jrnl"/>
    <w:basedOn w:val="DefaultParagraphFont"/>
    <w:rsid w:val="0061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7481">
      <w:bodyDiv w:val="1"/>
      <w:marLeft w:val="0"/>
      <w:marRight w:val="0"/>
      <w:marTop w:val="0"/>
      <w:marBottom w:val="0"/>
      <w:divBdr>
        <w:top w:val="none" w:sz="0" w:space="0" w:color="auto"/>
        <w:left w:val="none" w:sz="0" w:space="0" w:color="auto"/>
        <w:bottom w:val="none" w:sz="0" w:space="0" w:color="auto"/>
        <w:right w:val="none" w:sz="0" w:space="0" w:color="auto"/>
      </w:divBdr>
    </w:div>
    <w:div w:id="96487916">
      <w:bodyDiv w:val="1"/>
      <w:marLeft w:val="0"/>
      <w:marRight w:val="0"/>
      <w:marTop w:val="0"/>
      <w:marBottom w:val="0"/>
      <w:divBdr>
        <w:top w:val="none" w:sz="0" w:space="0" w:color="auto"/>
        <w:left w:val="none" w:sz="0" w:space="0" w:color="auto"/>
        <w:bottom w:val="none" w:sz="0" w:space="0" w:color="auto"/>
        <w:right w:val="none" w:sz="0" w:space="0" w:color="auto"/>
      </w:divBdr>
    </w:div>
    <w:div w:id="100149869">
      <w:bodyDiv w:val="1"/>
      <w:marLeft w:val="0"/>
      <w:marRight w:val="0"/>
      <w:marTop w:val="0"/>
      <w:marBottom w:val="0"/>
      <w:divBdr>
        <w:top w:val="none" w:sz="0" w:space="0" w:color="auto"/>
        <w:left w:val="none" w:sz="0" w:space="0" w:color="auto"/>
        <w:bottom w:val="none" w:sz="0" w:space="0" w:color="auto"/>
        <w:right w:val="none" w:sz="0" w:space="0" w:color="auto"/>
      </w:divBdr>
    </w:div>
    <w:div w:id="103814942">
      <w:bodyDiv w:val="1"/>
      <w:marLeft w:val="0"/>
      <w:marRight w:val="0"/>
      <w:marTop w:val="0"/>
      <w:marBottom w:val="0"/>
      <w:divBdr>
        <w:top w:val="none" w:sz="0" w:space="0" w:color="auto"/>
        <w:left w:val="none" w:sz="0" w:space="0" w:color="auto"/>
        <w:bottom w:val="none" w:sz="0" w:space="0" w:color="auto"/>
        <w:right w:val="none" w:sz="0" w:space="0" w:color="auto"/>
      </w:divBdr>
    </w:div>
    <w:div w:id="107705147">
      <w:bodyDiv w:val="1"/>
      <w:marLeft w:val="0"/>
      <w:marRight w:val="0"/>
      <w:marTop w:val="0"/>
      <w:marBottom w:val="0"/>
      <w:divBdr>
        <w:top w:val="none" w:sz="0" w:space="0" w:color="auto"/>
        <w:left w:val="none" w:sz="0" w:space="0" w:color="auto"/>
        <w:bottom w:val="none" w:sz="0" w:space="0" w:color="auto"/>
        <w:right w:val="none" w:sz="0" w:space="0" w:color="auto"/>
      </w:divBdr>
    </w:div>
    <w:div w:id="124080703">
      <w:bodyDiv w:val="1"/>
      <w:marLeft w:val="0"/>
      <w:marRight w:val="0"/>
      <w:marTop w:val="0"/>
      <w:marBottom w:val="0"/>
      <w:divBdr>
        <w:top w:val="none" w:sz="0" w:space="0" w:color="auto"/>
        <w:left w:val="none" w:sz="0" w:space="0" w:color="auto"/>
        <w:bottom w:val="none" w:sz="0" w:space="0" w:color="auto"/>
        <w:right w:val="none" w:sz="0" w:space="0" w:color="auto"/>
      </w:divBdr>
    </w:div>
    <w:div w:id="244808853">
      <w:bodyDiv w:val="1"/>
      <w:marLeft w:val="0"/>
      <w:marRight w:val="0"/>
      <w:marTop w:val="0"/>
      <w:marBottom w:val="0"/>
      <w:divBdr>
        <w:top w:val="none" w:sz="0" w:space="0" w:color="auto"/>
        <w:left w:val="none" w:sz="0" w:space="0" w:color="auto"/>
        <w:bottom w:val="none" w:sz="0" w:space="0" w:color="auto"/>
        <w:right w:val="none" w:sz="0" w:space="0" w:color="auto"/>
      </w:divBdr>
    </w:div>
    <w:div w:id="281887330">
      <w:bodyDiv w:val="1"/>
      <w:marLeft w:val="0"/>
      <w:marRight w:val="0"/>
      <w:marTop w:val="0"/>
      <w:marBottom w:val="0"/>
      <w:divBdr>
        <w:top w:val="none" w:sz="0" w:space="0" w:color="auto"/>
        <w:left w:val="none" w:sz="0" w:space="0" w:color="auto"/>
        <w:bottom w:val="none" w:sz="0" w:space="0" w:color="auto"/>
        <w:right w:val="none" w:sz="0" w:space="0" w:color="auto"/>
      </w:divBdr>
    </w:div>
    <w:div w:id="386880111">
      <w:bodyDiv w:val="1"/>
      <w:marLeft w:val="0"/>
      <w:marRight w:val="0"/>
      <w:marTop w:val="0"/>
      <w:marBottom w:val="0"/>
      <w:divBdr>
        <w:top w:val="none" w:sz="0" w:space="0" w:color="auto"/>
        <w:left w:val="none" w:sz="0" w:space="0" w:color="auto"/>
        <w:bottom w:val="none" w:sz="0" w:space="0" w:color="auto"/>
        <w:right w:val="none" w:sz="0" w:space="0" w:color="auto"/>
      </w:divBdr>
    </w:div>
    <w:div w:id="394594906">
      <w:bodyDiv w:val="1"/>
      <w:marLeft w:val="0"/>
      <w:marRight w:val="0"/>
      <w:marTop w:val="0"/>
      <w:marBottom w:val="0"/>
      <w:divBdr>
        <w:top w:val="none" w:sz="0" w:space="0" w:color="auto"/>
        <w:left w:val="none" w:sz="0" w:space="0" w:color="auto"/>
        <w:bottom w:val="none" w:sz="0" w:space="0" w:color="auto"/>
        <w:right w:val="none" w:sz="0" w:space="0" w:color="auto"/>
      </w:divBdr>
    </w:div>
    <w:div w:id="424150840">
      <w:bodyDiv w:val="1"/>
      <w:marLeft w:val="0"/>
      <w:marRight w:val="0"/>
      <w:marTop w:val="0"/>
      <w:marBottom w:val="0"/>
      <w:divBdr>
        <w:top w:val="none" w:sz="0" w:space="0" w:color="auto"/>
        <w:left w:val="none" w:sz="0" w:space="0" w:color="auto"/>
        <w:bottom w:val="none" w:sz="0" w:space="0" w:color="auto"/>
        <w:right w:val="none" w:sz="0" w:space="0" w:color="auto"/>
      </w:divBdr>
    </w:div>
    <w:div w:id="443966583">
      <w:bodyDiv w:val="1"/>
      <w:marLeft w:val="0"/>
      <w:marRight w:val="0"/>
      <w:marTop w:val="0"/>
      <w:marBottom w:val="0"/>
      <w:divBdr>
        <w:top w:val="none" w:sz="0" w:space="0" w:color="auto"/>
        <w:left w:val="none" w:sz="0" w:space="0" w:color="auto"/>
        <w:bottom w:val="none" w:sz="0" w:space="0" w:color="auto"/>
        <w:right w:val="none" w:sz="0" w:space="0" w:color="auto"/>
      </w:divBdr>
    </w:div>
    <w:div w:id="480585439">
      <w:bodyDiv w:val="1"/>
      <w:marLeft w:val="0"/>
      <w:marRight w:val="0"/>
      <w:marTop w:val="0"/>
      <w:marBottom w:val="0"/>
      <w:divBdr>
        <w:top w:val="none" w:sz="0" w:space="0" w:color="auto"/>
        <w:left w:val="none" w:sz="0" w:space="0" w:color="auto"/>
        <w:bottom w:val="none" w:sz="0" w:space="0" w:color="auto"/>
        <w:right w:val="none" w:sz="0" w:space="0" w:color="auto"/>
      </w:divBdr>
    </w:div>
    <w:div w:id="547111696">
      <w:bodyDiv w:val="1"/>
      <w:marLeft w:val="0"/>
      <w:marRight w:val="0"/>
      <w:marTop w:val="0"/>
      <w:marBottom w:val="0"/>
      <w:divBdr>
        <w:top w:val="none" w:sz="0" w:space="0" w:color="auto"/>
        <w:left w:val="none" w:sz="0" w:space="0" w:color="auto"/>
        <w:bottom w:val="none" w:sz="0" w:space="0" w:color="auto"/>
        <w:right w:val="none" w:sz="0" w:space="0" w:color="auto"/>
      </w:divBdr>
    </w:div>
    <w:div w:id="668143117">
      <w:bodyDiv w:val="1"/>
      <w:marLeft w:val="0"/>
      <w:marRight w:val="0"/>
      <w:marTop w:val="0"/>
      <w:marBottom w:val="0"/>
      <w:divBdr>
        <w:top w:val="none" w:sz="0" w:space="0" w:color="auto"/>
        <w:left w:val="none" w:sz="0" w:space="0" w:color="auto"/>
        <w:bottom w:val="none" w:sz="0" w:space="0" w:color="auto"/>
        <w:right w:val="none" w:sz="0" w:space="0" w:color="auto"/>
      </w:divBdr>
    </w:div>
    <w:div w:id="748312875">
      <w:bodyDiv w:val="1"/>
      <w:marLeft w:val="0"/>
      <w:marRight w:val="0"/>
      <w:marTop w:val="0"/>
      <w:marBottom w:val="0"/>
      <w:divBdr>
        <w:top w:val="none" w:sz="0" w:space="0" w:color="auto"/>
        <w:left w:val="none" w:sz="0" w:space="0" w:color="auto"/>
        <w:bottom w:val="none" w:sz="0" w:space="0" w:color="auto"/>
        <w:right w:val="none" w:sz="0" w:space="0" w:color="auto"/>
      </w:divBdr>
    </w:div>
    <w:div w:id="918564027">
      <w:bodyDiv w:val="1"/>
      <w:marLeft w:val="0"/>
      <w:marRight w:val="0"/>
      <w:marTop w:val="0"/>
      <w:marBottom w:val="0"/>
      <w:divBdr>
        <w:top w:val="none" w:sz="0" w:space="0" w:color="auto"/>
        <w:left w:val="none" w:sz="0" w:space="0" w:color="auto"/>
        <w:bottom w:val="none" w:sz="0" w:space="0" w:color="auto"/>
        <w:right w:val="none" w:sz="0" w:space="0" w:color="auto"/>
      </w:divBdr>
    </w:div>
    <w:div w:id="960694985">
      <w:bodyDiv w:val="1"/>
      <w:marLeft w:val="0"/>
      <w:marRight w:val="0"/>
      <w:marTop w:val="0"/>
      <w:marBottom w:val="0"/>
      <w:divBdr>
        <w:top w:val="none" w:sz="0" w:space="0" w:color="auto"/>
        <w:left w:val="none" w:sz="0" w:space="0" w:color="auto"/>
        <w:bottom w:val="none" w:sz="0" w:space="0" w:color="auto"/>
        <w:right w:val="none" w:sz="0" w:space="0" w:color="auto"/>
      </w:divBdr>
    </w:div>
    <w:div w:id="1040933759">
      <w:bodyDiv w:val="1"/>
      <w:marLeft w:val="0"/>
      <w:marRight w:val="0"/>
      <w:marTop w:val="0"/>
      <w:marBottom w:val="0"/>
      <w:divBdr>
        <w:top w:val="none" w:sz="0" w:space="0" w:color="auto"/>
        <w:left w:val="none" w:sz="0" w:space="0" w:color="auto"/>
        <w:bottom w:val="none" w:sz="0" w:space="0" w:color="auto"/>
        <w:right w:val="none" w:sz="0" w:space="0" w:color="auto"/>
      </w:divBdr>
    </w:div>
    <w:div w:id="1068386358">
      <w:bodyDiv w:val="1"/>
      <w:marLeft w:val="0"/>
      <w:marRight w:val="0"/>
      <w:marTop w:val="0"/>
      <w:marBottom w:val="0"/>
      <w:divBdr>
        <w:top w:val="none" w:sz="0" w:space="0" w:color="auto"/>
        <w:left w:val="none" w:sz="0" w:space="0" w:color="auto"/>
        <w:bottom w:val="none" w:sz="0" w:space="0" w:color="auto"/>
        <w:right w:val="none" w:sz="0" w:space="0" w:color="auto"/>
      </w:divBdr>
    </w:div>
    <w:div w:id="1087002419">
      <w:bodyDiv w:val="1"/>
      <w:marLeft w:val="0"/>
      <w:marRight w:val="0"/>
      <w:marTop w:val="0"/>
      <w:marBottom w:val="0"/>
      <w:divBdr>
        <w:top w:val="none" w:sz="0" w:space="0" w:color="auto"/>
        <w:left w:val="none" w:sz="0" w:space="0" w:color="auto"/>
        <w:bottom w:val="none" w:sz="0" w:space="0" w:color="auto"/>
        <w:right w:val="none" w:sz="0" w:space="0" w:color="auto"/>
      </w:divBdr>
    </w:div>
    <w:div w:id="1090466918">
      <w:bodyDiv w:val="1"/>
      <w:marLeft w:val="0"/>
      <w:marRight w:val="0"/>
      <w:marTop w:val="0"/>
      <w:marBottom w:val="0"/>
      <w:divBdr>
        <w:top w:val="none" w:sz="0" w:space="0" w:color="auto"/>
        <w:left w:val="none" w:sz="0" w:space="0" w:color="auto"/>
        <w:bottom w:val="none" w:sz="0" w:space="0" w:color="auto"/>
        <w:right w:val="none" w:sz="0" w:space="0" w:color="auto"/>
      </w:divBdr>
    </w:div>
    <w:div w:id="1092556464">
      <w:bodyDiv w:val="1"/>
      <w:marLeft w:val="0"/>
      <w:marRight w:val="0"/>
      <w:marTop w:val="0"/>
      <w:marBottom w:val="0"/>
      <w:divBdr>
        <w:top w:val="none" w:sz="0" w:space="0" w:color="auto"/>
        <w:left w:val="none" w:sz="0" w:space="0" w:color="auto"/>
        <w:bottom w:val="none" w:sz="0" w:space="0" w:color="auto"/>
        <w:right w:val="none" w:sz="0" w:space="0" w:color="auto"/>
      </w:divBdr>
    </w:div>
    <w:div w:id="1153252637">
      <w:bodyDiv w:val="1"/>
      <w:marLeft w:val="0"/>
      <w:marRight w:val="0"/>
      <w:marTop w:val="0"/>
      <w:marBottom w:val="0"/>
      <w:divBdr>
        <w:top w:val="none" w:sz="0" w:space="0" w:color="auto"/>
        <w:left w:val="none" w:sz="0" w:space="0" w:color="auto"/>
        <w:bottom w:val="none" w:sz="0" w:space="0" w:color="auto"/>
        <w:right w:val="none" w:sz="0" w:space="0" w:color="auto"/>
      </w:divBdr>
    </w:div>
    <w:div w:id="1248418425">
      <w:bodyDiv w:val="1"/>
      <w:marLeft w:val="0"/>
      <w:marRight w:val="0"/>
      <w:marTop w:val="0"/>
      <w:marBottom w:val="0"/>
      <w:divBdr>
        <w:top w:val="none" w:sz="0" w:space="0" w:color="auto"/>
        <w:left w:val="none" w:sz="0" w:space="0" w:color="auto"/>
        <w:bottom w:val="none" w:sz="0" w:space="0" w:color="auto"/>
        <w:right w:val="none" w:sz="0" w:space="0" w:color="auto"/>
      </w:divBdr>
    </w:div>
    <w:div w:id="1323585844">
      <w:bodyDiv w:val="1"/>
      <w:marLeft w:val="0"/>
      <w:marRight w:val="0"/>
      <w:marTop w:val="0"/>
      <w:marBottom w:val="0"/>
      <w:divBdr>
        <w:top w:val="none" w:sz="0" w:space="0" w:color="auto"/>
        <w:left w:val="none" w:sz="0" w:space="0" w:color="auto"/>
        <w:bottom w:val="none" w:sz="0" w:space="0" w:color="auto"/>
        <w:right w:val="none" w:sz="0" w:space="0" w:color="auto"/>
      </w:divBdr>
    </w:div>
    <w:div w:id="1327170217">
      <w:bodyDiv w:val="1"/>
      <w:marLeft w:val="0"/>
      <w:marRight w:val="0"/>
      <w:marTop w:val="0"/>
      <w:marBottom w:val="0"/>
      <w:divBdr>
        <w:top w:val="none" w:sz="0" w:space="0" w:color="auto"/>
        <w:left w:val="none" w:sz="0" w:space="0" w:color="auto"/>
        <w:bottom w:val="none" w:sz="0" w:space="0" w:color="auto"/>
        <w:right w:val="none" w:sz="0" w:space="0" w:color="auto"/>
      </w:divBdr>
    </w:div>
    <w:div w:id="1461192764">
      <w:bodyDiv w:val="1"/>
      <w:marLeft w:val="0"/>
      <w:marRight w:val="0"/>
      <w:marTop w:val="0"/>
      <w:marBottom w:val="0"/>
      <w:divBdr>
        <w:top w:val="none" w:sz="0" w:space="0" w:color="auto"/>
        <w:left w:val="none" w:sz="0" w:space="0" w:color="auto"/>
        <w:bottom w:val="none" w:sz="0" w:space="0" w:color="auto"/>
        <w:right w:val="none" w:sz="0" w:space="0" w:color="auto"/>
      </w:divBdr>
    </w:div>
    <w:div w:id="1508669150">
      <w:bodyDiv w:val="1"/>
      <w:marLeft w:val="0"/>
      <w:marRight w:val="0"/>
      <w:marTop w:val="0"/>
      <w:marBottom w:val="0"/>
      <w:divBdr>
        <w:top w:val="none" w:sz="0" w:space="0" w:color="auto"/>
        <w:left w:val="none" w:sz="0" w:space="0" w:color="auto"/>
        <w:bottom w:val="none" w:sz="0" w:space="0" w:color="auto"/>
        <w:right w:val="none" w:sz="0" w:space="0" w:color="auto"/>
      </w:divBdr>
    </w:div>
    <w:div w:id="1556309361">
      <w:bodyDiv w:val="1"/>
      <w:marLeft w:val="0"/>
      <w:marRight w:val="0"/>
      <w:marTop w:val="0"/>
      <w:marBottom w:val="0"/>
      <w:divBdr>
        <w:top w:val="none" w:sz="0" w:space="0" w:color="auto"/>
        <w:left w:val="none" w:sz="0" w:space="0" w:color="auto"/>
        <w:bottom w:val="none" w:sz="0" w:space="0" w:color="auto"/>
        <w:right w:val="none" w:sz="0" w:space="0" w:color="auto"/>
      </w:divBdr>
    </w:div>
    <w:div w:id="1561789989">
      <w:bodyDiv w:val="1"/>
      <w:marLeft w:val="0"/>
      <w:marRight w:val="0"/>
      <w:marTop w:val="0"/>
      <w:marBottom w:val="0"/>
      <w:divBdr>
        <w:top w:val="none" w:sz="0" w:space="0" w:color="auto"/>
        <w:left w:val="none" w:sz="0" w:space="0" w:color="auto"/>
        <w:bottom w:val="none" w:sz="0" w:space="0" w:color="auto"/>
        <w:right w:val="none" w:sz="0" w:space="0" w:color="auto"/>
      </w:divBdr>
    </w:div>
    <w:div w:id="1582834881">
      <w:bodyDiv w:val="1"/>
      <w:marLeft w:val="0"/>
      <w:marRight w:val="0"/>
      <w:marTop w:val="0"/>
      <w:marBottom w:val="0"/>
      <w:divBdr>
        <w:top w:val="none" w:sz="0" w:space="0" w:color="auto"/>
        <w:left w:val="none" w:sz="0" w:space="0" w:color="auto"/>
        <w:bottom w:val="none" w:sz="0" w:space="0" w:color="auto"/>
        <w:right w:val="none" w:sz="0" w:space="0" w:color="auto"/>
      </w:divBdr>
      <w:divsChild>
        <w:div w:id="753624297">
          <w:marLeft w:val="360"/>
          <w:marRight w:val="0"/>
          <w:marTop w:val="200"/>
          <w:marBottom w:val="0"/>
          <w:divBdr>
            <w:top w:val="none" w:sz="0" w:space="0" w:color="auto"/>
            <w:left w:val="none" w:sz="0" w:space="0" w:color="auto"/>
            <w:bottom w:val="none" w:sz="0" w:space="0" w:color="auto"/>
            <w:right w:val="none" w:sz="0" w:space="0" w:color="auto"/>
          </w:divBdr>
        </w:div>
      </w:divsChild>
    </w:div>
    <w:div w:id="1609314088">
      <w:bodyDiv w:val="1"/>
      <w:marLeft w:val="0"/>
      <w:marRight w:val="0"/>
      <w:marTop w:val="0"/>
      <w:marBottom w:val="0"/>
      <w:divBdr>
        <w:top w:val="none" w:sz="0" w:space="0" w:color="auto"/>
        <w:left w:val="none" w:sz="0" w:space="0" w:color="auto"/>
        <w:bottom w:val="none" w:sz="0" w:space="0" w:color="auto"/>
        <w:right w:val="none" w:sz="0" w:space="0" w:color="auto"/>
      </w:divBdr>
    </w:div>
    <w:div w:id="1655180454">
      <w:bodyDiv w:val="1"/>
      <w:marLeft w:val="0"/>
      <w:marRight w:val="0"/>
      <w:marTop w:val="0"/>
      <w:marBottom w:val="0"/>
      <w:divBdr>
        <w:top w:val="none" w:sz="0" w:space="0" w:color="auto"/>
        <w:left w:val="none" w:sz="0" w:space="0" w:color="auto"/>
        <w:bottom w:val="none" w:sz="0" w:space="0" w:color="auto"/>
        <w:right w:val="none" w:sz="0" w:space="0" w:color="auto"/>
      </w:divBdr>
    </w:div>
    <w:div w:id="1685085377">
      <w:bodyDiv w:val="1"/>
      <w:marLeft w:val="0"/>
      <w:marRight w:val="0"/>
      <w:marTop w:val="0"/>
      <w:marBottom w:val="0"/>
      <w:divBdr>
        <w:top w:val="none" w:sz="0" w:space="0" w:color="auto"/>
        <w:left w:val="none" w:sz="0" w:space="0" w:color="auto"/>
        <w:bottom w:val="none" w:sz="0" w:space="0" w:color="auto"/>
        <w:right w:val="none" w:sz="0" w:space="0" w:color="auto"/>
      </w:divBdr>
      <w:divsChild>
        <w:div w:id="1897429637">
          <w:marLeft w:val="1080"/>
          <w:marRight w:val="0"/>
          <w:marTop w:val="100"/>
          <w:marBottom w:val="0"/>
          <w:divBdr>
            <w:top w:val="none" w:sz="0" w:space="0" w:color="auto"/>
            <w:left w:val="none" w:sz="0" w:space="0" w:color="auto"/>
            <w:bottom w:val="none" w:sz="0" w:space="0" w:color="auto"/>
            <w:right w:val="none" w:sz="0" w:space="0" w:color="auto"/>
          </w:divBdr>
        </w:div>
      </w:divsChild>
    </w:div>
    <w:div w:id="1711566709">
      <w:bodyDiv w:val="1"/>
      <w:marLeft w:val="0"/>
      <w:marRight w:val="0"/>
      <w:marTop w:val="0"/>
      <w:marBottom w:val="0"/>
      <w:divBdr>
        <w:top w:val="none" w:sz="0" w:space="0" w:color="auto"/>
        <w:left w:val="none" w:sz="0" w:space="0" w:color="auto"/>
        <w:bottom w:val="none" w:sz="0" w:space="0" w:color="auto"/>
        <w:right w:val="none" w:sz="0" w:space="0" w:color="auto"/>
      </w:divBdr>
    </w:div>
    <w:div w:id="1780685510">
      <w:bodyDiv w:val="1"/>
      <w:marLeft w:val="0"/>
      <w:marRight w:val="0"/>
      <w:marTop w:val="0"/>
      <w:marBottom w:val="0"/>
      <w:divBdr>
        <w:top w:val="none" w:sz="0" w:space="0" w:color="auto"/>
        <w:left w:val="none" w:sz="0" w:space="0" w:color="auto"/>
        <w:bottom w:val="none" w:sz="0" w:space="0" w:color="auto"/>
        <w:right w:val="none" w:sz="0" w:space="0" w:color="auto"/>
      </w:divBdr>
    </w:div>
    <w:div w:id="1807772247">
      <w:bodyDiv w:val="1"/>
      <w:marLeft w:val="0"/>
      <w:marRight w:val="0"/>
      <w:marTop w:val="0"/>
      <w:marBottom w:val="0"/>
      <w:divBdr>
        <w:top w:val="none" w:sz="0" w:space="0" w:color="auto"/>
        <w:left w:val="none" w:sz="0" w:space="0" w:color="auto"/>
        <w:bottom w:val="none" w:sz="0" w:space="0" w:color="auto"/>
        <w:right w:val="none" w:sz="0" w:space="0" w:color="auto"/>
      </w:divBdr>
      <w:divsChild>
        <w:div w:id="327483892">
          <w:marLeft w:val="0"/>
          <w:marRight w:val="0"/>
          <w:marTop w:val="0"/>
          <w:marBottom w:val="0"/>
          <w:divBdr>
            <w:top w:val="none" w:sz="0" w:space="0" w:color="auto"/>
            <w:left w:val="none" w:sz="0" w:space="0" w:color="auto"/>
            <w:bottom w:val="none" w:sz="0" w:space="0" w:color="auto"/>
            <w:right w:val="none" w:sz="0" w:space="0" w:color="auto"/>
          </w:divBdr>
        </w:div>
      </w:divsChild>
    </w:div>
    <w:div w:id="1842550088">
      <w:bodyDiv w:val="1"/>
      <w:marLeft w:val="0"/>
      <w:marRight w:val="0"/>
      <w:marTop w:val="0"/>
      <w:marBottom w:val="0"/>
      <w:divBdr>
        <w:top w:val="none" w:sz="0" w:space="0" w:color="auto"/>
        <w:left w:val="none" w:sz="0" w:space="0" w:color="auto"/>
        <w:bottom w:val="none" w:sz="0" w:space="0" w:color="auto"/>
        <w:right w:val="none" w:sz="0" w:space="0" w:color="auto"/>
      </w:divBdr>
    </w:div>
    <w:div w:id="1895044987">
      <w:bodyDiv w:val="1"/>
      <w:marLeft w:val="0"/>
      <w:marRight w:val="0"/>
      <w:marTop w:val="0"/>
      <w:marBottom w:val="0"/>
      <w:divBdr>
        <w:top w:val="none" w:sz="0" w:space="0" w:color="auto"/>
        <w:left w:val="none" w:sz="0" w:space="0" w:color="auto"/>
        <w:bottom w:val="none" w:sz="0" w:space="0" w:color="auto"/>
        <w:right w:val="none" w:sz="0" w:space="0" w:color="auto"/>
      </w:divBdr>
    </w:div>
    <w:div w:id="1981879054">
      <w:bodyDiv w:val="1"/>
      <w:marLeft w:val="0"/>
      <w:marRight w:val="0"/>
      <w:marTop w:val="0"/>
      <w:marBottom w:val="0"/>
      <w:divBdr>
        <w:top w:val="none" w:sz="0" w:space="0" w:color="auto"/>
        <w:left w:val="none" w:sz="0" w:space="0" w:color="auto"/>
        <w:bottom w:val="none" w:sz="0" w:space="0" w:color="auto"/>
        <w:right w:val="none" w:sz="0" w:space="0" w:color="auto"/>
      </w:divBdr>
      <w:divsChild>
        <w:div w:id="1005981493">
          <w:marLeft w:val="0"/>
          <w:marRight w:val="0"/>
          <w:marTop w:val="0"/>
          <w:marBottom w:val="0"/>
          <w:divBdr>
            <w:top w:val="none" w:sz="0" w:space="0" w:color="auto"/>
            <w:left w:val="none" w:sz="0" w:space="0" w:color="auto"/>
            <w:bottom w:val="none" w:sz="0" w:space="0" w:color="auto"/>
            <w:right w:val="none" w:sz="0" w:space="0" w:color="auto"/>
          </w:divBdr>
        </w:div>
        <w:div w:id="1122918787">
          <w:marLeft w:val="0"/>
          <w:marRight w:val="0"/>
          <w:marTop w:val="0"/>
          <w:marBottom w:val="0"/>
          <w:divBdr>
            <w:top w:val="none" w:sz="0" w:space="0" w:color="auto"/>
            <w:left w:val="none" w:sz="0" w:space="0" w:color="auto"/>
            <w:bottom w:val="none" w:sz="0" w:space="0" w:color="auto"/>
            <w:right w:val="none" w:sz="0" w:space="0" w:color="auto"/>
          </w:divBdr>
        </w:div>
        <w:div w:id="1386443452">
          <w:marLeft w:val="0"/>
          <w:marRight w:val="0"/>
          <w:marTop w:val="0"/>
          <w:marBottom w:val="0"/>
          <w:divBdr>
            <w:top w:val="none" w:sz="0" w:space="0" w:color="auto"/>
            <w:left w:val="none" w:sz="0" w:space="0" w:color="auto"/>
            <w:bottom w:val="none" w:sz="0" w:space="0" w:color="auto"/>
            <w:right w:val="none" w:sz="0" w:space="0" w:color="auto"/>
          </w:divBdr>
        </w:div>
        <w:div w:id="2003073022">
          <w:marLeft w:val="0"/>
          <w:marRight w:val="0"/>
          <w:marTop w:val="0"/>
          <w:marBottom w:val="0"/>
          <w:divBdr>
            <w:top w:val="none" w:sz="0" w:space="0" w:color="auto"/>
            <w:left w:val="none" w:sz="0" w:space="0" w:color="auto"/>
            <w:bottom w:val="none" w:sz="0" w:space="0" w:color="auto"/>
            <w:right w:val="none" w:sz="0" w:space="0" w:color="auto"/>
          </w:divBdr>
        </w:div>
        <w:div w:id="2133202764">
          <w:marLeft w:val="0"/>
          <w:marRight w:val="0"/>
          <w:marTop w:val="0"/>
          <w:marBottom w:val="0"/>
          <w:divBdr>
            <w:top w:val="none" w:sz="0" w:space="0" w:color="auto"/>
            <w:left w:val="none" w:sz="0" w:space="0" w:color="auto"/>
            <w:bottom w:val="none" w:sz="0" w:space="0" w:color="auto"/>
            <w:right w:val="none" w:sz="0" w:space="0" w:color="auto"/>
          </w:divBdr>
        </w:div>
      </w:divsChild>
    </w:div>
    <w:div w:id="21264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dnyasanket\AppData\Roaming\Microsoft\Templates\Student%20report%20with%20cover%20photo.dotx" TargetMode="Externa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Placeholder1</b:Tag>
    <b:SourceType>Report</b:SourceType>
    <b:Guid>{42806170-8D2D-4936-B25A-2C927CC9E41A}</b:Guid>
    <b:RefOrder>1</b:RefOrder>
  </b:Source>
</b:Sources>
</file>

<file path=customXml/itemProps1.xml><?xml version="1.0" encoding="utf-8"?>
<ds:datastoreItem xmlns:ds="http://schemas.openxmlformats.org/officeDocument/2006/customXml" ds:itemID="{5D50938E-B022-466E-BF61-0027E6C6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photo.dotx</Template>
  <TotalTime>7</TotalTime>
  <Pages>32</Pages>
  <Words>22333</Words>
  <Characters>127304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pradnyasanket</dc:creator>
  <cp:lastModifiedBy>Sanket More</cp:lastModifiedBy>
  <cp:revision>4</cp:revision>
  <cp:lastPrinted>2017-10-18T10:39:00Z</cp:lastPrinted>
  <dcterms:created xsi:type="dcterms:W3CDTF">2019-01-15T17:49:00Z</dcterms:created>
  <dcterms:modified xsi:type="dcterms:W3CDTF">2019-01-15T20:35:00Z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d10fcdff-85d9-3309-b34c-7bd7fd311d53</vt:lpwstr>
  </property>
  <property fmtid="{D5CDD505-2E9C-101B-9397-08002B2CF9AE}" pid="24" name="Mendeley Citation Style_1">
    <vt:lpwstr>http://www.zotero.org/styles/vancouver-superscript</vt:lpwstr>
  </property>
</Properties>
</file>