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A685A" w14:textId="77777777" w:rsidR="00CC52FA" w:rsidRDefault="00CC52FA" w:rsidP="00CC52FA">
      <w:pPr>
        <w:rPr>
          <w:b/>
          <w:bCs/>
          <w:sz w:val="32"/>
          <w:szCs w:val="32"/>
        </w:rPr>
      </w:pPr>
      <w:r w:rsidRPr="00FF0C4F">
        <w:rPr>
          <w:b/>
          <w:bCs/>
          <w:sz w:val="32"/>
          <w:szCs w:val="32"/>
        </w:rPr>
        <w:t>A conceptual-empirical typology of social science research methods pedagogy</w:t>
      </w:r>
    </w:p>
    <w:p w14:paraId="0763662B" w14:textId="77777777" w:rsidR="00274CB3" w:rsidRDefault="00913D4E" w:rsidP="00913D4E">
      <w:pPr>
        <w:pStyle w:val="Authornames"/>
      </w:pPr>
      <w:r>
        <w:t>Melanie Nind and Sarah Lewthwaite</w:t>
      </w:r>
    </w:p>
    <w:p w14:paraId="589A8DF1" w14:textId="0B5328AF" w:rsidR="00913D4E" w:rsidRDefault="00274CB3" w:rsidP="00274CB3">
      <w:pPr>
        <w:pStyle w:val="Affiliation"/>
      </w:pPr>
      <w:r>
        <w:t>University of Southampton, UK</w:t>
      </w:r>
    </w:p>
    <w:p w14:paraId="58879D0F" w14:textId="77777777" w:rsidR="00913D4E" w:rsidRPr="00913D4E" w:rsidRDefault="00913D4E" w:rsidP="00913D4E"/>
    <w:p w14:paraId="616207D4" w14:textId="46184C49" w:rsidR="00CC52FA" w:rsidRPr="00EC68C2" w:rsidRDefault="00CC52FA" w:rsidP="00CC52FA">
      <w:pPr>
        <w:spacing w:line="360" w:lineRule="auto"/>
        <w:rPr>
          <w:bCs/>
        </w:rPr>
      </w:pPr>
      <w:r w:rsidRPr="00EC68C2">
        <w:t xml:space="preserve">The challenge of research methods </w:t>
      </w:r>
      <w:r w:rsidR="001E3A8A" w:rsidRPr="00EC68C2">
        <w:t xml:space="preserve">teaching </w:t>
      </w:r>
      <w:r w:rsidRPr="00EC68C2">
        <w:t xml:space="preserve">is gaining attention among policy-makers keen to build social science research capacity and, critically, among educationalists keen to enhance the pedagogy. </w:t>
      </w:r>
      <w:r w:rsidR="00747C6E">
        <w:rPr>
          <w:bCs/>
        </w:rPr>
        <w:t>T</w:t>
      </w:r>
      <w:r w:rsidRPr="00EC68C2">
        <w:rPr>
          <w:bCs/>
        </w:rPr>
        <w:t xml:space="preserve">his paper </w:t>
      </w:r>
      <w:r w:rsidR="00747C6E">
        <w:rPr>
          <w:bCs/>
        </w:rPr>
        <w:t xml:space="preserve">addresses pedagogy, </w:t>
      </w:r>
      <w:r w:rsidRPr="00EC68C2">
        <w:rPr>
          <w:bCs/>
        </w:rPr>
        <w:t>present</w:t>
      </w:r>
      <w:r w:rsidR="00747C6E">
        <w:rPr>
          <w:bCs/>
        </w:rPr>
        <w:t>ing</w:t>
      </w:r>
      <w:r w:rsidRPr="00EC68C2">
        <w:rPr>
          <w:bCs/>
        </w:rPr>
        <w:t xml:space="preserve"> a </w:t>
      </w:r>
      <w:r w:rsidR="00747C6E">
        <w:rPr>
          <w:bCs/>
        </w:rPr>
        <w:t xml:space="preserve">new </w:t>
      </w:r>
      <w:r w:rsidRPr="00EC68C2">
        <w:rPr>
          <w:bCs/>
        </w:rPr>
        <w:t xml:space="preserve">conceptual-empirical typology of pedagogy for social science research methods teaching. </w:t>
      </w:r>
      <w:r w:rsidRPr="00EC68C2">
        <w:t>Taking a sociocultural perspective, pedagogy is seen as encompassing both actions and underlying values</w:t>
      </w:r>
      <w:r w:rsidRPr="00EC68C2">
        <w:rPr>
          <w:rFonts w:cs="AdvTTec369687"/>
        </w:rPr>
        <w:t xml:space="preserve">. A mix of qualitative methods was used to engage more than 100 methods teachers (plus students) from diverse UK and international contexts. </w:t>
      </w:r>
      <w:r w:rsidRPr="00EC68C2">
        <w:rPr>
          <w:rFonts w:cs="Arial"/>
        </w:rPr>
        <w:t xml:space="preserve">An expert panel method and focus groups helped elucidate pedagogical knowledge. Video-stimulated reflective dialogue added detail to that knowledge. Thematic analysis was used to make sense of teaching practice with individuals and across the dataset. A typology of research methods teaching developed iteratively across this process, proposing the core </w:t>
      </w:r>
      <w:r w:rsidR="00001F31">
        <w:rPr>
          <w:bCs/>
        </w:rPr>
        <w:t>categori</w:t>
      </w:r>
      <w:r w:rsidR="00A92790">
        <w:rPr>
          <w:bCs/>
        </w:rPr>
        <w:t>e</w:t>
      </w:r>
      <w:r w:rsidR="00001F31">
        <w:rPr>
          <w:bCs/>
        </w:rPr>
        <w:t>s</w:t>
      </w:r>
      <w:r w:rsidRPr="00EC68C2">
        <w:rPr>
          <w:bCs/>
        </w:rPr>
        <w:t xml:space="preserve"> of </w:t>
      </w:r>
      <w:r w:rsidRPr="00EC68C2">
        <w:rPr>
          <w:bCs/>
          <w:i/>
        </w:rPr>
        <w:t>approach, strategy</w:t>
      </w:r>
      <w:r w:rsidRPr="00EC68C2">
        <w:rPr>
          <w:bCs/>
        </w:rPr>
        <w:t xml:space="preserve">, </w:t>
      </w:r>
      <w:r w:rsidRPr="00EC68C2">
        <w:rPr>
          <w:bCs/>
          <w:i/>
        </w:rPr>
        <w:t>tactics</w:t>
      </w:r>
      <w:r w:rsidRPr="00EC68C2">
        <w:rPr>
          <w:bCs/>
        </w:rPr>
        <w:t xml:space="preserve"> and </w:t>
      </w:r>
      <w:r w:rsidRPr="00EC68C2">
        <w:rPr>
          <w:bCs/>
          <w:i/>
        </w:rPr>
        <w:t>tasks.</w:t>
      </w:r>
      <w:r w:rsidRPr="00EC68C2">
        <w:rPr>
          <w:rFonts w:cs="Arial"/>
        </w:rPr>
        <w:t xml:space="preserve"> In-depth case studies helped to gain nuance and test the emergent typology in situ. The paper argues that t</w:t>
      </w:r>
      <w:r w:rsidRPr="00EC68C2">
        <w:rPr>
          <w:bCs/>
        </w:rPr>
        <w:t>he typology contributes a dynamic tool for developing practice. It transforms the way we think about teaching and can be applied in any social science research method teaching context, benefitting the pedagogic community by enabling greater focus in planning and reflection.</w:t>
      </w:r>
    </w:p>
    <w:p w14:paraId="08D346A2" w14:textId="77777777" w:rsidR="00CC52FA" w:rsidRPr="00123588" w:rsidRDefault="00997B0F" w:rsidP="00784219">
      <w:pPr>
        <w:pStyle w:val="Keywords"/>
        <w:rPr>
          <w:bCs/>
        </w:rPr>
      </w:pPr>
      <w:r w:rsidRPr="00123588">
        <w:t xml:space="preserve">Keywords: </w:t>
      </w:r>
      <w:hyperlink r:id="rId8" w:history="1">
        <w:r w:rsidR="00CC52FA" w:rsidRPr="00123588">
          <w:t>research methods pedagogy</w:t>
        </w:r>
      </w:hyperlink>
      <w:r w:rsidR="00CC52FA" w:rsidRPr="00123588">
        <w:t xml:space="preserve">, typology, teaching approach, </w:t>
      </w:r>
      <w:r w:rsidR="00CC52FA" w:rsidRPr="00123588">
        <w:rPr>
          <w:bCs/>
        </w:rPr>
        <w:t>teaching strategy</w:t>
      </w:r>
    </w:p>
    <w:p w14:paraId="2C496D93" w14:textId="77777777" w:rsidR="0020415E" w:rsidRPr="0020415E" w:rsidRDefault="0020415E" w:rsidP="00F30DFF">
      <w:pPr>
        <w:pStyle w:val="Keywords"/>
      </w:pPr>
    </w:p>
    <w:p w14:paraId="17FD6723" w14:textId="77777777" w:rsidR="00123588" w:rsidRPr="00256AD8" w:rsidRDefault="00123588" w:rsidP="00123588">
      <w:pPr>
        <w:pStyle w:val="Heading1"/>
      </w:pPr>
      <w:r w:rsidRPr="008E2F97">
        <w:t xml:space="preserve">Introduction: Research </w:t>
      </w:r>
      <w:r w:rsidRPr="00C61BDE">
        <w:t>methods</w:t>
      </w:r>
      <w:r w:rsidRPr="008E2F97">
        <w:t xml:space="preserve"> pedagogy</w:t>
      </w:r>
    </w:p>
    <w:p w14:paraId="336DD8EB" w14:textId="16ADED9A" w:rsidR="0061550C" w:rsidRPr="001043CF" w:rsidRDefault="00123588" w:rsidP="00123588">
      <w:r w:rsidRPr="008E2F97">
        <w:t xml:space="preserve">This paper reports on the </w:t>
      </w:r>
      <w:r>
        <w:t>findings</w:t>
      </w:r>
      <w:r w:rsidRPr="008E2F97">
        <w:t xml:space="preserve"> </w:t>
      </w:r>
      <w:r>
        <w:t xml:space="preserve">and outcome </w:t>
      </w:r>
      <w:r w:rsidRPr="008E2F97">
        <w:t xml:space="preserve">of a </w:t>
      </w:r>
      <w:r w:rsidR="00001F31">
        <w:t>five</w:t>
      </w:r>
      <w:r w:rsidRPr="008E2F97">
        <w:t>-year study</w:t>
      </w:r>
      <w:r>
        <w:t xml:space="preserve"> </w:t>
      </w:r>
      <w:r w:rsidR="0061550C" w:rsidRPr="001043CF">
        <w:t xml:space="preserve">with the purpose of </w:t>
      </w:r>
      <w:r w:rsidRPr="001043CF">
        <w:t>examining the pedagogic practices of research methods teachers in the social sciences</w:t>
      </w:r>
      <w:r w:rsidR="0061550C" w:rsidRPr="001043CF">
        <w:t xml:space="preserve">, </w:t>
      </w:r>
      <w:r w:rsidR="0061550C" w:rsidRPr="001043CF">
        <w:lastRenderedPageBreak/>
        <w:t>opening them up for discussion with a view to building the pedagogic culture in research methods training</w:t>
      </w:r>
      <w:r w:rsidRPr="001043CF">
        <w:t xml:space="preserve">. </w:t>
      </w:r>
      <w:r w:rsidR="0061550C" w:rsidRPr="001043CF">
        <w:t xml:space="preserve">An </w:t>
      </w:r>
      <w:r w:rsidRPr="001043CF">
        <w:t xml:space="preserve">outcome - or product of the research - is a conceptual-empirical typology; authentically grounded in data </w:t>
      </w:r>
      <w:r w:rsidR="001043CF">
        <w:t>that we</w:t>
      </w:r>
      <w:r w:rsidRPr="001043CF">
        <w:t xml:space="preserve"> </w:t>
      </w:r>
      <w:r w:rsidR="0061550C" w:rsidRPr="001043CF">
        <w:t xml:space="preserve">argue </w:t>
      </w:r>
      <w:r w:rsidRPr="001043CF">
        <w:t xml:space="preserve">is a valuable tool for the development of methods teaching and reflexive pedagogic practice. </w:t>
      </w:r>
      <w:r w:rsidR="0061550C" w:rsidRPr="001043CF">
        <w:t>This argument is based o</w:t>
      </w:r>
      <w:r w:rsidR="00D12276" w:rsidRPr="001043CF">
        <w:t>n a mix of our intentions for the typology</w:t>
      </w:r>
      <w:r w:rsidR="0061550C" w:rsidRPr="001043CF">
        <w:t xml:space="preserve">, our efforts to make it accessible and </w:t>
      </w:r>
      <w:r w:rsidR="00D12276" w:rsidRPr="001043CF">
        <w:t>useable,</w:t>
      </w:r>
      <w:r w:rsidR="0061550C" w:rsidRPr="001043CF">
        <w:t xml:space="preserve"> and the responses (of participants, teachers and wider audiences)</w:t>
      </w:r>
      <w:r w:rsidR="00D12276" w:rsidRPr="001043CF">
        <w:t xml:space="preserve"> during the process of conducting and sharing the research</w:t>
      </w:r>
      <w:r w:rsidR="0061550C" w:rsidRPr="001043CF">
        <w:t>.</w:t>
      </w:r>
    </w:p>
    <w:p w14:paraId="6F6A6F2C" w14:textId="6A500017" w:rsidR="00123588" w:rsidRDefault="00123588" w:rsidP="002E2BAB">
      <w:pPr>
        <w:pStyle w:val="Newparagraph"/>
      </w:pPr>
      <w:r w:rsidRPr="008E2F97">
        <w:t xml:space="preserve">The study </w:t>
      </w:r>
      <w:r>
        <w:t>investigated</w:t>
      </w:r>
      <w:r w:rsidRPr="008E2F97">
        <w:t xml:space="preserve"> the pedagogies at work in </w:t>
      </w:r>
      <w:r>
        <w:t xml:space="preserve">advanced (postgraduate) </w:t>
      </w:r>
      <w:r w:rsidRPr="001043CF">
        <w:t xml:space="preserve">research methods teaching and training, </w:t>
      </w:r>
      <w:r w:rsidR="00D12276" w:rsidRPr="001043CF">
        <w:t xml:space="preserve">primarily in the UK. Research methods is </w:t>
      </w:r>
      <w:r w:rsidRPr="001043CF">
        <w:t xml:space="preserve">an </w:t>
      </w:r>
      <w:r w:rsidRPr="008E2F97">
        <w:t xml:space="preserve">area of education where </w:t>
      </w:r>
      <w:r>
        <w:t>previous</w:t>
      </w:r>
      <w:r w:rsidRPr="008E2F97">
        <w:t xml:space="preserve"> pedagogic research has been limited</w:t>
      </w:r>
      <w:r>
        <w:t xml:space="preserve"> (</w:t>
      </w:r>
      <w:r w:rsidR="005671D1">
        <w:t xml:space="preserve">Wagner, Garner and Kawulich 2011; Earley 2014; </w:t>
      </w:r>
      <w:r w:rsidR="001043CF">
        <w:t>Kilburn, Nind and</w:t>
      </w:r>
      <w:r w:rsidR="007D7530">
        <w:t xml:space="preserve"> Wiles 2014</w:t>
      </w:r>
      <w:r>
        <w:t>). What research there is, is built primarily</w:t>
      </w:r>
      <w:r w:rsidRPr="008E2F97">
        <w:t xml:space="preserve"> </w:t>
      </w:r>
      <w:r>
        <w:t>on</w:t>
      </w:r>
      <w:r w:rsidRPr="008E2F97">
        <w:t xml:space="preserve"> individual </w:t>
      </w:r>
      <w:r>
        <w:t xml:space="preserve">reflective </w:t>
      </w:r>
      <w:r w:rsidRPr="008E2F97">
        <w:t>teacher inquiry</w:t>
      </w:r>
      <w:r>
        <w:t xml:space="preserve"> with a single class or cohort</w:t>
      </w:r>
      <w:r w:rsidRPr="008E2F97">
        <w:t xml:space="preserve">. </w:t>
      </w:r>
      <w:r>
        <w:t>There</w:t>
      </w:r>
      <w:r w:rsidRPr="008E2F97">
        <w:t xml:space="preserve"> have been occasional studies (Hurworth 2008) or meta-analyses of qualitative methods pedagogy (Cooper, Chenail </w:t>
      </w:r>
      <w:r w:rsidR="00F81467">
        <w:t>and</w:t>
      </w:r>
      <w:r w:rsidRPr="008E2F97">
        <w:t xml:space="preserve"> Fleming 2012) and </w:t>
      </w:r>
      <w:r>
        <w:t xml:space="preserve">there have been studies </w:t>
      </w:r>
      <w:r w:rsidRPr="008E2F97">
        <w:t xml:space="preserve">of the research methods teaching literature more widely (Wagner, Garner </w:t>
      </w:r>
      <w:r w:rsidR="00F81467">
        <w:t>and</w:t>
      </w:r>
      <w:r w:rsidRPr="008E2F97">
        <w:t xml:space="preserve"> Kawulich 2011; Earley 2014</w:t>
      </w:r>
      <w:r w:rsidR="00DA1DAB">
        <w:t>;</w:t>
      </w:r>
      <w:r w:rsidR="00DA1DAB" w:rsidRPr="00DA1DAB">
        <w:t xml:space="preserve"> </w:t>
      </w:r>
      <w:r w:rsidR="00DA1DAB" w:rsidRPr="008E2F97">
        <w:t xml:space="preserve">Kilburn, Nind </w:t>
      </w:r>
      <w:r w:rsidR="001043CF">
        <w:t>and</w:t>
      </w:r>
      <w:r w:rsidR="00DA1DAB" w:rsidRPr="008E2F97">
        <w:t xml:space="preserve"> Wiles 2014</w:t>
      </w:r>
      <w:r w:rsidRPr="008E2F97">
        <w:t>)</w:t>
      </w:r>
      <w:r>
        <w:t>.</w:t>
      </w:r>
      <w:r w:rsidRPr="008E2F97">
        <w:t xml:space="preserve"> </w:t>
      </w:r>
      <w:r>
        <w:t>B</w:t>
      </w:r>
      <w:r w:rsidRPr="008E2F97">
        <w:t>ut</w:t>
      </w:r>
      <w:r>
        <w:t xml:space="preserve"> there has been</w:t>
      </w:r>
      <w:r w:rsidRPr="008E2F97">
        <w:t xml:space="preserve"> little first-hand</w:t>
      </w:r>
      <w:r>
        <w:t>, primary, cross-case</w:t>
      </w:r>
      <w:r w:rsidRPr="008E2F97">
        <w:t xml:space="preserve"> work on what methods teachers across disciplines and paradigms value in their teaching or </w:t>
      </w:r>
      <w:r>
        <w:t>undertake</w:t>
      </w:r>
      <w:r w:rsidRPr="008E2F97">
        <w:t xml:space="preserve"> in practice. </w:t>
      </w:r>
      <w:r>
        <w:t xml:space="preserve">In this respect, our study breaks important ground. </w:t>
      </w:r>
      <w:r w:rsidRPr="008E2F97">
        <w:t xml:space="preserve">This </w:t>
      </w:r>
      <w:r>
        <w:t xml:space="preserve">scarcity in research </w:t>
      </w:r>
      <w:r w:rsidRPr="008E2F97">
        <w:t xml:space="preserve">may reflect </w:t>
      </w:r>
      <w:r>
        <w:t>discourses</w:t>
      </w:r>
      <w:r w:rsidRPr="008E2F97">
        <w:t xml:space="preserve"> that </w:t>
      </w:r>
      <w:r>
        <w:t xml:space="preserve">argue </w:t>
      </w:r>
      <w:r w:rsidRPr="008E2F97">
        <w:t>qualitative methods can</w:t>
      </w:r>
      <w:r>
        <w:t>not</w:t>
      </w:r>
      <w:r w:rsidRPr="008E2F97">
        <w:t xml:space="preserve"> be taught (Parry, Atkinson </w:t>
      </w:r>
      <w:r w:rsidR="00F81467">
        <w:t>and</w:t>
      </w:r>
      <w:r w:rsidRPr="008E2F97">
        <w:t xml:space="preserve"> Delamont 1994; Hammersley 2012) or the idea that </w:t>
      </w:r>
      <w:r>
        <w:t>proficiency in research</w:t>
      </w:r>
      <w:r w:rsidRPr="008E2F97">
        <w:t xml:space="preserve"> </w:t>
      </w:r>
      <w:r>
        <w:t>is best</w:t>
      </w:r>
      <w:r w:rsidRPr="008E2F97">
        <w:t xml:space="preserve"> learned </w:t>
      </w:r>
      <w:r>
        <w:t>through</w:t>
      </w:r>
      <w:r w:rsidRPr="008E2F97">
        <w:t xml:space="preserve"> apprenticeship </w:t>
      </w:r>
      <w:r w:rsidRPr="0041357D">
        <w:t>(Bourdieu 1992).</w:t>
      </w:r>
      <w:r w:rsidRPr="008E2F97">
        <w:t xml:space="preserve"> </w:t>
      </w:r>
      <w:r>
        <w:t xml:space="preserve">In effect, methods teachers have, therefore, been largely unsupported by research in their pedagogic decision-making and practice. Methods teaching is difficult, sometimes unwelcome (Daniel 2018) and stakes are high - due in part to the foundational role that methods have in the building of empirical knowledge across the </w:t>
      </w:r>
      <w:r>
        <w:lastRenderedPageBreak/>
        <w:t xml:space="preserve">social sciences, and due in part to the value placed on research competence by governmental funding bodies globally. </w:t>
      </w:r>
    </w:p>
    <w:p w14:paraId="6137D36F" w14:textId="67DAE082" w:rsidR="00123588" w:rsidRDefault="00123588" w:rsidP="00123588">
      <w:pPr>
        <w:pStyle w:val="Newparagraph"/>
      </w:pPr>
      <w:r>
        <w:t>From our sociocultural perspective, pedagogy is</w:t>
      </w:r>
      <w:r w:rsidRPr="00F45FCD">
        <w:t xml:space="preserve"> ‘concerned not just with what people do in teaching and learning situations but with what they perceive to be meaningful, important and relevant’ (</w:t>
      </w:r>
      <w:r w:rsidR="00092D64" w:rsidRPr="00F45FCD">
        <w:rPr>
          <w:rFonts w:cs="AdvTTec369687"/>
        </w:rPr>
        <w:t>Nind</w:t>
      </w:r>
      <w:r w:rsidR="00092D64">
        <w:rPr>
          <w:rFonts w:cs="AdvTTec369687"/>
        </w:rPr>
        <w:t xml:space="preserve">, Kilburn </w:t>
      </w:r>
      <w:r w:rsidR="001043CF">
        <w:rPr>
          <w:rFonts w:cs="AdvTTec369687"/>
        </w:rPr>
        <w:t>and</w:t>
      </w:r>
      <w:r w:rsidR="00092D64">
        <w:rPr>
          <w:rFonts w:cs="AdvTTec369687"/>
        </w:rPr>
        <w:t xml:space="preserve"> Luff</w:t>
      </w:r>
      <w:r w:rsidR="005671D1" w:rsidRPr="00F45FCD">
        <w:t xml:space="preserve"> </w:t>
      </w:r>
      <w:r w:rsidRPr="00F45FCD">
        <w:t>2015, 2).</w:t>
      </w:r>
      <w:r>
        <w:t xml:space="preserve"> It includes the </w:t>
      </w:r>
      <w:r>
        <w:rPr>
          <w:rFonts w:cs="Plantin"/>
          <w:color w:val="292526"/>
        </w:rPr>
        <w:t>hidden pedagogy of resilient pragmatic beliefs based on classroom experience (</w:t>
      </w:r>
      <w:r w:rsidR="00C741C2" w:rsidRPr="001043CF">
        <w:rPr>
          <w:rFonts w:cs="Plantin"/>
        </w:rPr>
        <w:t xml:space="preserve">Denscombe </w:t>
      </w:r>
      <w:r w:rsidRPr="001043CF">
        <w:rPr>
          <w:rFonts w:cs="Plantin"/>
        </w:rPr>
        <w:t>1982</w:t>
      </w:r>
      <w:r>
        <w:rPr>
          <w:rFonts w:cs="Plantin"/>
          <w:color w:val="292526"/>
        </w:rPr>
        <w:t xml:space="preserve">). </w:t>
      </w:r>
      <w:r>
        <w:rPr>
          <w:lang w:val="en"/>
        </w:rPr>
        <w:t xml:space="preserve">It includes both what is and isn’t visible (Gamble 2001), embracing tacit knowledges – the knowing-in-practice (Polanyi 1958) that recognises that skilled teachers know much more than they can tell. This relates to the intertwined </w:t>
      </w:r>
      <w:r w:rsidRPr="00D77E92">
        <w:rPr>
          <w:i/>
          <w:lang w:val="en"/>
        </w:rPr>
        <w:t>know that</w:t>
      </w:r>
      <w:r>
        <w:rPr>
          <w:lang w:val="en"/>
        </w:rPr>
        <w:t xml:space="preserve"> and </w:t>
      </w:r>
      <w:r w:rsidRPr="00D77E92">
        <w:rPr>
          <w:i/>
          <w:lang w:val="en"/>
        </w:rPr>
        <w:t>know how</w:t>
      </w:r>
      <w:r>
        <w:rPr>
          <w:lang w:val="en"/>
        </w:rPr>
        <w:t xml:space="preserve"> (Ryle 1949) of being a teacher.</w:t>
      </w:r>
      <w:r>
        <w:rPr>
          <w:rFonts w:cs="Plantin"/>
          <w:color w:val="292526"/>
        </w:rPr>
        <w:t xml:space="preserve"> </w:t>
      </w:r>
      <w:r>
        <w:t xml:space="preserve">These layers, plus the struggle to articulate something that is non-linear, relational and emergent (Sellar </w:t>
      </w:r>
      <w:r w:rsidRPr="008E2F97">
        <w:t xml:space="preserve">2009), can make pedagogy ‘hard to know’, as </w:t>
      </w:r>
      <w:r w:rsidR="00092D64">
        <w:t>Nind, Curtin and Hall</w:t>
      </w:r>
      <w:r w:rsidR="005671D1" w:rsidRPr="008E2F97">
        <w:t xml:space="preserve"> </w:t>
      </w:r>
      <w:r w:rsidRPr="008E2F97">
        <w:t xml:space="preserve">(2016) argue. Teachers’ craft knowledge (Brown </w:t>
      </w:r>
      <w:r w:rsidR="00F81467">
        <w:t>and</w:t>
      </w:r>
      <w:r w:rsidRPr="008E2F97">
        <w:t xml:space="preserve"> MacIntyre 1993) is both complex, and elusive. To develop practice in the teaching and learning of social science research methods, it is important to tease out how practice is understood and rationalised and to explore moment-by-moment pedagogic (inter)actions and decisions in situ. In our work we have</w:t>
      </w:r>
      <w:r>
        <w:t xml:space="preserve"> done this</w:t>
      </w:r>
      <w:r w:rsidR="00C741C2">
        <w:t xml:space="preserve"> </w:t>
      </w:r>
      <w:r w:rsidR="00C741C2" w:rsidRPr="001043CF">
        <w:t>(see methods section)</w:t>
      </w:r>
      <w:r w:rsidRPr="001043CF">
        <w:t xml:space="preserve"> and sought to develop a typology to represent teachers’ explicit </w:t>
      </w:r>
      <w:r>
        <w:t xml:space="preserve">and tacit </w:t>
      </w:r>
      <w:r w:rsidRPr="008E2F97">
        <w:t>process</w:t>
      </w:r>
      <w:r>
        <w:t>es</w:t>
      </w:r>
      <w:r w:rsidRPr="008E2F97">
        <w:t>.</w:t>
      </w:r>
      <w:r w:rsidRPr="008E2F97">
        <w:softHyphen/>
      </w:r>
    </w:p>
    <w:p w14:paraId="35B72B42" w14:textId="77777777" w:rsidR="0053347E" w:rsidRPr="00725B09" w:rsidRDefault="0053347E" w:rsidP="0053347E">
      <w:pPr>
        <w:pStyle w:val="Heading1"/>
        <w:rPr>
          <w:rFonts w:cs="Plantin"/>
        </w:rPr>
      </w:pPr>
      <w:r>
        <w:t>Typology as Research Work</w:t>
      </w:r>
    </w:p>
    <w:p w14:paraId="4F0345F6" w14:textId="6F147621" w:rsidR="0053347E" w:rsidRPr="0033243B" w:rsidRDefault="0053347E" w:rsidP="0053347E">
      <w:r w:rsidRPr="0033243B">
        <w:t xml:space="preserve">A typology of pedagogy can offer teachers a way of seeing and thinking about what other teachers </w:t>
      </w:r>
      <w:r>
        <w:t xml:space="preserve">do and why, and how this can be related to their own practice. This is not about providing a normative steer, rather a self-analytic tool. A typology is a classification of practice that distils complex data – in our case on complex pedagogies - through the identification of key parts or categories. As </w:t>
      </w:r>
      <w:r w:rsidRPr="00BD3C55">
        <w:t xml:space="preserve">Bailey </w:t>
      </w:r>
      <w:r>
        <w:t>(</w:t>
      </w:r>
      <w:r w:rsidRPr="00BD3C55">
        <w:t>1994, 1)</w:t>
      </w:r>
      <w:r>
        <w:t xml:space="preserve"> argues, ‘w</w:t>
      </w:r>
      <w:r w:rsidRPr="00BD3C55">
        <w:t xml:space="preserve">ithout classification, there could be no advanced conceptualization, reasoning, </w:t>
      </w:r>
      <w:r w:rsidRPr="00BD3C55">
        <w:lastRenderedPageBreak/>
        <w:t>language, data analysis or, for that mat</w:t>
      </w:r>
      <w:r>
        <w:t>ter, social science research</w:t>
      </w:r>
      <w:r w:rsidRPr="00BD3C55">
        <w:t>’</w:t>
      </w:r>
      <w:r>
        <w:t xml:space="preserve">. </w:t>
      </w:r>
      <w:r w:rsidRPr="0033243B">
        <w:t xml:space="preserve">We have been looking to communicate with social science researchers about the teaching of research </w:t>
      </w:r>
      <w:r w:rsidRPr="001043CF">
        <w:t>methods in a way that makes sense to them; this means naming the</w:t>
      </w:r>
      <w:r w:rsidR="00FA1E4C" w:rsidRPr="001043CF">
        <w:t xml:space="preserve"> distinct aspects</w:t>
      </w:r>
      <w:r w:rsidRPr="001043CF">
        <w:t xml:space="preserve"> of </w:t>
      </w:r>
      <w:r w:rsidRPr="0033243B">
        <w:t>that teaching (Bailey’s 1994, 6 ‘nomenclature’) to support new ways of knowing:</w:t>
      </w:r>
    </w:p>
    <w:p w14:paraId="4B9FD70B" w14:textId="77777777" w:rsidR="0053347E" w:rsidRDefault="0053347E" w:rsidP="0053347E">
      <w:pPr>
        <w:pStyle w:val="Displayedquotation"/>
      </w:pPr>
      <w:r>
        <w:t>…</w:t>
      </w:r>
      <w:r w:rsidRPr="00FC55F5">
        <w:t xml:space="preserve"> a well-constructed typology can be very effective in bringing order out of chaos. It can transform the complexity of apparently </w:t>
      </w:r>
      <w:r>
        <w:t>…</w:t>
      </w:r>
      <w:r w:rsidRPr="00FC55F5">
        <w:t xml:space="preserve"> diverse cases into well-ordered sets of a few rather homogeneous types, clearly situated in a property space of a few important dimensions. A sound typology forms a solid foundation for both theorizing and empirical research. Perhaps no other tool has such power to simplify</w:t>
      </w:r>
      <w:r>
        <w:t xml:space="preserve"> life for the social scientist.</w:t>
      </w:r>
      <w:r w:rsidRPr="00FC55F5">
        <w:t xml:space="preserve"> (Bailey 1994, 33)</w:t>
      </w:r>
    </w:p>
    <w:p w14:paraId="4E099152" w14:textId="75048CF2" w:rsidR="0053347E" w:rsidRDefault="0053347E" w:rsidP="007B10B2">
      <w:pPr>
        <w:pStyle w:val="Paragraph"/>
      </w:pPr>
      <w:r w:rsidRPr="0033243B">
        <w:t xml:space="preserve">In essence, we want to move from being able to say that everyone has their own way of </w:t>
      </w:r>
      <w:r w:rsidRPr="001043CF">
        <w:t xml:space="preserve">tackling methods teaching, to being able to say that there </w:t>
      </w:r>
      <w:r w:rsidR="00C45034" w:rsidRPr="001043CF">
        <w:t>types of practice that we can identify through research</w:t>
      </w:r>
      <w:r w:rsidRPr="001043CF">
        <w:t xml:space="preserve">, categories constructed through a combination of </w:t>
      </w:r>
      <w:r w:rsidR="007B10B2" w:rsidRPr="001043CF">
        <w:t>data analysis</w:t>
      </w:r>
      <w:r w:rsidRPr="001043CF">
        <w:t xml:space="preserve"> </w:t>
      </w:r>
      <w:r w:rsidRPr="0033243B">
        <w:t xml:space="preserve">and theoretical knowledge. </w:t>
      </w:r>
    </w:p>
    <w:p w14:paraId="6018C5D6" w14:textId="77E0DFFA" w:rsidR="0053347E" w:rsidRPr="001043CF" w:rsidRDefault="0053347E" w:rsidP="0053347E">
      <w:pPr>
        <w:pStyle w:val="Newparagraph"/>
      </w:pPr>
      <w:r w:rsidRPr="0033243B">
        <w:t xml:space="preserve">Typologies have been constructed in education for different purposes including to map types of education provision (Rix </w:t>
      </w:r>
      <w:r w:rsidR="00F81467">
        <w:t>and</w:t>
      </w:r>
      <w:r w:rsidRPr="0033243B">
        <w:t xml:space="preserve"> Twining 2007), to clarify approaches to particular education challenges (Rao </w:t>
      </w:r>
      <w:r w:rsidR="00F81467">
        <w:t>and</w:t>
      </w:r>
      <w:r w:rsidRPr="0033243B">
        <w:t xml:space="preserve"> Stupans 2012) and to classify the impacts of education interventions (Lunsford, Baker, Griffin </w:t>
      </w:r>
      <w:r w:rsidR="00F81467">
        <w:t>and</w:t>
      </w:r>
      <w:r w:rsidRPr="0033243B">
        <w:t xml:space="preserve"> Johnson 2013). Typologies rely </w:t>
      </w:r>
      <w:r w:rsidRPr="001043CF">
        <w:t xml:space="preserve">on the </w:t>
      </w:r>
      <w:r w:rsidR="009801E2" w:rsidRPr="001043CF">
        <w:t>‘</w:t>
      </w:r>
      <w:r w:rsidRPr="001043CF">
        <w:t>reduction</w:t>
      </w:r>
      <w:r w:rsidR="009801E2" w:rsidRPr="001043CF">
        <w:t>’</w:t>
      </w:r>
      <w:r w:rsidRPr="001043CF">
        <w:t xml:space="preserve"> of data and concepts (Lewis-Beck 1994</w:t>
      </w:r>
      <w:r w:rsidR="009801E2" w:rsidRPr="001043CF">
        <w:t>, v</w:t>
      </w:r>
      <w:r w:rsidRPr="001043CF">
        <w:t xml:space="preserve">) to identify parts, </w:t>
      </w:r>
      <w:r w:rsidRPr="00BD3C55">
        <w:t xml:space="preserve">properties and their dimensions (Kluge </w:t>
      </w:r>
      <w:r w:rsidRPr="009420A0">
        <w:t xml:space="preserve">2000). </w:t>
      </w:r>
      <w:r>
        <w:t xml:space="preserve">This process usually involves arranging ‘entities into groups’ that are internally homogenous but distinct from each other </w:t>
      </w:r>
      <w:r w:rsidRPr="001043CF">
        <w:t xml:space="preserve">(Bailey 1994, 1). Importantly, unlike taxonomies, typologies are </w:t>
      </w:r>
      <w:r w:rsidR="00342532" w:rsidRPr="001043CF">
        <w:t xml:space="preserve">understood to be </w:t>
      </w:r>
      <w:r w:rsidRPr="001043CF">
        <w:t xml:space="preserve">non-hierarchical. Categories should relate to one another rather than being dominant or subsidiary (Ayres </w:t>
      </w:r>
      <w:r w:rsidR="00F81467" w:rsidRPr="001043CF">
        <w:t>and</w:t>
      </w:r>
      <w:r w:rsidRPr="001043CF">
        <w:t xml:space="preserve"> Knafle 2008). This fit with our desire to resist an evaluative perspective that</w:t>
      </w:r>
      <w:r w:rsidR="00C45034" w:rsidRPr="001043CF">
        <w:t xml:space="preserve"> </w:t>
      </w:r>
      <w:r w:rsidR="00001F31" w:rsidRPr="001043CF">
        <w:t>values</w:t>
      </w:r>
      <w:r w:rsidR="00F56BE5" w:rsidRPr="001043CF">
        <w:t xml:space="preserve"> </w:t>
      </w:r>
      <w:r w:rsidRPr="001043CF">
        <w:t xml:space="preserve">some </w:t>
      </w:r>
      <w:r w:rsidR="007C2B35" w:rsidRPr="001043CF">
        <w:t>aspects of teaching</w:t>
      </w:r>
      <w:r w:rsidRPr="001043CF">
        <w:t xml:space="preserve"> above others in ways that might subject participants to normative scrutiny. A sophisticated typology of pedagogy requires </w:t>
      </w:r>
      <w:r w:rsidRPr="001043CF">
        <w:lastRenderedPageBreak/>
        <w:t>engagement with teachers to capture nuance and diversity</w:t>
      </w:r>
      <w:r w:rsidR="00D51364" w:rsidRPr="001043CF">
        <w:t xml:space="preserve"> and ensure that any</w:t>
      </w:r>
      <w:r w:rsidR="004E0D1C" w:rsidRPr="001043CF">
        <w:t xml:space="preserve"> abstraction and</w:t>
      </w:r>
      <w:r w:rsidR="00D51364" w:rsidRPr="001043CF">
        <w:t xml:space="preserve"> categorisation makes space for these</w:t>
      </w:r>
      <w:r w:rsidRPr="001043CF">
        <w:t xml:space="preserve">. </w:t>
      </w:r>
    </w:p>
    <w:p w14:paraId="316A94C9" w14:textId="66130057" w:rsidR="0053347E" w:rsidRPr="003B7734" w:rsidRDefault="0053347E" w:rsidP="0053347E">
      <w:pPr>
        <w:pStyle w:val="Newparagraph"/>
        <w:rPr>
          <w:lang w:val="en"/>
        </w:rPr>
      </w:pPr>
      <w:r>
        <w:t xml:space="preserve">Making sense of the social environment through classification is </w:t>
      </w:r>
      <w:r w:rsidR="00D51364">
        <w:t xml:space="preserve">the basis of </w:t>
      </w:r>
      <w:r>
        <w:t xml:space="preserve">what we do as social scientists (Lewis-Beck 1994; Bowker </w:t>
      </w:r>
      <w:r w:rsidR="00F81467">
        <w:t>and</w:t>
      </w:r>
      <w:r>
        <w:t xml:space="preserve"> Star 1999). Classifying is also what we do as human beings (Bowker </w:t>
      </w:r>
      <w:r w:rsidR="00F81467">
        <w:t>and</w:t>
      </w:r>
      <w:r>
        <w:t xml:space="preserve"> Star 1999</w:t>
      </w:r>
      <w:r w:rsidRPr="00BD3C55">
        <w:t>)</w:t>
      </w:r>
      <w:r>
        <w:t xml:space="preserve">, but we argue that it is important to move from informal classification of pedagogies - as good or bad, effective or ineffective, possible or unrealistic - to a typology that would be useful both as a ‘descriptive tool’ </w:t>
      </w:r>
      <w:r w:rsidRPr="00BD3C55">
        <w:t>(Bailey 1994, 12)</w:t>
      </w:r>
      <w:r>
        <w:t xml:space="preserve"> and a thinking tool. </w:t>
      </w:r>
      <w:r w:rsidRPr="00A87219">
        <w:t xml:space="preserve">Typologies in education research have been developed conceptually from the literature (see, for example </w:t>
      </w:r>
      <w:r w:rsidRPr="001043CF">
        <w:t xml:space="preserve">Hoggan 2016) or are prospective for </w:t>
      </w:r>
      <w:r w:rsidR="00FA1E4C" w:rsidRPr="001043CF">
        <w:t xml:space="preserve">empirical </w:t>
      </w:r>
      <w:r w:rsidR="001043CF" w:rsidRPr="001043CF">
        <w:t>testing</w:t>
      </w:r>
      <w:r w:rsidRPr="001043CF">
        <w:t xml:space="preserve"> (see for example Rao </w:t>
      </w:r>
      <w:r w:rsidR="00F81467" w:rsidRPr="001043CF">
        <w:t>and</w:t>
      </w:r>
      <w:r w:rsidRPr="001043CF">
        <w:t xml:space="preserve"> Stupens 2012). Often though, classifying practice to form a typology has both a conceptual as well as empirical dimension (Bailey 1994). </w:t>
      </w:r>
      <w:r w:rsidRPr="001043CF">
        <w:rPr>
          <w:lang w:val="en"/>
        </w:rPr>
        <w:t xml:space="preserve">There have been classifications of methods/higher education pedagogy as student-centred versus teacher-centred (Barraket 2005), surface versus deep learning (Haggis 2003) etc, but it is rare though to find </w:t>
      </w:r>
      <w:r w:rsidR="00960AC4" w:rsidRPr="001043CF">
        <w:rPr>
          <w:lang w:val="en"/>
        </w:rPr>
        <w:t>classifications presented bounded by a specific pedagogy as</w:t>
      </w:r>
      <w:r w:rsidRPr="001043CF">
        <w:rPr>
          <w:lang w:val="en"/>
        </w:rPr>
        <w:t xml:space="preserve"> Alexander (2018) offers for </w:t>
      </w:r>
      <w:r w:rsidRPr="003B7734">
        <w:rPr>
          <w:lang w:val="en"/>
        </w:rPr>
        <w:t xml:space="preserve">dialogic teaching in primary education. In the area of research methods teaching, where expertise often resides in the discipline or research method rather than in pedagogical practice, a typology of research methods pedagogy has not been attempted before and </w:t>
      </w:r>
      <w:r>
        <w:rPr>
          <w:lang w:val="en"/>
        </w:rPr>
        <w:t>necessitated</w:t>
      </w:r>
      <w:r w:rsidRPr="003B7734">
        <w:rPr>
          <w:lang w:val="en"/>
        </w:rPr>
        <w:t xml:space="preserve"> empirical</w:t>
      </w:r>
      <w:r w:rsidR="00D32B4C">
        <w:rPr>
          <w:lang w:val="en"/>
        </w:rPr>
        <w:t>, reflective</w:t>
      </w:r>
      <w:r w:rsidRPr="003B7734">
        <w:rPr>
          <w:lang w:val="en"/>
        </w:rPr>
        <w:t xml:space="preserve"> and conceptual work.</w:t>
      </w:r>
    </w:p>
    <w:p w14:paraId="60DAA807" w14:textId="77777777" w:rsidR="0053347E" w:rsidRPr="00256AD8" w:rsidRDefault="0053347E" w:rsidP="0053347E">
      <w:pPr>
        <w:pStyle w:val="Heading1"/>
      </w:pPr>
      <w:r w:rsidRPr="00256AD8">
        <w:t>Methods</w:t>
      </w:r>
    </w:p>
    <w:p w14:paraId="3F6CF98C" w14:textId="411E219E" w:rsidR="0053347E" w:rsidRDefault="0053347E" w:rsidP="00FA1E4C">
      <w:pPr>
        <w:pStyle w:val="Paragraph"/>
      </w:pPr>
      <w:r w:rsidRPr="001043CF">
        <w:t xml:space="preserve">We have constructed the typology using data generated from </w:t>
      </w:r>
      <w:r w:rsidR="002C46B7" w:rsidRPr="001043CF">
        <w:t>a bespoke combination of</w:t>
      </w:r>
      <w:r w:rsidRPr="001043CF">
        <w:t xml:space="preserve"> methods within one study involving teachers of quantitative, qualitative, mixed and digital methods. </w:t>
      </w:r>
      <w:r w:rsidRPr="001043CF">
        <w:rPr>
          <w:lang w:val="en"/>
        </w:rPr>
        <w:t xml:space="preserve">The </w:t>
      </w:r>
      <w:r w:rsidR="00DA1DAB" w:rsidRPr="001043CF">
        <w:rPr>
          <w:i/>
        </w:rPr>
        <w:t xml:space="preserve">Pedagogy of Methodological Learning </w:t>
      </w:r>
      <w:r w:rsidRPr="001043CF">
        <w:rPr>
          <w:lang w:val="en"/>
        </w:rPr>
        <w:t>study was conducted in two phases from 2013 to 2017 as shown</w:t>
      </w:r>
      <w:r w:rsidRPr="001043CF">
        <w:t xml:space="preserve"> in Table 1</w:t>
      </w:r>
      <w:r w:rsidRPr="001043CF">
        <w:rPr>
          <w:lang w:val="en"/>
        </w:rPr>
        <w:t xml:space="preserve">. At the heart of the study was the </w:t>
      </w:r>
      <w:r w:rsidRPr="001043CF">
        <w:rPr>
          <w:lang w:val="en"/>
        </w:rPr>
        <w:lastRenderedPageBreak/>
        <w:t xml:space="preserve">principle the research itself could be </w:t>
      </w:r>
      <w:r w:rsidR="002C46B7" w:rsidRPr="001043CF">
        <w:rPr>
          <w:lang w:val="en"/>
        </w:rPr>
        <w:t>developmental for those involved</w:t>
      </w:r>
      <w:r w:rsidRPr="001043CF">
        <w:rPr>
          <w:lang w:val="en"/>
        </w:rPr>
        <w:t xml:space="preserve">. This meant that </w:t>
      </w:r>
      <w:r w:rsidRPr="003B7734">
        <w:rPr>
          <w:lang w:val="en"/>
        </w:rPr>
        <w:t>the methods - like the participants - needed to be in dialogue (</w:t>
      </w:r>
      <w:r>
        <w:rPr>
          <w:lang w:val="en"/>
        </w:rPr>
        <w:t xml:space="preserve">see </w:t>
      </w:r>
      <w:r w:rsidR="000F51AA" w:rsidRPr="003B7734">
        <w:rPr>
          <w:lang w:val="en"/>
        </w:rPr>
        <w:t>Nind</w:t>
      </w:r>
      <w:r w:rsidR="000F51AA">
        <w:rPr>
          <w:lang w:val="en"/>
        </w:rPr>
        <w:t xml:space="preserve"> &amp; Lewthwaite</w:t>
      </w:r>
      <w:r w:rsidR="005671D1" w:rsidRPr="003B7734">
        <w:rPr>
          <w:lang w:val="en"/>
        </w:rPr>
        <w:t xml:space="preserve"> </w:t>
      </w:r>
      <w:r w:rsidRPr="001043CF">
        <w:rPr>
          <w:lang w:val="en"/>
        </w:rPr>
        <w:t xml:space="preserve">2018a). In the research design </w:t>
      </w:r>
      <w:r w:rsidRPr="001043CF">
        <w:t>the starting point for the dialogue was a conversation using expert panel method. Panel participants were leaders</w:t>
      </w:r>
      <w:r w:rsidR="009C4B6C" w:rsidRPr="001043CF">
        <w:t xml:space="preserve"> in the sense of having extensive teaching experience and commitment to reflection </w:t>
      </w:r>
      <w:r w:rsidR="009C4B6C" w:rsidRPr="001043CF">
        <w:rPr>
          <w:rFonts w:eastAsia="Calibri"/>
        </w:rPr>
        <w:t xml:space="preserve">(Lucas and Claxton 2013) </w:t>
      </w:r>
      <w:r w:rsidR="00960AC4" w:rsidRPr="001043CF">
        <w:t>and</w:t>
      </w:r>
      <w:r w:rsidRPr="001043CF">
        <w:t xml:space="preserve"> experts in that they had</w:t>
      </w:r>
      <w:r w:rsidR="00960AC4" w:rsidRPr="001043CF">
        <w:t xml:space="preserve"> garnered</w:t>
      </w:r>
      <w:r w:rsidRPr="001043CF">
        <w:t xml:space="preserve"> ‘</w:t>
      </w:r>
      <w:r w:rsidRPr="001043CF">
        <w:rPr>
          <w:rFonts w:cs="AdvOT5843c571"/>
        </w:rPr>
        <w:t>significant experience over time of advanced methods teaching at a postgraduate level’ (</w:t>
      </w:r>
      <w:r w:rsidR="000F51AA" w:rsidRPr="001043CF">
        <w:t>Lewthwaite &amp; Nind</w:t>
      </w:r>
      <w:r w:rsidRPr="001043CF">
        <w:t xml:space="preserve"> 2016, 417)</w:t>
      </w:r>
      <w:r w:rsidRPr="001043CF">
        <w:rPr>
          <w:rFonts w:cs="AdvOT5843c571"/>
        </w:rPr>
        <w:t>; they had often also written methods textbooks or papers on pedagogy for methods teaching or had senior transnational roles teaching research methods</w:t>
      </w:r>
      <w:r w:rsidR="002B402C" w:rsidRPr="001043CF">
        <w:rPr>
          <w:rFonts w:cs="AdvOT5843c571"/>
        </w:rPr>
        <w:t>. Because they</w:t>
      </w:r>
      <w:r w:rsidR="00330170" w:rsidRPr="001043CF">
        <w:rPr>
          <w:rFonts w:cs="AdvOT5843c571"/>
        </w:rPr>
        <w:t xml:space="preserve"> could offer rich and diverse perspectives</w:t>
      </w:r>
      <w:r w:rsidR="002B402C" w:rsidRPr="001043CF">
        <w:rPr>
          <w:rFonts w:cs="AdvOT5843c571"/>
        </w:rPr>
        <w:t xml:space="preserve"> we went to them to begin a series of dialogues</w:t>
      </w:r>
      <w:r w:rsidR="00E3013F" w:rsidRPr="001043CF">
        <w:rPr>
          <w:rFonts w:cs="AdvOT5843c571"/>
        </w:rPr>
        <w:t xml:space="preserve"> before observing teaching in situ</w:t>
      </w:r>
      <w:r w:rsidRPr="001043CF">
        <w:rPr>
          <w:rFonts w:cs="AdvOT5843c571"/>
        </w:rPr>
        <w:t xml:space="preserve">. </w:t>
      </w:r>
      <w:r w:rsidRPr="001043CF">
        <w:t xml:space="preserve">Here, as in other papers, experts are named with their </w:t>
      </w:r>
      <w:r>
        <w:t xml:space="preserve">consent, as anonymising them would be impossible. Nationally (phase 1, UK) expert participants comprised: Andy Field, John MacInnes, Malcolm Williams, Julia Brannen, Pauline Leonard, Pat Sikes, Harry Torrance and Amanda Coffey. Internationally (phase 2), panellists were Andrew Gelman, Anne Porter, W.Paul Vogt, Chris Wild, Sharlene Hesse-Biber, Pat Bazeley, John Cresswell, Manfred Max Bergman, Richard Rogers, Bagele Chilisa, </w:t>
      </w:r>
      <w:r w:rsidRPr="00673DC6">
        <w:t>César Cisneros-Puebla</w:t>
      </w:r>
      <w:r>
        <w:t xml:space="preserve">, </w:t>
      </w:r>
      <w:r w:rsidRPr="00673DC6">
        <w:t>Johnny Saldaña</w:t>
      </w:r>
      <w:r>
        <w:t xml:space="preserve"> and Yvonna Lincoln. </w:t>
      </w:r>
    </w:p>
    <w:p w14:paraId="09796BF4" w14:textId="122F27FD" w:rsidR="00520184" w:rsidRDefault="00520184">
      <w:pPr>
        <w:spacing w:line="240" w:lineRule="auto"/>
      </w:pPr>
      <w:r>
        <w:br w:type="page"/>
      </w:r>
    </w:p>
    <w:p w14:paraId="5B24EBF8" w14:textId="77777777" w:rsidR="00520184" w:rsidRDefault="00520184" w:rsidP="009256EA">
      <w:pPr>
        <w:jc w:val="center"/>
        <w:rPr>
          <w:b/>
        </w:rPr>
        <w:sectPr w:rsidR="00520184" w:rsidSect="00074B81">
          <w:footerReference w:type="default" r:id="rId9"/>
          <w:pgSz w:w="11901" w:h="16840" w:code="9"/>
          <w:pgMar w:top="1418" w:right="1701" w:bottom="1418" w:left="1701" w:header="709" w:footer="709" w:gutter="0"/>
          <w:cols w:space="708"/>
          <w:docGrid w:linePitch="360"/>
        </w:sectPr>
      </w:pPr>
    </w:p>
    <w:tbl>
      <w:tblPr>
        <w:tblStyle w:val="TableGrid"/>
        <w:tblW w:w="14312" w:type="dxa"/>
        <w:tblLayout w:type="fixed"/>
        <w:tblLook w:val="04A0" w:firstRow="1" w:lastRow="0" w:firstColumn="1" w:lastColumn="0" w:noHBand="0" w:noVBand="1"/>
      </w:tblPr>
      <w:tblGrid>
        <w:gridCol w:w="5240"/>
        <w:gridCol w:w="709"/>
        <w:gridCol w:w="7654"/>
        <w:gridCol w:w="709"/>
      </w:tblGrid>
      <w:tr w:rsidR="00520184" w:rsidRPr="005C178C" w14:paraId="0E64D1F1" w14:textId="77777777" w:rsidTr="009256EA">
        <w:tc>
          <w:tcPr>
            <w:tcW w:w="14312" w:type="dxa"/>
            <w:gridSpan w:val="4"/>
          </w:tcPr>
          <w:p w14:paraId="5FC7C887" w14:textId="16627B67" w:rsidR="00520184" w:rsidRPr="005C178C" w:rsidRDefault="00520184" w:rsidP="009256EA">
            <w:pPr>
              <w:jc w:val="center"/>
              <w:rPr>
                <w:rFonts w:ascii="Times New Roman" w:hAnsi="Times New Roman" w:cs="Times New Roman"/>
                <w:b/>
              </w:rPr>
            </w:pPr>
            <w:r w:rsidRPr="005C178C">
              <w:rPr>
                <w:rFonts w:ascii="Times New Roman" w:hAnsi="Times New Roman" w:cs="Times New Roman"/>
                <w:b/>
              </w:rPr>
              <w:lastRenderedPageBreak/>
              <w:t xml:space="preserve">Starting the dialogue: Expert panel </w:t>
            </w:r>
            <w:r w:rsidRPr="005C178C">
              <w:rPr>
                <w:rFonts w:ascii="Times New Roman" w:hAnsi="Times New Roman" w:cs="Times New Roman"/>
              </w:rPr>
              <w:t>(transcripts and online data)</w:t>
            </w:r>
          </w:p>
        </w:tc>
      </w:tr>
      <w:tr w:rsidR="00520184" w:rsidRPr="005C178C" w14:paraId="36BF84FE" w14:textId="77777777" w:rsidTr="009256EA">
        <w:tc>
          <w:tcPr>
            <w:tcW w:w="5949" w:type="dxa"/>
            <w:gridSpan w:val="2"/>
          </w:tcPr>
          <w:p w14:paraId="4CD6B76F"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1 October- November 2013</w:t>
            </w:r>
          </w:p>
        </w:tc>
        <w:tc>
          <w:tcPr>
            <w:tcW w:w="8363" w:type="dxa"/>
            <w:gridSpan w:val="2"/>
          </w:tcPr>
          <w:p w14:paraId="6447EF98"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2 May-July 2015</w:t>
            </w:r>
          </w:p>
        </w:tc>
      </w:tr>
      <w:tr w:rsidR="00520184" w:rsidRPr="005C178C" w14:paraId="2F94E5A4" w14:textId="77777777" w:rsidTr="009256EA">
        <w:tc>
          <w:tcPr>
            <w:tcW w:w="5240" w:type="dxa"/>
          </w:tcPr>
          <w:p w14:paraId="6C5DD7E4"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Interviews with 8 UK experts (3 quantitative methods, 3 qualitative methods,  2 mixed methods)</w:t>
            </w:r>
          </w:p>
        </w:tc>
        <w:tc>
          <w:tcPr>
            <w:tcW w:w="709" w:type="dxa"/>
          </w:tcPr>
          <w:p w14:paraId="67303AF0"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n.8</w:t>
            </w:r>
          </w:p>
        </w:tc>
        <w:tc>
          <w:tcPr>
            <w:tcW w:w="7654" w:type="dxa"/>
          </w:tcPr>
          <w:p w14:paraId="405205CB"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Interviews with international experts (4 quantitative, 4 qualitative, 4 mixed methods, 1 digital methods, spanning USA, South America, Europe &amp; Africa)</w:t>
            </w:r>
          </w:p>
        </w:tc>
        <w:tc>
          <w:tcPr>
            <w:tcW w:w="709" w:type="dxa"/>
          </w:tcPr>
          <w:p w14:paraId="25B51936"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n.13</w:t>
            </w:r>
          </w:p>
        </w:tc>
      </w:tr>
      <w:tr w:rsidR="00520184" w:rsidRPr="005C178C" w14:paraId="5AFF8B26" w14:textId="77777777" w:rsidTr="009256EA">
        <w:tc>
          <w:tcPr>
            <w:tcW w:w="5949" w:type="dxa"/>
            <w:gridSpan w:val="2"/>
            <w:vMerge w:val="restart"/>
          </w:tcPr>
          <w:p w14:paraId="7E3A80D1" w14:textId="77777777" w:rsidR="00520184" w:rsidRPr="005C178C" w:rsidRDefault="00520184" w:rsidP="009256EA">
            <w:pPr>
              <w:jc w:val="center"/>
              <w:rPr>
                <w:rFonts w:ascii="Times New Roman" w:hAnsi="Times New Roman" w:cs="Times New Roman"/>
              </w:rPr>
            </w:pPr>
          </w:p>
        </w:tc>
        <w:tc>
          <w:tcPr>
            <w:tcW w:w="8363" w:type="dxa"/>
            <w:gridSpan w:val="2"/>
          </w:tcPr>
          <w:p w14:paraId="256CD3A1"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2 July-September 2015</w:t>
            </w:r>
          </w:p>
        </w:tc>
      </w:tr>
      <w:tr w:rsidR="00520184" w:rsidRPr="005C178C" w14:paraId="4F76CB0E" w14:textId="77777777" w:rsidTr="009256EA">
        <w:tc>
          <w:tcPr>
            <w:tcW w:w="5949" w:type="dxa"/>
            <w:gridSpan w:val="2"/>
            <w:vMerge/>
          </w:tcPr>
          <w:p w14:paraId="188A0B78" w14:textId="77777777" w:rsidR="00520184" w:rsidRPr="005C178C" w:rsidRDefault="00520184" w:rsidP="009256EA">
            <w:pPr>
              <w:rPr>
                <w:rFonts w:ascii="Times New Roman" w:hAnsi="Times New Roman" w:cs="Times New Roman"/>
              </w:rPr>
            </w:pPr>
          </w:p>
        </w:tc>
        <w:tc>
          <w:tcPr>
            <w:tcW w:w="7654" w:type="dxa"/>
          </w:tcPr>
          <w:p w14:paraId="02E6CC32"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Online expert forum</w:t>
            </w:r>
          </w:p>
        </w:tc>
        <w:tc>
          <w:tcPr>
            <w:tcW w:w="709" w:type="dxa"/>
          </w:tcPr>
          <w:p w14:paraId="6B344638"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n.4</w:t>
            </w:r>
          </w:p>
        </w:tc>
      </w:tr>
      <w:tr w:rsidR="00520184" w:rsidRPr="005C178C" w14:paraId="35F65407" w14:textId="77777777" w:rsidTr="009256EA">
        <w:tc>
          <w:tcPr>
            <w:tcW w:w="14312" w:type="dxa"/>
            <w:gridSpan w:val="4"/>
          </w:tcPr>
          <w:p w14:paraId="1B58BA78" w14:textId="77777777" w:rsidR="00520184" w:rsidRPr="005C178C" w:rsidRDefault="00520184" w:rsidP="009256EA">
            <w:pPr>
              <w:jc w:val="center"/>
              <w:rPr>
                <w:rFonts w:ascii="Times New Roman" w:hAnsi="Times New Roman" w:cs="Times New Roman"/>
                <w:b/>
              </w:rPr>
            </w:pPr>
            <w:r w:rsidRPr="005C178C">
              <w:rPr>
                <w:rFonts w:ascii="Times New Roman" w:hAnsi="Times New Roman" w:cs="Times New Roman"/>
                <w:b/>
              </w:rPr>
              <w:t xml:space="preserve">Deepening &amp; broadening the conversation: Focus groups with teachers </w:t>
            </w:r>
            <w:r w:rsidRPr="005C178C">
              <w:rPr>
                <w:rFonts w:ascii="Times New Roman" w:hAnsi="Times New Roman" w:cs="Times New Roman"/>
              </w:rPr>
              <w:t>(transcripts)</w:t>
            </w:r>
          </w:p>
        </w:tc>
      </w:tr>
      <w:tr w:rsidR="00520184" w:rsidRPr="005C178C" w14:paraId="0313D441" w14:textId="77777777" w:rsidTr="009256EA">
        <w:tc>
          <w:tcPr>
            <w:tcW w:w="5949" w:type="dxa"/>
            <w:gridSpan w:val="2"/>
          </w:tcPr>
          <w:p w14:paraId="4602607E"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1 October- November 2013</w:t>
            </w:r>
          </w:p>
        </w:tc>
        <w:tc>
          <w:tcPr>
            <w:tcW w:w="8363" w:type="dxa"/>
            <w:gridSpan w:val="2"/>
          </w:tcPr>
          <w:p w14:paraId="643C9458"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2 April-October 2016</w:t>
            </w:r>
          </w:p>
        </w:tc>
      </w:tr>
      <w:tr w:rsidR="00520184" w:rsidRPr="005C178C" w14:paraId="4452F807" w14:textId="77777777" w:rsidTr="009256EA">
        <w:tc>
          <w:tcPr>
            <w:tcW w:w="5240" w:type="dxa"/>
          </w:tcPr>
          <w:p w14:paraId="2AC284C0"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1: Teachers of qualitative methods, natural grouping from 1 institution and department</w:t>
            </w:r>
          </w:p>
        </w:tc>
        <w:tc>
          <w:tcPr>
            <w:tcW w:w="709" w:type="dxa"/>
          </w:tcPr>
          <w:p w14:paraId="036B8A01"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n.3</w:t>
            </w:r>
          </w:p>
        </w:tc>
        <w:tc>
          <w:tcPr>
            <w:tcW w:w="7654" w:type="dxa"/>
          </w:tcPr>
          <w:p w14:paraId="4F9A0115"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4: Teachers of qualitative, quantitative and mixed methods,  new grouping from 1 institution but different departments</w:t>
            </w:r>
          </w:p>
        </w:tc>
        <w:tc>
          <w:tcPr>
            <w:tcW w:w="709" w:type="dxa"/>
          </w:tcPr>
          <w:p w14:paraId="62286FB9"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n.5</w:t>
            </w:r>
          </w:p>
        </w:tc>
      </w:tr>
      <w:tr w:rsidR="00520184" w:rsidRPr="005C178C" w14:paraId="471277A9" w14:textId="77777777" w:rsidTr="009256EA">
        <w:tc>
          <w:tcPr>
            <w:tcW w:w="5240" w:type="dxa"/>
          </w:tcPr>
          <w:p w14:paraId="3E020CFE"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2: Teachers of quantitative methods, natural grouping from 1 institution and department</w:t>
            </w:r>
          </w:p>
        </w:tc>
        <w:tc>
          <w:tcPr>
            <w:tcW w:w="709" w:type="dxa"/>
          </w:tcPr>
          <w:p w14:paraId="6FB94E0D"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n.3</w:t>
            </w:r>
          </w:p>
        </w:tc>
        <w:tc>
          <w:tcPr>
            <w:tcW w:w="7654" w:type="dxa"/>
          </w:tcPr>
          <w:p w14:paraId="32F44A80"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5: Teachers of qualitative, quantitative and mixed methods,  new grouping from universities and social research organizations</w:t>
            </w:r>
          </w:p>
        </w:tc>
        <w:tc>
          <w:tcPr>
            <w:tcW w:w="709" w:type="dxa"/>
          </w:tcPr>
          <w:p w14:paraId="60DADB0D"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n.7</w:t>
            </w:r>
          </w:p>
        </w:tc>
      </w:tr>
      <w:tr w:rsidR="00520184" w:rsidRPr="005C178C" w14:paraId="7E447B3B" w14:textId="77777777" w:rsidTr="009256EA">
        <w:tc>
          <w:tcPr>
            <w:tcW w:w="5240" w:type="dxa"/>
          </w:tcPr>
          <w:p w14:paraId="2A85647D"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3: Teachers of narrative methods, natural grouping from linked set of colleagues</w:t>
            </w:r>
          </w:p>
        </w:tc>
        <w:tc>
          <w:tcPr>
            <w:tcW w:w="709" w:type="dxa"/>
          </w:tcPr>
          <w:p w14:paraId="5A6CDDEF"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n.8</w:t>
            </w:r>
          </w:p>
        </w:tc>
        <w:tc>
          <w:tcPr>
            <w:tcW w:w="7654" w:type="dxa"/>
          </w:tcPr>
          <w:p w14:paraId="1D8B0174"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6: Conducted via Skype, new grouping of teachers of research methods online</w:t>
            </w:r>
          </w:p>
        </w:tc>
        <w:tc>
          <w:tcPr>
            <w:tcW w:w="709" w:type="dxa"/>
          </w:tcPr>
          <w:p w14:paraId="78C37AA1"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n.2</w:t>
            </w:r>
          </w:p>
        </w:tc>
      </w:tr>
      <w:tr w:rsidR="00520184" w:rsidRPr="005C178C" w14:paraId="33B911C7" w14:textId="77777777" w:rsidTr="009256EA">
        <w:tc>
          <w:tcPr>
            <w:tcW w:w="5240" w:type="dxa"/>
          </w:tcPr>
          <w:p w14:paraId="2438734E" w14:textId="77777777" w:rsidR="00520184" w:rsidRPr="005C178C" w:rsidRDefault="00520184" w:rsidP="009256EA">
            <w:pPr>
              <w:rPr>
                <w:rFonts w:ascii="Times New Roman" w:hAnsi="Times New Roman" w:cs="Times New Roman"/>
              </w:rPr>
            </w:pPr>
          </w:p>
        </w:tc>
        <w:tc>
          <w:tcPr>
            <w:tcW w:w="709" w:type="dxa"/>
          </w:tcPr>
          <w:p w14:paraId="24AC4E54" w14:textId="77777777" w:rsidR="00520184" w:rsidRPr="005C178C" w:rsidRDefault="00520184" w:rsidP="009256EA">
            <w:pPr>
              <w:rPr>
                <w:rFonts w:ascii="Times New Roman" w:hAnsi="Times New Roman" w:cs="Times New Roman"/>
              </w:rPr>
            </w:pPr>
          </w:p>
        </w:tc>
        <w:tc>
          <w:tcPr>
            <w:tcW w:w="7654" w:type="dxa"/>
          </w:tcPr>
          <w:p w14:paraId="0145C1F0"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Focus group 7: Conducted via Skype, new grouping of teachers of research methods online</w:t>
            </w:r>
          </w:p>
        </w:tc>
        <w:tc>
          <w:tcPr>
            <w:tcW w:w="709" w:type="dxa"/>
          </w:tcPr>
          <w:p w14:paraId="6C2DCA5C"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n.3</w:t>
            </w:r>
          </w:p>
        </w:tc>
      </w:tr>
      <w:tr w:rsidR="00520184" w:rsidRPr="005C178C" w14:paraId="38A2E54E" w14:textId="77777777" w:rsidTr="009256EA">
        <w:tc>
          <w:tcPr>
            <w:tcW w:w="14312" w:type="dxa"/>
            <w:gridSpan w:val="4"/>
          </w:tcPr>
          <w:p w14:paraId="5DEBC2F4" w14:textId="77777777" w:rsidR="00520184" w:rsidRPr="005C178C" w:rsidRDefault="00520184" w:rsidP="009256EA">
            <w:pPr>
              <w:jc w:val="center"/>
              <w:rPr>
                <w:rFonts w:ascii="Times New Roman" w:hAnsi="Times New Roman" w:cs="Times New Roman"/>
                <w:b/>
              </w:rPr>
            </w:pPr>
            <w:r w:rsidRPr="005C178C">
              <w:rPr>
                <w:rFonts w:ascii="Times New Roman" w:hAnsi="Times New Roman" w:cs="Times New Roman"/>
                <w:b/>
              </w:rPr>
              <w:t xml:space="preserve">Moving closer to the action  Video stimulated dialogue </w:t>
            </w:r>
            <w:r w:rsidRPr="005C178C">
              <w:rPr>
                <w:rFonts w:ascii="Times New Roman" w:hAnsi="Times New Roman" w:cs="Times New Roman"/>
              </w:rPr>
              <w:t>(focus groups with teachers &amp; learners) (transcripts and observational fieldnotes)</w:t>
            </w:r>
          </w:p>
        </w:tc>
      </w:tr>
      <w:tr w:rsidR="00520184" w:rsidRPr="005C178C" w14:paraId="6D843C3B" w14:textId="77777777" w:rsidTr="009256EA">
        <w:tc>
          <w:tcPr>
            <w:tcW w:w="5949" w:type="dxa"/>
            <w:gridSpan w:val="2"/>
          </w:tcPr>
          <w:p w14:paraId="5C43B2EE"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1 February- April 2014</w:t>
            </w:r>
          </w:p>
        </w:tc>
        <w:tc>
          <w:tcPr>
            <w:tcW w:w="8363" w:type="dxa"/>
            <w:gridSpan w:val="2"/>
          </w:tcPr>
          <w:p w14:paraId="2C344D3F" w14:textId="77777777" w:rsidR="00520184" w:rsidRPr="005C178C" w:rsidRDefault="00520184" w:rsidP="009256EA">
            <w:pPr>
              <w:jc w:val="center"/>
              <w:rPr>
                <w:rFonts w:ascii="Times New Roman" w:hAnsi="Times New Roman" w:cs="Times New Roman"/>
              </w:rPr>
            </w:pPr>
            <w:r w:rsidRPr="005C178C">
              <w:rPr>
                <w:rFonts w:ascii="Times New Roman" w:hAnsi="Times New Roman" w:cs="Times New Roman"/>
              </w:rPr>
              <w:t>Phase 2 April 2016 – May 2017</w:t>
            </w:r>
          </w:p>
        </w:tc>
      </w:tr>
      <w:tr w:rsidR="00520184" w:rsidRPr="005C178C" w14:paraId="639DBDF6" w14:textId="77777777" w:rsidTr="009256EA">
        <w:tc>
          <w:tcPr>
            <w:tcW w:w="5240" w:type="dxa"/>
          </w:tcPr>
          <w:p w14:paraId="0507952E"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 xml:space="preserve">Re 1-day course on an aspect of multi-modal analysis </w:t>
            </w:r>
          </w:p>
        </w:tc>
        <w:tc>
          <w:tcPr>
            <w:tcW w:w="709" w:type="dxa"/>
          </w:tcPr>
          <w:p w14:paraId="0EF2AF00"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n.13</w:t>
            </w:r>
          </w:p>
        </w:tc>
        <w:tc>
          <w:tcPr>
            <w:tcW w:w="7654" w:type="dxa"/>
          </w:tcPr>
          <w:p w14:paraId="0F3049B3"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 xml:space="preserve">Re 1-day course on an aspect of survey design </w:t>
            </w:r>
          </w:p>
        </w:tc>
        <w:tc>
          <w:tcPr>
            <w:tcW w:w="709" w:type="dxa"/>
          </w:tcPr>
          <w:p w14:paraId="4A88226E"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n.10</w:t>
            </w:r>
          </w:p>
        </w:tc>
      </w:tr>
      <w:tr w:rsidR="00520184" w:rsidRPr="005C178C" w14:paraId="6147A71B" w14:textId="77777777" w:rsidTr="009256EA">
        <w:tc>
          <w:tcPr>
            <w:tcW w:w="5240" w:type="dxa"/>
          </w:tcPr>
          <w:p w14:paraId="358D64B4"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Re 1-day course on using a computer-assisted qualitative analysis software package</w:t>
            </w:r>
          </w:p>
        </w:tc>
        <w:tc>
          <w:tcPr>
            <w:tcW w:w="709" w:type="dxa"/>
          </w:tcPr>
          <w:p w14:paraId="0C5D1B2B"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n.5</w:t>
            </w:r>
          </w:p>
        </w:tc>
        <w:tc>
          <w:tcPr>
            <w:tcW w:w="7654" w:type="dxa"/>
          </w:tcPr>
          <w:p w14:paraId="6AE808ED"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Re 1 day of 3-day course on data linkage</w:t>
            </w:r>
          </w:p>
        </w:tc>
        <w:tc>
          <w:tcPr>
            <w:tcW w:w="709" w:type="dxa"/>
          </w:tcPr>
          <w:p w14:paraId="62AB50CD"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n.7</w:t>
            </w:r>
          </w:p>
        </w:tc>
      </w:tr>
      <w:tr w:rsidR="00520184" w:rsidRPr="005C178C" w14:paraId="43D0B314" w14:textId="77777777" w:rsidTr="009256EA">
        <w:tc>
          <w:tcPr>
            <w:tcW w:w="5240" w:type="dxa"/>
          </w:tcPr>
          <w:p w14:paraId="14E2A076"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Re 3-day course on multi-level modelling</w:t>
            </w:r>
          </w:p>
        </w:tc>
        <w:tc>
          <w:tcPr>
            <w:tcW w:w="709" w:type="dxa"/>
          </w:tcPr>
          <w:p w14:paraId="553286B0"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n.7</w:t>
            </w:r>
          </w:p>
        </w:tc>
        <w:tc>
          <w:tcPr>
            <w:tcW w:w="7654" w:type="dxa"/>
          </w:tcPr>
          <w:p w14:paraId="0E65F425"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Re 8-week course on ethnographic technique</w:t>
            </w:r>
          </w:p>
        </w:tc>
        <w:tc>
          <w:tcPr>
            <w:tcW w:w="709" w:type="dxa"/>
          </w:tcPr>
          <w:p w14:paraId="7853D99F"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n.6</w:t>
            </w:r>
          </w:p>
        </w:tc>
      </w:tr>
      <w:tr w:rsidR="00520184" w:rsidRPr="005C178C" w14:paraId="3973D492" w14:textId="77777777" w:rsidTr="009256EA">
        <w:tc>
          <w:tcPr>
            <w:tcW w:w="5240" w:type="dxa"/>
          </w:tcPr>
          <w:p w14:paraId="3872EC18"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Re 2-day course systematic review</w:t>
            </w:r>
          </w:p>
        </w:tc>
        <w:tc>
          <w:tcPr>
            <w:tcW w:w="709" w:type="dxa"/>
          </w:tcPr>
          <w:p w14:paraId="2BD828CA"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n.7</w:t>
            </w:r>
          </w:p>
        </w:tc>
        <w:tc>
          <w:tcPr>
            <w:tcW w:w="8363" w:type="dxa"/>
            <w:gridSpan w:val="2"/>
          </w:tcPr>
          <w:p w14:paraId="1EA19F95" w14:textId="77777777" w:rsidR="00520184" w:rsidRPr="005C178C" w:rsidRDefault="00520184" w:rsidP="009256EA">
            <w:pPr>
              <w:rPr>
                <w:rFonts w:ascii="Times New Roman" w:hAnsi="Times New Roman" w:cs="Times New Roman"/>
              </w:rPr>
            </w:pPr>
          </w:p>
        </w:tc>
      </w:tr>
      <w:tr w:rsidR="00520184" w:rsidRPr="005C178C" w14:paraId="698D1307" w14:textId="77777777" w:rsidTr="009256EA">
        <w:tc>
          <w:tcPr>
            <w:tcW w:w="14312" w:type="dxa"/>
            <w:gridSpan w:val="4"/>
            <w:vAlign w:val="center"/>
          </w:tcPr>
          <w:p w14:paraId="2BAEBCC8" w14:textId="77777777" w:rsidR="00520184" w:rsidRPr="005C178C" w:rsidRDefault="00520184" w:rsidP="009256EA">
            <w:pPr>
              <w:jc w:val="center"/>
              <w:rPr>
                <w:rFonts w:ascii="Times New Roman" w:hAnsi="Times New Roman" w:cs="Times New Roman"/>
                <w:b/>
              </w:rPr>
            </w:pPr>
            <w:r w:rsidRPr="005C178C">
              <w:rPr>
                <w:rFonts w:ascii="Times New Roman" w:hAnsi="Times New Roman" w:cs="Times New Roman"/>
                <w:b/>
              </w:rPr>
              <w:t>In-depth case studies (</w:t>
            </w:r>
            <w:r w:rsidRPr="005C178C">
              <w:rPr>
                <w:rFonts w:ascii="Times New Roman" w:hAnsi="Times New Roman" w:cs="Times New Roman"/>
              </w:rPr>
              <w:t>Phase 2 only, March – July 2017) (transcripts and detailed observational fieldnotes)</w:t>
            </w:r>
          </w:p>
        </w:tc>
      </w:tr>
      <w:tr w:rsidR="00520184" w:rsidRPr="005C178C" w14:paraId="150E95EE" w14:textId="77777777" w:rsidTr="009256EA">
        <w:tc>
          <w:tcPr>
            <w:tcW w:w="5949" w:type="dxa"/>
            <w:gridSpan w:val="2"/>
            <w:vMerge w:val="restart"/>
          </w:tcPr>
          <w:p w14:paraId="641FF398" w14:textId="77777777" w:rsidR="00520184" w:rsidRPr="005C178C" w:rsidRDefault="00520184" w:rsidP="009256EA">
            <w:pPr>
              <w:rPr>
                <w:rFonts w:ascii="Times New Roman" w:hAnsi="Times New Roman" w:cs="Times New Roman"/>
              </w:rPr>
            </w:pPr>
          </w:p>
        </w:tc>
        <w:tc>
          <w:tcPr>
            <w:tcW w:w="7654" w:type="dxa"/>
          </w:tcPr>
          <w:p w14:paraId="38D0F851"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 xml:space="preserve">1: Teaching ethnographic technique </w:t>
            </w:r>
          </w:p>
        </w:tc>
        <w:tc>
          <w:tcPr>
            <w:tcW w:w="709" w:type="dxa"/>
          </w:tcPr>
          <w:p w14:paraId="43D31D0F" w14:textId="77777777" w:rsidR="00520184" w:rsidRPr="005C178C" w:rsidRDefault="00520184" w:rsidP="009256EA">
            <w:pPr>
              <w:rPr>
                <w:rFonts w:ascii="Times New Roman" w:hAnsi="Times New Roman" w:cs="Times New Roman"/>
              </w:rPr>
            </w:pPr>
          </w:p>
        </w:tc>
      </w:tr>
      <w:tr w:rsidR="00520184" w:rsidRPr="005C178C" w14:paraId="4D27C33A" w14:textId="77777777" w:rsidTr="009256EA">
        <w:tc>
          <w:tcPr>
            <w:tcW w:w="5949" w:type="dxa"/>
            <w:gridSpan w:val="2"/>
            <w:vMerge/>
          </w:tcPr>
          <w:p w14:paraId="6B9A77E4" w14:textId="77777777" w:rsidR="00520184" w:rsidRPr="005C178C" w:rsidRDefault="00520184" w:rsidP="009256EA">
            <w:pPr>
              <w:rPr>
                <w:rFonts w:ascii="Times New Roman" w:hAnsi="Times New Roman" w:cs="Times New Roman"/>
              </w:rPr>
            </w:pPr>
          </w:p>
        </w:tc>
        <w:tc>
          <w:tcPr>
            <w:tcW w:w="7654" w:type="dxa"/>
          </w:tcPr>
          <w:p w14:paraId="1FF65B05" w14:textId="77777777" w:rsidR="00520184" w:rsidRPr="005C178C" w:rsidRDefault="00520184" w:rsidP="009256EA">
            <w:pPr>
              <w:rPr>
                <w:rFonts w:ascii="Times New Roman" w:hAnsi="Times New Roman" w:cs="Times New Roman"/>
              </w:rPr>
            </w:pPr>
            <w:r w:rsidRPr="005C178C">
              <w:rPr>
                <w:rFonts w:ascii="Times New Roman" w:hAnsi="Times New Roman" w:cs="Times New Roman"/>
              </w:rPr>
              <w:t xml:space="preserve">2: Teaching advanced computational quantitative methods </w:t>
            </w:r>
          </w:p>
        </w:tc>
        <w:tc>
          <w:tcPr>
            <w:tcW w:w="709" w:type="dxa"/>
          </w:tcPr>
          <w:p w14:paraId="490E8597" w14:textId="77777777" w:rsidR="00520184" w:rsidRPr="005C178C" w:rsidRDefault="00520184" w:rsidP="009256EA">
            <w:pPr>
              <w:rPr>
                <w:rFonts w:ascii="Times New Roman" w:hAnsi="Times New Roman" w:cs="Times New Roman"/>
              </w:rPr>
            </w:pPr>
          </w:p>
        </w:tc>
      </w:tr>
    </w:tbl>
    <w:p w14:paraId="5DF5A1DB" w14:textId="77777777" w:rsidR="00520184" w:rsidRDefault="00520184" w:rsidP="00520184">
      <w:pPr>
        <w:pStyle w:val="Tabletitle"/>
      </w:pPr>
      <w:r>
        <w:t>Table 1 Methods, participants and dataset</w:t>
      </w:r>
    </w:p>
    <w:p w14:paraId="0F465CA1" w14:textId="77777777" w:rsidR="00520184" w:rsidRDefault="00520184" w:rsidP="00034D91">
      <w:pPr>
        <w:pStyle w:val="Tabletitle"/>
        <w:sectPr w:rsidR="00520184" w:rsidSect="00520184">
          <w:pgSz w:w="16840" w:h="11901" w:orient="landscape" w:code="9"/>
          <w:pgMar w:top="1701" w:right="1418" w:bottom="1701" w:left="1418" w:header="709" w:footer="709" w:gutter="0"/>
          <w:cols w:space="708"/>
          <w:docGrid w:linePitch="360"/>
        </w:sectPr>
      </w:pPr>
    </w:p>
    <w:p w14:paraId="5880541B" w14:textId="327D62DC" w:rsidR="00520184" w:rsidRDefault="00520184" w:rsidP="00034D91">
      <w:pPr>
        <w:pStyle w:val="Tabletitle"/>
      </w:pPr>
    </w:p>
    <w:p w14:paraId="0273B388" w14:textId="77777777" w:rsidR="0018595A" w:rsidRPr="0018595A" w:rsidRDefault="0018595A" w:rsidP="0018595A"/>
    <w:p w14:paraId="2BBB21BA" w14:textId="624CFF9D" w:rsidR="0053347E" w:rsidRPr="007B4005" w:rsidRDefault="0053347E" w:rsidP="0053347E">
      <w:pPr>
        <w:pStyle w:val="Newparagraph"/>
      </w:pPr>
      <w:r w:rsidRPr="007B4005">
        <w:t xml:space="preserve">Following </w:t>
      </w:r>
      <w:r>
        <w:t xml:space="preserve">individual </w:t>
      </w:r>
      <w:r w:rsidRPr="007B4005">
        <w:t>semi-structured interviews, transcripts were thematically analysed and</w:t>
      </w:r>
      <w:r>
        <w:t>,</w:t>
      </w:r>
      <w:r w:rsidRPr="007B4005">
        <w:t xml:space="preserve"> </w:t>
      </w:r>
      <w:r>
        <w:t>in phase 2, the</w:t>
      </w:r>
      <w:r w:rsidRPr="007B4005">
        <w:t xml:space="preserve"> experts were brought into dialogue with each other in an online forum to di</w:t>
      </w:r>
      <w:r>
        <w:t>scuss emergent themes (</w:t>
      </w:r>
      <w:r w:rsidRPr="007B4005">
        <w:t xml:space="preserve">see </w:t>
      </w:r>
      <w:r w:rsidR="000F51AA">
        <w:t>L</w:t>
      </w:r>
      <w:r w:rsidR="001043CF">
        <w:t>ewthwaite and</w:t>
      </w:r>
      <w:r w:rsidR="000F51AA">
        <w:t xml:space="preserve"> Nind</w:t>
      </w:r>
      <w:r w:rsidRPr="007B4005">
        <w:t xml:space="preserve"> 2016). The interviews probed </w:t>
      </w:r>
      <w:r>
        <w:t xml:space="preserve">the </w:t>
      </w:r>
      <w:r w:rsidRPr="007B4005">
        <w:t xml:space="preserve">participants’ </w:t>
      </w:r>
      <w:r>
        <w:t xml:space="preserve">pedagogy, including </w:t>
      </w:r>
      <w:r w:rsidRPr="007B4005">
        <w:t>theories and experiences</w:t>
      </w:r>
      <w:r>
        <w:t xml:space="preserve"> that had influenced them</w:t>
      </w:r>
      <w:r w:rsidRPr="007B4005">
        <w:t xml:space="preserve">; the culture of </w:t>
      </w:r>
      <w:r>
        <w:t>paradigms and pedagogies, including socio</w:t>
      </w:r>
      <w:r w:rsidRPr="007B4005">
        <w:t xml:space="preserve">cultural and geopolitical factors; innovation in methods and data landscape; and innovation in teaching. The topics </w:t>
      </w:r>
      <w:r>
        <w:t>pursued</w:t>
      </w:r>
      <w:r w:rsidRPr="007B4005">
        <w:t xml:space="preserve"> in forum dialogue were </w:t>
      </w:r>
      <w:r>
        <w:t xml:space="preserve">favoured approaches, </w:t>
      </w:r>
      <w:r w:rsidRPr="007B4005">
        <w:t xml:space="preserve">the roots of the pedagogic practice, use of pedagogic resources, pedagogic challenges, </w:t>
      </w:r>
      <w:r>
        <w:t xml:space="preserve">national and international contexts, </w:t>
      </w:r>
      <w:r w:rsidRPr="007B4005">
        <w:t xml:space="preserve">and </w:t>
      </w:r>
      <w:r>
        <w:t>controversies and</w:t>
      </w:r>
      <w:r w:rsidRPr="00AE5F0E">
        <w:t xml:space="preserve"> gaps in pedagogic culture</w:t>
      </w:r>
      <w:r>
        <w:t>.</w:t>
      </w:r>
    </w:p>
    <w:p w14:paraId="4509B4B0" w14:textId="77777777" w:rsidR="0053347E" w:rsidRDefault="0053347E" w:rsidP="0053347E">
      <w:pPr>
        <w:pStyle w:val="Newparagraph"/>
      </w:pPr>
      <w:r>
        <w:t>To deepen and</w:t>
      </w:r>
      <w:r w:rsidRPr="006577D1">
        <w:t xml:space="preserve"> broaden the conversation</w:t>
      </w:r>
      <w:r>
        <w:t xml:space="preserve"> we added f</w:t>
      </w:r>
      <w:r w:rsidRPr="006577D1">
        <w:t xml:space="preserve">ocus groups </w:t>
      </w:r>
      <w:r>
        <w:t xml:space="preserve">with methods teachers in varied UK contexts (university, social research organization, teaching face-to-face and online) to find out whether the emergent themes from the experts resonated with practitioners, and what else was going on. The topic guide for the focus groups covered the same topics discussed in the expert forum, and ended with a discussion of approaches, strategies, tactics and tasks, probing whether these were concepts that were core to our emerging typology were ones they would use or could identify with. Both these data generation methods probed </w:t>
      </w:r>
      <w:r w:rsidRPr="007B4005">
        <w:rPr>
          <w:i/>
        </w:rPr>
        <w:t>knowledge about action</w:t>
      </w:r>
      <w:r>
        <w:t xml:space="preserve"> in that the data represented narrative accounts of practice and the thinking behind that practice.</w:t>
      </w:r>
    </w:p>
    <w:p w14:paraId="2065A5CC" w14:textId="283F38D0" w:rsidR="0053347E" w:rsidRPr="001043CF" w:rsidRDefault="0053347E" w:rsidP="0053347E">
      <w:pPr>
        <w:pStyle w:val="Newparagraph"/>
      </w:pPr>
      <w:r w:rsidRPr="007C1C37">
        <w:t>To get closer to ‘</w:t>
      </w:r>
      <w:r w:rsidRPr="007B4005">
        <w:rPr>
          <w:i/>
        </w:rPr>
        <w:t>knowledge in action’</w:t>
      </w:r>
      <w:r w:rsidRPr="007C1C37">
        <w:t xml:space="preserve"> </w:t>
      </w:r>
      <w:r w:rsidRPr="007B4005">
        <w:rPr>
          <w:rFonts w:eastAsiaTheme="minorEastAsia"/>
        </w:rPr>
        <w:t>(</w:t>
      </w:r>
      <w:r w:rsidR="000F51AA" w:rsidRPr="007B4005">
        <w:rPr>
          <w:rFonts w:eastAsiaTheme="minorEastAsia"/>
        </w:rPr>
        <w:t xml:space="preserve">Nind, Kilburn </w:t>
      </w:r>
      <w:r w:rsidR="001043CF">
        <w:rPr>
          <w:rFonts w:eastAsiaTheme="minorEastAsia"/>
        </w:rPr>
        <w:t>and</w:t>
      </w:r>
      <w:r w:rsidR="000F51AA" w:rsidRPr="007B4005">
        <w:rPr>
          <w:rFonts w:eastAsiaTheme="minorEastAsia"/>
        </w:rPr>
        <w:t xml:space="preserve"> Wiles</w:t>
      </w:r>
      <w:r w:rsidR="005671D1" w:rsidRPr="007B4005">
        <w:rPr>
          <w:rFonts w:eastAsiaTheme="minorEastAsia"/>
        </w:rPr>
        <w:t xml:space="preserve"> </w:t>
      </w:r>
      <w:r w:rsidRPr="007B4005">
        <w:rPr>
          <w:rFonts w:eastAsiaTheme="minorEastAsia"/>
        </w:rPr>
        <w:t xml:space="preserve">2015, 564) </w:t>
      </w:r>
      <w:r w:rsidRPr="007C1C37">
        <w:t xml:space="preserve">we used video stimulated recall, reflection and - most important – dialogue. This involved </w:t>
      </w:r>
      <w:r w:rsidR="00615216" w:rsidRPr="001043CF">
        <w:t xml:space="preserve">observing and </w:t>
      </w:r>
      <w:r w:rsidRPr="001043CF">
        <w:t xml:space="preserve">video-recording </w:t>
      </w:r>
      <w:r w:rsidR="00BD73E1" w:rsidRPr="001043CF">
        <w:t xml:space="preserve">a diverse selection of </w:t>
      </w:r>
      <w:r w:rsidRPr="001043CF">
        <w:t xml:space="preserve">methods teaching </w:t>
      </w:r>
      <w:r w:rsidR="00BD73E1" w:rsidRPr="001043CF">
        <w:t xml:space="preserve">(see Table 1) </w:t>
      </w:r>
      <w:r w:rsidRPr="007C1C37">
        <w:t>and using excerpts from the recording to stimulate dialogue between teachers, learners and researchers about the pedagogy that had just played out.</w:t>
      </w:r>
      <w:r w:rsidR="00BD73E1">
        <w:t xml:space="preserve"> </w:t>
      </w:r>
      <w:r w:rsidRPr="007C1C37">
        <w:t xml:space="preserve"> This method </w:t>
      </w:r>
      <w:r w:rsidRPr="007B4005">
        <w:rPr>
          <w:rFonts w:eastAsiaTheme="minorEastAsia"/>
        </w:rPr>
        <w:t xml:space="preserve">held a mirror </w:t>
      </w:r>
      <w:r w:rsidRPr="007B4005">
        <w:rPr>
          <w:rFonts w:eastAsiaTheme="minorEastAsia"/>
        </w:rPr>
        <w:lastRenderedPageBreak/>
        <w:t>to the minutiae of practice and process with discussion about such topics as: “</w:t>
      </w:r>
      <w:r w:rsidRPr="007C1C37">
        <w:t>did you try anything new today?</w:t>
      </w:r>
      <w:r w:rsidRPr="007B4005">
        <w:rPr>
          <w:rFonts w:eastAsiaTheme="minorEastAsia"/>
        </w:rPr>
        <w:t xml:space="preserve"> </w:t>
      </w:r>
      <w:r w:rsidRPr="007C1C37">
        <w:t xml:space="preserve">Does that relate to conscious decisions you’ve made to do it </w:t>
      </w:r>
      <w:r w:rsidRPr="001043CF">
        <w:t>that way?” and “Are there particular points in the day - teaching moments, learning moments – that you would like to review and discuss</w:t>
      </w:r>
      <w:r w:rsidRPr="001043CF">
        <w:rPr>
          <w:rFonts w:eastAsiaTheme="minorEastAsia"/>
        </w:rPr>
        <w:t>?”</w:t>
      </w:r>
      <w:r w:rsidR="00BD73E1" w:rsidRPr="001043CF">
        <w:rPr>
          <w:rFonts w:eastAsiaTheme="minorEastAsia"/>
        </w:rPr>
        <w:t xml:space="preserve"> This created data</w:t>
      </w:r>
      <w:r w:rsidR="00615216" w:rsidRPr="001043CF">
        <w:rPr>
          <w:rFonts w:eastAsiaTheme="minorEastAsia"/>
        </w:rPr>
        <w:t xml:space="preserve"> that was grounded in what </w:t>
      </w:r>
      <w:r w:rsidR="00BD73E1" w:rsidRPr="001043CF">
        <w:rPr>
          <w:rFonts w:eastAsiaTheme="minorEastAsia"/>
        </w:rPr>
        <w:t>we had all observed or experienced.</w:t>
      </w:r>
    </w:p>
    <w:p w14:paraId="76963F20" w14:textId="184D50E5" w:rsidR="0053347E" w:rsidRPr="001043CF" w:rsidRDefault="0053347E" w:rsidP="0053347E">
      <w:pPr>
        <w:pStyle w:val="Newparagraph"/>
        <w:rPr>
          <w:strike/>
        </w:rPr>
      </w:pPr>
      <w:r w:rsidRPr="001043CF">
        <w:t xml:space="preserve">The iterative nature of this process meant that as the analysis gained momentum our vision of the typology emerged and became enriched as the dataset grew. To test out </w:t>
      </w:r>
      <w:r w:rsidR="00804603" w:rsidRPr="001043CF">
        <w:t xml:space="preserve">how </w:t>
      </w:r>
      <w:r w:rsidRPr="001043CF">
        <w:t xml:space="preserve">the typology </w:t>
      </w:r>
      <w:r w:rsidR="00804603" w:rsidRPr="001043CF">
        <w:t xml:space="preserve">held up </w:t>
      </w:r>
      <w:r w:rsidRPr="001043CF">
        <w:t xml:space="preserve">and </w:t>
      </w:r>
      <w:r w:rsidR="00804603" w:rsidRPr="001043CF">
        <w:t xml:space="preserve">to </w:t>
      </w:r>
      <w:r w:rsidRPr="001043CF">
        <w:t xml:space="preserve">explore pedagogic themes in detail and in context we </w:t>
      </w:r>
      <w:r>
        <w:t xml:space="preserve">ended with two </w:t>
      </w:r>
      <w:r w:rsidR="009F3591">
        <w:t xml:space="preserve">contrasting </w:t>
      </w:r>
      <w:r>
        <w:t>in-depth c</w:t>
      </w:r>
      <w:r w:rsidRPr="006577D1">
        <w:t>ase studies</w:t>
      </w:r>
      <w:r>
        <w:t xml:space="preserve">. One involved doctoral researchers </w:t>
      </w:r>
      <w:r w:rsidRPr="001043CF">
        <w:t>learning about ethnographic technique over a number of weeks. The other was a more intensive summer school for researchers wanting to apply</w:t>
      </w:r>
      <w:r w:rsidR="009F3591" w:rsidRPr="001043CF">
        <w:t xml:space="preserve"> advanced</w:t>
      </w:r>
      <w:r w:rsidR="00D55F9B" w:rsidRPr="001043CF">
        <w:t xml:space="preserve"> computational</w:t>
      </w:r>
      <w:r w:rsidRPr="001043CF">
        <w:t xml:space="preserve"> quantitative techniques in social research. In these we observed </w:t>
      </w:r>
      <w:r w:rsidR="00615216" w:rsidRPr="001043CF">
        <w:t xml:space="preserve">(for </w:t>
      </w:r>
      <w:r w:rsidR="00876070" w:rsidRPr="001043CF">
        <w:t xml:space="preserve">35 </w:t>
      </w:r>
      <w:r w:rsidR="00615216" w:rsidRPr="001043CF">
        <w:t xml:space="preserve">hours) </w:t>
      </w:r>
      <w:r w:rsidRPr="001043CF">
        <w:t>and talked with teachers and learners about their practice</w:t>
      </w:r>
      <w:r w:rsidR="00804603" w:rsidRPr="001043CF">
        <w:t xml:space="preserve"> thereby generating rich fieldnotes as well as interview transcripts</w:t>
      </w:r>
      <w:r w:rsidR="001043CF" w:rsidRPr="001043CF">
        <w:t>.</w:t>
      </w:r>
    </w:p>
    <w:p w14:paraId="7D009B6B" w14:textId="692517E3" w:rsidR="0053347E" w:rsidRDefault="0053347E" w:rsidP="0053347E">
      <w:pPr>
        <w:pStyle w:val="Newparagraph"/>
      </w:pPr>
      <w:r w:rsidRPr="001043CF">
        <w:t xml:space="preserve">Data analysis in the study was primarily a thematic, flexible and iterative </w:t>
      </w:r>
      <w:r w:rsidRPr="00A675D4">
        <w:t>approach to identifying patterns of meaning</w:t>
      </w:r>
      <w:r>
        <w:t xml:space="preserve"> in the data, a ‘way of seeing’ and ‘making sense of’</w:t>
      </w:r>
      <w:r w:rsidRPr="00A675D4">
        <w:t xml:space="preserve"> </w:t>
      </w:r>
      <w:r>
        <w:t>(Boyatzis 1998, 4) data. We looked for themes in</w:t>
      </w:r>
      <w:r w:rsidRPr="00A675D4">
        <w:t xml:space="preserve"> participants</w:t>
      </w:r>
      <w:r>
        <w:t>’</w:t>
      </w:r>
      <w:r w:rsidRPr="00A675D4">
        <w:t xml:space="preserve"> experiences, accounts of their practice and rationales for action that </w:t>
      </w:r>
      <w:r>
        <w:t xml:space="preserve">we </w:t>
      </w:r>
      <w:r w:rsidRPr="00A675D4">
        <w:t xml:space="preserve">could further explore in successive stages of data generation and analysis. </w:t>
      </w:r>
      <w:r w:rsidRPr="005671D1">
        <w:t xml:space="preserve">The analysis of professionally transcribed data began with listening to gain familiarity, pre-coding (Saldaña 2016) and memoing thoughts about what the data were telling us. </w:t>
      </w:r>
      <w:r>
        <w:t xml:space="preserve">We then independently engaged in a process of inductive, free coding (what Boyatzis (1998) would see as recognizing the codable moments) before coming together to refine codes and agree categories into a harmonized codebook. This was a key stage for constructing themes, not as found gems but as ‘meaningful entities’ (Braun </w:t>
      </w:r>
      <w:r w:rsidR="00F81467">
        <w:t>and</w:t>
      </w:r>
      <w:r>
        <w:t xml:space="preserve"> Clarke 2016, 740). Phase 1 clarified </w:t>
      </w:r>
      <w:r>
        <w:lastRenderedPageBreak/>
        <w:t xml:space="preserve">leitmotifs such as the challenges involved in teaching research methods. In phase 2, categories and codes were developed in tandem rather than sequentially as the conceptual ground was already familiar. </w:t>
      </w:r>
    </w:p>
    <w:p w14:paraId="1B574E2F" w14:textId="77777777" w:rsidR="0053347E" w:rsidRPr="001043CF" w:rsidRDefault="0053347E" w:rsidP="0053347E">
      <w:pPr>
        <w:pStyle w:val="Newparagraph"/>
      </w:pPr>
      <w:r>
        <w:t>Data were initially hand-coded in MS Word, moving to</w:t>
      </w:r>
      <w:r w:rsidRPr="00A45322">
        <w:t xml:space="preserve"> </w:t>
      </w:r>
      <w:r>
        <w:t xml:space="preserve">using </w:t>
      </w:r>
      <w:r w:rsidRPr="00A45322">
        <w:t>NVivo</w:t>
      </w:r>
      <w:r>
        <w:t xml:space="preserve"> (versions 10 and 11)</w:t>
      </w:r>
      <w:r w:rsidRPr="00A45322">
        <w:t xml:space="preserve"> </w:t>
      </w:r>
      <w:r>
        <w:t>when</w:t>
      </w:r>
      <w:r w:rsidRPr="00A45322">
        <w:t xml:space="preserve"> we had</w:t>
      </w:r>
      <w:r>
        <w:t xml:space="preserve"> </w:t>
      </w:r>
      <w:r w:rsidRPr="00A45322">
        <w:t>sufficient feel for the data</w:t>
      </w:r>
      <w:r>
        <w:t xml:space="preserve">. This software, chosen for its familiarity to us, facilitated the management, linkage and retrieval of data within our substantial dataset. As we moved into analysis of the focus group data in phase 2, we affirmed the main categories we would use for the typology and we could begin to see the layers we were coding as core categories: </w:t>
      </w:r>
      <w:r w:rsidRPr="00BD4427">
        <w:rPr>
          <w:i/>
        </w:rPr>
        <w:t>approach, strategy, tactics, task</w:t>
      </w:r>
      <w:r>
        <w:t xml:space="preserve">. Hypothesis coding enabled us ‘to confirm or disconfirm any assertion or theories </w:t>
      </w:r>
      <w:r w:rsidRPr="00912A96">
        <w:t>developed thus far’ (Saldaña</w:t>
      </w:r>
      <w:r w:rsidRPr="00912A96">
        <w:rPr>
          <w:vertAlign w:val="superscript"/>
        </w:rPr>
        <w:t xml:space="preserve"> </w:t>
      </w:r>
      <w:r w:rsidRPr="00912A96">
        <w:t>2016, 171); by returning to using the facilities of MS</w:t>
      </w:r>
      <w:r>
        <w:t xml:space="preserve"> </w:t>
      </w:r>
      <w:r w:rsidRPr="001043CF">
        <w:t xml:space="preserve">Word, we colour-coded the categories of the typology in the transcripts to create visual reference points. This illuminated where there was sometimes a gap and some patterns also began to be visible, such as how the nature of the categories of the typology differed for the teaching of quantitative methods and qualitative methods. This prompted the analytic process of seeking out counter-evidence to prevent misreading patterns in the data. </w:t>
      </w:r>
    </w:p>
    <w:p w14:paraId="7F5F33B7" w14:textId="4F12503B" w:rsidR="0053347E" w:rsidRPr="001043CF" w:rsidRDefault="0053347E" w:rsidP="0053347E">
      <w:pPr>
        <w:pStyle w:val="Newparagraph"/>
      </w:pPr>
      <w:r w:rsidRPr="001043CF">
        <w:t xml:space="preserve">While the horizontal analysis (Borkan 1999) cut across the dataset, we also conducted more vertical analyses of single transcripts to retain a sense of the conversational moves and of the individual, dyad or group constructing - and making sense of - their teaching practice </w:t>
      </w:r>
    </w:p>
    <w:p w14:paraId="02500119" w14:textId="77777777" w:rsidR="0053347E" w:rsidRPr="001043CF" w:rsidRDefault="0053347E" w:rsidP="0053347E">
      <w:pPr>
        <w:pStyle w:val="Heading1"/>
      </w:pPr>
      <w:r w:rsidRPr="001043CF">
        <w:t>Findings</w:t>
      </w:r>
    </w:p>
    <w:p w14:paraId="5246DB3F" w14:textId="3045B6F0" w:rsidR="0053347E" w:rsidRPr="00256AD8" w:rsidRDefault="0053347E" w:rsidP="0053347E">
      <w:pPr>
        <w:rPr>
          <w:color w:val="FF0000"/>
        </w:rPr>
      </w:pPr>
      <w:r w:rsidRPr="001043CF">
        <w:t xml:space="preserve">It was in phase 2 that we constructed the themes of </w:t>
      </w:r>
      <w:r w:rsidR="00C266C4" w:rsidRPr="001043CF">
        <w:t xml:space="preserve">pedagogic </w:t>
      </w:r>
      <w:r w:rsidRPr="001043CF">
        <w:rPr>
          <w:i/>
        </w:rPr>
        <w:t>approach</w:t>
      </w:r>
      <w:r w:rsidRPr="001043CF">
        <w:t>, s</w:t>
      </w:r>
      <w:r w:rsidRPr="001043CF">
        <w:rPr>
          <w:i/>
        </w:rPr>
        <w:t>trategy</w:t>
      </w:r>
      <w:r w:rsidRPr="001043CF">
        <w:t xml:space="preserve">, </w:t>
      </w:r>
      <w:r w:rsidRPr="001043CF">
        <w:rPr>
          <w:i/>
        </w:rPr>
        <w:t xml:space="preserve">tactics </w:t>
      </w:r>
      <w:r w:rsidRPr="001043CF">
        <w:t xml:space="preserve">and </w:t>
      </w:r>
      <w:r w:rsidRPr="001043CF">
        <w:rPr>
          <w:i/>
        </w:rPr>
        <w:t>tasks</w:t>
      </w:r>
      <w:r w:rsidRPr="001043CF">
        <w:t xml:space="preserve"> in the process of organising and interpreting codes and categories. These themes became the structuring concepts for our typology – our categories</w:t>
      </w:r>
      <w:r w:rsidR="009864D8" w:rsidRPr="001043CF">
        <w:t xml:space="preserve"> and </w:t>
      </w:r>
      <w:r w:rsidR="009864D8" w:rsidRPr="001043CF">
        <w:lastRenderedPageBreak/>
        <w:t>essentially the typology itself</w:t>
      </w:r>
      <w:r w:rsidRPr="001043CF">
        <w:t xml:space="preserve">. We </w:t>
      </w:r>
      <w:r w:rsidRPr="00C70FE3">
        <w:t xml:space="preserve">understood that the militaristic origin of ‘tactics’ sat </w:t>
      </w:r>
      <w:r>
        <w:t xml:space="preserve">uncomfortably with some teachers in the study – but for us, the notion of a tactical response, that articulates strategy in a dynamic, field situation, is not adequately expressed by alternatives such as </w:t>
      </w:r>
      <w:r w:rsidRPr="0027668F">
        <w:rPr>
          <w:i/>
        </w:rPr>
        <w:t>technique</w:t>
      </w:r>
      <w:r>
        <w:rPr>
          <w:i/>
        </w:rPr>
        <w:t xml:space="preserve">, </w:t>
      </w:r>
      <w:r>
        <w:t xml:space="preserve">which has more performative connotations. </w:t>
      </w:r>
    </w:p>
    <w:p w14:paraId="0355DE74" w14:textId="77777777" w:rsidR="0053347E" w:rsidRDefault="0053347E" w:rsidP="0053347E">
      <w:pPr>
        <w:pStyle w:val="Newparagraph"/>
      </w:pPr>
      <w:r>
        <w:t xml:space="preserve">Our typology classifies pedagogy in four core categories from the abstract to the specific - a series of linked layers getting closer to philosophical foundations at one end and to classroom action at the </w:t>
      </w:r>
      <w:r w:rsidRPr="008D2A14">
        <w:t>other as shown in Table 2.</w:t>
      </w:r>
    </w:p>
    <w:p w14:paraId="259A1D38" w14:textId="77777777" w:rsidR="00520184" w:rsidRPr="008D2A14" w:rsidRDefault="00520184" w:rsidP="0053347E">
      <w:pPr>
        <w:pStyle w:val="Newparagraph"/>
      </w:pPr>
    </w:p>
    <w:tbl>
      <w:tblPr>
        <w:tblStyle w:val="TableGrid"/>
        <w:tblW w:w="0" w:type="auto"/>
        <w:tblLook w:val="04A0" w:firstRow="1" w:lastRow="0" w:firstColumn="1" w:lastColumn="0" w:noHBand="0" w:noVBand="1"/>
      </w:tblPr>
      <w:tblGrid>
        <w:gridCol w:w="1910"/>
        <w:gridCol w:w="6579"/>
      </w:tblGrid>
      <w:tr w:rsidR="00520184" w:rsidRPr="007D6AF7" w14:paraId="25FFA9A2" w14:textId="77777777" w:rsidTr="009256EA">
        <w:tc>
          <w:tcPr>
            <w:tcW w:w="1980" w:type="dxa"/>
          </w:tcPr>
          <w:p w14:paraId="3EFAAB0A" w14:textId="77777777" w:rsidR="00520184" w:rsidRPr="007D6AF7" w:rsidRDefault="00520184" w:rsidP="009256EA">
            <w:pPr>
              <w:tabs>
                <w:tab w:val="left" w:pos="3663"/>
              </w:tabs>
              <w:rPr>
                <w:rFonts w:ascii="Times New Roman" w:hAnsi="Times New Roman" w:cs="Times New Roman"/>
                <w:b/>
              </w:rPr>
            </w:pPr>
            <w:r w:rsidRPr="007D6AF7">
              <w:rPr>
                <w:rFonts w:ascii="Times New Roman" w:hAnsi="Times New Roman" w:cs="Times New Roman"/>
                <w:b/>
              </w:rPr>
              <w:t>Category</w:t>
            </w:r>
          </w:p>
        </w:tc>
        <w:tc>
          <w:tcPr>
            <w:tcW w:w="7036" w:type="dxa"/>
          </w:tcPr>
          <w:p w14:paraId="31806717" w14:textId="77777777" w:rsidR="00520184" w:rsidRPr="007D6AF7" w:rsidRDefault="00520184" w:rsidP="009256EA">
            <w:pPr>
              <w:tabs>
                <w:tab w:val="left" w:pos="3663"/>
              </w:tabs>
              <w:rPr>
                <w:rFonts w:ascii="Times New Roman" w:hAnsi="Times New Roman" w:cs="Times New Roman"/>
                <w:b/>
              </w:rPr>
            </w:pPr>
            <w:r w:rsidRPr="007D6AF7">
              <w:rPr>
                <w:rFonts w:ascii="Times New Roman" w:hAnsi="Times New Roman" w:cs="Times New Roman"/>
                <w:b/>
              </w:rPr>
              <w:t xml:space="preserve">Characteristic </w:t>
            </w:r>
          </w:p>
        </w:tc>
      </w:tr>
      <w:tr w:rsidR="00520184" w:rsidRPr="007D6AF7" w14:paraId="5C8C2AE0" w14:textId="77777777" w:rsidTr="009256EA">
        <w:tc>
          <w:tcPr>
            <w:tcW w:w="1980" w:type="dxa"/>
          </w:tcPr>
          <w:p w14:paraId="5C1B823E"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i/>
              </w:rPr>
              <w:t>Approach</w:t>
            </w:r>
          </w:p>
        </w:tc>
        <w:tc>
          <w:tcPr>
            <w:tcW w:w="7036" w:type="dxa"/>
          </w:tcPr>
          <w:p w14:paraId="26606EEC"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rPr>
              <w:t xml:space="preserve">how the teacher goes about their pedagogic work in a way that coheres around a theory, set of values or principles </w:t>
            </w:r>
          </w:p>
        </w:tc>
      </w:tr>
      <w:tr w:rsidR="00520184" w:rsidRPr="007D6AF7" w14:paraId="25F2B02C" w14:textId="77777777" w:rsidTr="009256EA">
        <w:tc>
          <w:tcPr>
            <w:tcW w:w="1980" w:type="dxa"/>
          </w:tcPr>
          <w:p w14:paraId="0855B6BC"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i/>
              </w:rPr>
              <w:t>Strategy</w:t>
            </w:r>
          </w:p>
        </w:tc>
        <w:tc>
          <w:tcPr>
            <w:tcW w:w="7036" w:type="dxa"/>
          </w:tcPr>
          <w:p w14:paraId="5B4FF83A"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rPr>
              <w:t>goal directed planning for implementing an approach</w:t>
            </w:r>
          </w:p>
        </w:tc>
      </w:tr>
      <w:tr w:rsidR="00520184" w:rsidRPr="007D6AF7" w14:paraId="1CFEE60B" w14:textId="77777777" w:rsidTr="009256EA">
        <w:tc>
          <w:tcPr>
            <w:tcW w:w="1980" w:type="dxa"/>
          </w:tcPr>
          <w:p w14:paraId="6A5D5F6C"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i/>
              </w:rPr>
              <w:t>Tactics</w:t>
            </w:r>
          </w:p>
        </w:tc>
        <w:tc>
          <w:tcPr>
            <w:tcW w:w="7036" w:type="dxa"/>
          </w:tcPr>
          <w:p w14:paraId="1B22B177"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rPr>
              <w:t>translation of strategies when the planning becomes procedural and specific to the context</w:t>
            </w:r>
          </w:p>
        </w:tc>
      </w:tr>
      <w:tr w:rsidR="00520184" w:rsidRPr="007D6AF7" w14:paraId="6D481C69" w14:textId="77777777" w:rsidTr="009256EA">
        <w:tc>
          <w:tcPr>
            <w:tcW w:w="1980" w:type="dxa"/>
          </w:tcPr>
          <w:p w14:paraId="79CBF63B" w14:textId="77777777" w:rsidR="00520184" w:rsidRPr="007D6AF7" w:rsidRDefault="00520184" w:rsidP="009256EA">
            <w:pPr>
              <w:tabs>
                <w:tab w:val="left" w:pos="3663"/>
              </w:tabs>
              <w:rPr>
                <w:rFonts w:ascii="Times New Roman" w:hAnsi="Times New Roman" w:cs="Times New Roman"/>
              </w:rPr>
            </w:pPr>
            <w:r w:rsidRPr="007D6AF7">
              <w:rPr>
                <w:rFonts w:ascii="Times New Roman" w:hAnsi="Times New Roman" w:cs="Times New Roman"/>
                <w:i/>
              </w:rPr>
              <w:t>Tasks</w:t>
            </w:r>
          </w:p>
        </w:tc>
        <w:tc>
          <w:tcPr>
            <w:tcW w:w="7036" w:type="dxa"/>
          </w:tcPr>
          <w:p w14:paraId="20B22527" w14:textId="77777777" w:rsidR="00520184" w:rsidRPr="007D6AF7" w:rsidRDefault="00520184" w:rsidP="00520184">
            <w:pPr>
              <w:pStyle w:val="ListParagraph"/>
              <w:numPr>
                <w:ilvl w:val="0"/>
                <w:numId w:val="31"/>
              </w:numPr>
              <w:spacing w:after="0" w:line="240" w:lineRule="auto"/>
              <w:ind w:left="0"/>
              <w:rPr>
                <w:rFonts w:ascii="Times New Roman" w:hAnsi="Times New Roman" w:cs="Times New Roman"/>
              </w:rPr>
            </w:pPr>
            <w:r w:rsidRPr="007D6AF7">
              <w:rPr>
                <w:rFonts w:ascii="Times New Roman" w:hAnsi="Times New Roman" w:cs="Times New Roman"/>
              </w:rPr>
              <w:t>what learners (or teachers) are required to do, or actually do</w:t>
            </w:r>
          </w:p>
        </w:tc>
      </w:tr>
    </w:tbl>
    <w:p w14:paraId="1043B51A" w14:textId="276D35C9" w:rsidR="0053347E" w:rsidRPr="008D2A14" w:rsidRDefault="0018595A" w:rsidP="0018595A">
      <w:pPr>
        <w:pStyle w:val="Tabletitle"/>
      </w:pPr>
      <w:r>
        <w:t>Table 2 Typology classifications</w:t>
      </w:r>
    </w:p>
    <w:p w14:paraId="10875953" w14:textId="77777777" w:rsidR="0053347E" w:rsidRDefault="0053347E" w:rsidP="0053347E">
      <w:pPr>
        <w:pStyle w:val="Paragraph"/>
      </w:pPr>
      <w:r w:rsidRPr="008E2F97">
        <w:t xml:space="preserve">Teachers often carefully think through </w:t>
      </w:r>
      <w:r>
        <w:t xml:space="preserve">their approaches and, regardless of how they name them, their approaches relate to their pedagogic aspirations or to their identity as a particular kind of teacher. Strategies similarly cohere around a purpose: They may be, for example, strategies to motivate and engage, to manage cognitive load, or to facilitate reflection. Methods teachers have strategies concerning where to start and how to hook learners in based on an identifiable rationale, and they have tactics for managing the realities of the various pedagogic situations. It is the set tasks, however, that are most transparent and accessible. This is evident in Dawson’s (2016) book, </w:t>
      </w:r>
      <w:r w:rsidRPr="005D6BF5">
        <w:rPr>
          <w:i/>
        </w:rPr>
        <w:t xml:space="preserve">100 Activities for </w:t>
      </w:r>
      <w:r w:rsidRPr="005D6BF5">
        <w:rPr>
          <w:i/>
        </w:rPr>
        <w:lastRenderedPageBreak/>
        <w:t>Teaching Research Methods</w:t>
      </w:r>
      <w:r w:rsidRPr="00150B74">
        <w:rPr>
          <w:i/>
        </w:rPr>
        <w:t>.</w:t>
      </w:r>
      <w:r>
        <w:t xml:space="preserve"> Tasks may be more or less strongly framed in relation to their strategic or tactical function and even retained or dropped dependent on trial and error. </w:t>
      </w:r>
    </w:p>
    <w:p w14:paraId="337A8571" w14:textId="77777777" w:rsidR="0053347E" w:rsidRDefault="0053347E" w:rsidP="0053347E">
      <w:pPr>
        <w:pStyle w:val="Newparagraph"/>
      </w:pPr>
      <w:r w:rsidRPr="007B4005">
        <w:t xml:space="preserve">The expert panel was particularly useful for uncovering the values underpinning the practices of these experienced, thoughtful teachers and therefore most effectively highlighted the </w:t>
      </w:r>
      <w:r w:rsidRPr="007B4005">
        <w:rPr>
          <w:i/>
        </w:rPr>
        <w:t>approaches</w:t>
      </w:r>
      <w:r w:rsidRPr="007B4005">
        <w:t xml:space="preserve"> and their flow into </w:t>
      </w:r>
      <w:r w:rsidRPr="007B4005">
        <w:rPr>
          <w:i/>
        </w:rPr>
        <w:t>strategies</w:t>
      </w:r>
      <w:r w:rsidRPr="007B4005">
        <w:t xml:space="preserve">. Experts sometimes also used re-voicing, </w:t>
      </w:r>
      <w:r>
        <w:t xml:space="preserve">rehearsal or re-enactment of teachable moments as illustrations, showing how tactics are responsive to situations as well as pedagogic values and methodological priorities. </w:t>
      </w:r>
      <w:r w:rsidRPr="007B4005">
        <w:t xml:space="preserve">Focus group participants were concerned with the gritty realities and so illuminated particularly well the middle ground of the </w:t>
      </w:r>
      <w:r w:rsidRPr="007B4005">
        <w:rPr>
          <w:i/>
        </w:rPr>
        <w:t>strategies</w:t>
      </w:r>
      <w:r w:rsidRPr="007B4005">
        <w:t xml:space="preserve"> and </w:t>
      </w:r>
      <w:r w:rsidRPr="007B4005">
        <w:rPr>
          <w:i/>
        </w:rPr>
        <w:t>tactics</w:t>
      </w:r>
      <w:r w:rsidRPr="007B4005">
        <w:t xml:space="preserve">. By their very focus on the classroom or technology lab, the video stimulated dialogue worked out from </w:t>
      </w:r>
      <w:r w:rsidRPr="007B4005">
        <w:rPr>
          <w:i/>
        </w:rPr>
        <w:t>tasks</w:t>
      </w:r>
      <w:r w:rsidRPr="007B4005">
        <w:t xml:space="preserve"> to make visible the </w:t>
      </w:r>
      <w:r w:rsidRPr="007B4005">
        <w:rPr>
          <w:i/>
        </w:rPr>
        <w:t>tactics</w:t>
      </w:r>
      <w:r w:rsidRPr="007B4005">
        <w:t xml:space="preserve"> and </w:t>
      </w:r>
      <w:r w:rsidRPr="007B4005">
        <w:rPr>
          <w:i/>
        </w:rPr>
        <w:t>strategies</w:t>
      </w:r>
      <w:r w:rsidRPr="007B4005">
        <w:t xml:space="preserve"> behind them. The case studies brought the holistic quali</w:t>
      </w:r>
      <w:r>
        <w:t>ty they are renowned for (Stake</w:t>
      </w:r>
      <w:r w:rsidRPr="007B4005">
        <w:t xml:space="preserve"> 2000). </w:t>
      </w:r>
      <w:r>
        <w:t xml:space="preserve">The process of defining </w:t>
      </w:r>
      <w:r w:rsidRPr="00570A73">
        <w:rPr>
          <w:i/>
        </w:rPr>
        <w:t>approach</w:t>
      </w:r>
      <w:r>
        <w:t xml:space="preserve">, </w:t>
      </w:r>
      <w:r w:rsidRPr="00570A73">
        <w:rPr>
          <w:i/>
        </w:rPr>
        <w:t>strateg</w:t>
      </w:r>
      <w:r>
        <w:rPr>
          <w:i/>
        </w:rPr>
        <w:t>y</w:t>
      </w:r>
      <w:r>
        <w:t xml:space="preserve">, </w:t>
      </w:r>
      <w:r w:rsidRPr="00570A73">
        <w:rPr>
          <w:i/>
        </w:rPr>
        <w:t>tactics</w:t>
      </w:r>
      <w:r>
        <w:t xml:space="preserve"> and </w:t>
      </w:r>
      <w:r w:rsidRPr="00570A73">
        <w:rPr>
          <w:i/>
        </w:rPr>
        <w:t>tasks</w:t>
      </w:r>
      <w:r>
        <w:t xml:space="preserve"> happened over several iterations of going into the data and stepping back from it. We were conscious of assigning symbolic meaning additional to that intended by the participants as we gathered picture that was wider and deeper than that which any of the individuals could have. </w:t>
      </w:r>
    </w:p>
    <w:p w14:paraId="7E5E140B" w14:textId="66E2BD0B" w:rsidR="001938EA" w:rsidRDefault="0053347E" w:rsidP="0053347E">
      <w:pPr>
        <w:pStyle w:val="Newparagraph"/>
      </w:pPr>
      <w:r w:rsidRPr="001043CF">
        <w:t>We</w:t>
      </w:r>
      <w:r w:rsidR="002F3D9E" w:rsidRPr="001043CF">
        <w:t xml:space="preserve"> </w:t>
      </w:r>
      <w:r w:rsidR="007C2B35" w:rsidRPr="001043CF">
        <w:t xml:space="preserve">checked </w:t>
      </w:r>
      <w:r w:rsidRPr="001043CF">
        <w:t xml:space="preserve">our </w:t>
      </w:r>
      <w:r w:rsidR="002F3D9E" w:rsidRPr="001043CF">
        <w:t xml:space="preserve">understanding of our </w:t>
      </w:r>
      <w:r w:rsidRPr="001043CF">
        <w:t xml:space="preserve">definitions of </w:t>
      </w:r>
      <w:r w:rsidR="00E3013F" w:rsidRPr="001043CF">
        <w:t xml:space="preserve">pedagogic </w:t>
      </w:r>
      <w:r w:rsidRPr="001043CF">
        <w:rPr>
          <w:i/>
        </w:rPr>
        <w:t>approach</w:t>
      </w:r>
      <w:r w:rsidRPr="001043CF">
        <w:t xml:space="preserve">, </w:t>
      </w:r>
      <w:r w:rsidRPr="001043CF">
        <w:rPr>
          <w:i/>
        </w:rPr>
        <w:t>strategy</w:t>
      </w:r>
      <w:r w:rsidRPr="001043CF">
        <w:t xml:space="preserve">, </w:t>
      </w:r>
      <w:r w:rsidRPr="001043CF">
        <w:rPr>
          <w:i/>
        </w:rPr>
        <w:t>tactics</w:t>
      </w:r>
      <w:r w:rsidRPr="001043CF">
        <w:t xml:space="preserve"> and </w:t>
      </w:r>
      <w:r w:rsidRPr="001043CF">
        <w:rPr>
          <w:i/>
        </w:rPr>
        <w:t>task</w:t>
      </w:r>
      <w:r w:rsidRPr="001043CF">
        <w:t xml:space="preserve"> by </w:t>
      </w:r>
      <w:r w:rsidR="002F3D9E" w:rsidRPr="001043CF">
        <w:t xml:space="preserve">each of us </w:t>
      </w:r>
      <w:r w:rsidRPr="001043CF">
        <w:t xml:space="preserve">independently applying them to one particularly rich expert interview </w:t>
      </w:r>
      <w:r>
        <w:t xml:space="preserve">transcript. We also identified inclusion and exclusion criteria and examples from the data that matched the definition and those that were close but not quite to clarify our thinking (as suggested in </w:t>
      </w:r>
      <w:r w:rsidRPr="00912A96">
        <w:t>Saldaña</w:t>
      </w:r>
      <w:r w:rsidRPr="00912A96">
        <w:rPr>
          <w:vertAlign w:val="superscript"/>
        </w:rPr>
        <w:t xml:space="preserve"> </w:t>
      </w:r>
      <w:r w:rsidRPr="00912A96">
        <w:t>2016</w:t>
      </w:r>
      <w:r>
        <w:t xml:space="preserve">). </w:t>
      </w:r>
      <w:r w:rsidRPr="008D2A14">
        <w:t xml:space="preserve">This is shown in Table 3. </w:t>
      </w:r>
    </w:p>
    <w:p w14:paraId="237B2D08" w14:textId="77777777" w:rsidR="001938EA" w:rsidRDefault="001938EA">
      <w:pPr>
        <w:spacing w:line="240" w:lineRule="auto"/>
      </w:pPr>
      <w:r>
        <w:br w:type="page"/>
      </w:r>
    </w:p>
    <w:p w14:paraId="6F929ECB" w14:textId="77777777" w:rsidR="0053347E" w:rsidRDefault="0053347E" w:rsidP="0053347E">
      <w:pPr>
        <w:pStyle w:val="Newparagraph"/>
      </w:pPr>
    </w:p>
    <w:p w14:paraId="5A2F068F" w14:textId="77777777" w:rsidR="001938EA" w:rsidRDefault="001938EA" w:rsidP="0053347E">
      <w:pPr>
        <w:pStyle w:val="Newparagraph"/>
      </w:pPr>
    </w:p>
    <w:p w14:paraId="591B8346" w14:textId="77777777" w:rsidR="001938EA" w:rsidRPr="008D2A14" w:rsidRDefault="001938EA" w:rsidP="0053347E">
      <w:pPr>
        <w:pStyle w:val="Newparagraph"/>
      </w:pPr>
    </w:p>
    <w:tbl>
      <w:tblPr>
        <w:tblStyle w:val="TableGrid"/>
        <w:tblW w:w="0" w:type="auto"/>
        <w:tblLook w:val="04A0" w:firstRow="1" w:lastRow="0" w:firstColumn="1" w:lastColumn="0" w:noHBand="0" w:noVBand="1"/>
      </w:tblPr>
      <w:tblGrid>
        <w:gridCol w:w="1124"/>
        <w:gridCol w:w="2571"/>
        <w:gridCol w:w="4794"/>
      </w:tblGrid>
      <w:tr w:rsidR="001938EA" w:rsidRPr="001938EA" w14:paraId="35B0ABB7" w14:textId="77777777" w:rsidTr="009256EA">
        <w:tc>
          <w:tcPr>
            <w:tcW w:w="1125" w:type="dxa"/>
          </w:tcPr>
          <w:p w14:paraId="16CEC4B8" w14:textId="77777777" w:rsidR="001938EA" w:rsidRPr="001938EA" w:rsidRDefault="001938EA" w:rsidP="009256EA">
            <w:pPr>
              <w:tabs>
                <w:tab w:val="left" w:pos="3663"/>
              </w:tabs>
              <w:rPr>
                <w:rFonts w:ascii="Times New Roman" w:hAnsi="Times New Roman" w:cs="Times New Roman"/>
                <w:b/>
                <w:sz w:val="22"/>
                <w:szCs w:val="22"/>
              </w:rPr>
            </w:pPr>
            <w:r w:rsidRPr="001938EA">
              <w:rPr>
                <w:rFonts w:ascii="Times New Roman" w:hAnsi="Times New Roman" w:cs="Times New Roman"/>
                <w:b/>
                <w:sz w:val="22"/>
                <w:szCs w:val="22"/>
              </w:rPr>
              <w:t>Category</w:t>
            </w:r>
          </w:p>
        </w:tc>
        <w:tc>
          <w:tcPr>
            <w:tcW w:w="2698" w:type="dxa"/>
          </w:tcPr>
          <w:p w14:paraId="155D7F7E" w14:textId="77777777" w:rsidR="001938EA" w:rsidRPr="001938EA" w:rsidRDefault="001938EA" w:rsidP="009256EA">
            <w:pPr>
              <w:tabs>
                <w:tab w:val="left" w:pos="3663"/>
              </w:tabs>
              <w:rPr>
                <w:rFonts w:ascii="Times New Roman" w:hAnsi="Times New Roman" w:cs="Times New Roman"/>
                <w:b/>
                <w:sz w:val="22"/>
                <w:szCs w:val="22"/>
              </w:rPr>
            </w:pPr>
            <w:r w:rsidRPr="001938EA">
              <w:rPr>
                <w:rFonts w:ascii="Times New Roman" w:hAnsi="Times New Roman" w:cs="Times New Roman"/>
                <w:b/>
                <w:sz w:val="22"/>
                <w:szCs w:val="22"/>
              </w:rPr>
              <w:t>Characteristic</w:t>
            </w:r>
          </w:p>
        </w:tc>
        <w:tc>
          <w:tcPr>
            <w:tcW w:w="5193" w:type="dxa"/>
          </w:tcPr>
          <w:p w14:paraId="3EF0C48A" w14:textId="77777777" w:rsidR="001938EA" w:rsidRPr="001938EA" w:rsidRDefault="001938EA" w:rsidP="009256EA">
            <w:pPr>
              <w:rPr>
                <w:rFonts w:ascii="Times New Roman" w:hAnsi="Times New Roman" w:cs="Times New Roman"/>
                <w:b/>
                <w:sz w:val="22"/>
                <w:szCs w:val="22"/>
              </w:rPr>
            </w:pPr>
            <w:r w:rsidRPr="001938EA">
              <w:rPr>
                <w:rFonts w:ascii="Times New Roman" w:hAnsi="Times New Roman" w:cs="Times New Roman"/>
                <w:b/>
                <w:sz w:val="22"/>
                <w:szCs w:val="22"/>
              </w:rPr>
              <w:t>Coding principles</w:t>
            </w:r>
          </w:p>
        </w:tc>
      </w:tr>
      <w:tr w:rsidR="001938EA" w:rsidRPr="001938EA" w14:paraId="79941FD3" w14:textId="77777777" w:rsidTr="009256EA">
        <w:tc>
          <w:tcPr>
            <w:tcW w:w="1125" w:type="dxa"/>
          </w:tcPr>
          <w:p w14:paraId="55B84D31"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i/>
                <w:sz w:val="22"/>
                <w:szCs w:val="22"/>
              </w:rPr>
              <w:t>Approach</w:t>
            </w:r>
          </w:p>
        </w:tc>
        <w:tc>
          <w:tcPr>
            <w:tcW w:w="2698" w:type="dxa"/>
          </w:tcPr>
          <w:p w14:paraId="1A76361B"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sz w:val="22"/>
                <w:szCs w:val="22"/>
              </w:rPr>
              <w:t xml:space="preserve">How the teacher goes about their pedagogic work in a way that coheres around a theory, set of values or principles </w:t>
            </w:r>
          </w:p>
        </w:tc>
        <w:tc>
          <w:tcPr>
            <w:tcW w:w="5193" w:type="dxa"/>
          </w:tcPr>
          <w:p w14:paraId="44067377" w14:textId="77777777" w:rsidR="001938EA" w:rsidRPr="001938EA" w:rsidRDefault="001938EA" w:rsidP="001938EA">
            <w:pPr>
              <w:spacing w:line="240" w:lineRule="auto"/>
              <w:rPr>
                <w:rFonts w:ascii="Times New Roman" w:hAnsi="Times New Roman" w:cs="Times New Roman"/>
                <w:sz w:val="22"/>
                <w:szCs w:val="22"/>
              </w:rPr>
            </w:pPr>
            <w:r w:rsidRPr="001938EA">
              <w:rPr>
                <w:rFonts w:ascii="Times New Roman" w:hAnsi="Times New Roman" w:cs="Times New Roman"/>
                <w:b/>
                <w:sz w:val="22"/>
                <w:szCs w:val="22"/>
              </w:rPr>
              <w:t>Including:</w:t>
            </w:r>
            <w:r w:rsidRPr="001938EA">
              <w:rPr>
                <w:rFonts w:ascii="Times New Roman" w:hAnsi="Times New Roman" w:cs="Times New Roman"/>
                <w:sz w:val="22"/>
                <w:szCs w:val="22"/>
              </w:rPr>
              <w:t xml:space="preserve"> established named approaches (e.g. active learning) or emergent unnamed approaches (e.g. visual approach to statistics)</w:t>
            </w:r>
          </w:p>
          <w:p w14:paraId="468864E9" w14:textId="77777777" w:rsidR="001938EA" w:rsidRPr="001938EA" w:rsidRDefault="001938EA" w:rsidP="001938EA">
            <w:pPr>
              <w:spacing w:line="240" w:lineRule="auto"/>
              <w:rPr>
                <w:rFonts w:ascii="Times New Roman" w:hAnsi="Times New Roman" w:cs="Times New Roman"/>
                <w:sz w:val="22"/>
                <w:szCs w:val="22"/>
              </w:rPr>
            </w:pPr>
            <w:r w:rsidRPr="001938EA">
              <w:rPr>
                <w:rFonts w:ascii="Times New Roman" w:hAnsi="Times New Roman" w:cs="Times New Roman"/>
                <w:b/>
                <w:sz w:val="22"/>
                <w:szCs w:val="22"/>
              </w:rPr>
              <w:t>Excluding</w:t>
            </w:r>
            <w:r w:rsidRPr="001938EA">
              <w:rPr>
                <w:rFonts w:ascii="Times New Roman" w:hAnsi="Times New Roman" w:cs="Times New Roman"/>
                <w:sz w:val="22"/>
                <w:szCs w:val="22"/>
              </w:rPr>
              <w:t xml:space="preserve">: collected strategies that do not cohere in some clear way </w:t>
            </w:r>
            <w:r w:rsidRPr="001938EA">
              <w:rPr>
                <w:rFonts w:ascii="Times New Roman" w:hAnsi="Times New Roman" w:cs="Times New Roman"/>
                <w:sz w:val="22"/>
                <w:szCs w:val="22"/>
              </w:rPr>
              <w:br/>
            </w:r>
            <w:r w:rsidRPr="001938EA">
              <w:rPr>
                <w:rFonts w:ascii="Times New Roman" w:hAnsi="Times New Roman" w:cs="Times New Roman"/>
                <w:b/>
                <w:sz w:val="22"/>
                <w:szCs w:val="22"/>
              </w:rPr>
              <w:t>Close but not quite</w:t>
            </w:r>
            <w:r w:rsidRPr="001938EA">
              <w:rPr>
                <w:rFonts w:ascii="Times New Roman" w:hAnsi="Times New Roman" w:cs="Times New Roman"/>
                <w:sz w:val="22"/>
                <w:szCs w:val="22"/>
              </w:rPr>
              <w:t>: reference to an approach that is one of several strategies employed as part of bigger approach</w:t>
            </w:r>
          </w:p>
        </w:tc>
      </w:tr>
      <w:tr w:rsidR="001938EA" w:rsidRPr="001938EA" w14:paraId="5CA4A60A" w14:textId="77777777" w:rsidTr="009256EA">
        <w:tc>
          <w:tcPr>
            <w:tcW w:w="1125" w:type="dxa"/>
          </w:tcPr>
          <w:p w14:paraId="4295D20C"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i/>
                <w:sz w:val="22"/>
                <w:szCs w:val="22"/>
              </w:rPr>
              <w:t>Strategy</w:t>
            </w:r>
          </w:p>
        </w:tc>
        <w:tc>
          <w:tcPr>
            <w:tcW w:w="2698" w:type="dxa"/>
          </w:tcPr>
          <w:p w14:paraId="08A7DB86"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sz w:val="22"/>
                <w:szCs w:val="22"/>
              </w:rPr>
              <w:t>Goal directed planning for implementing an approach</w:t>
            </w:r>
          </w:p>
        </w:tc>
        <w:tc>
          <w:tcPr>
            <w:tcW w:w="5193" w:type="dxa"/>
          </w:tcPr>
          <w:p w14:paraId="2A9D49E5"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sz w:val="22"/>
                <w:szCs w:val="22"/>
              </w:rPr>
              <w:t>Including:</w:t>
            </w:r>
            <w:r w:rsidRPr="001938EA">
              <w:rPr>
                <w:rFonts w:ascii="Times New Roman" w:hAnsi="Times New Roman" w:cs="Times New Roman"/>
                <w:sz w:val="22"/>
                <w:szCs w:val="22"/>
              </w:rPr>
              <w:t xml:space="preserve"> strategies to motivate, engage, manage cognitive load, facilitate reflection,</w:t>
            </w:r>
            <w:r w:rsidRPr="001938EA">
              <w:rPr>
                <w:rFonts w:ascii="Times New Roman" w:hAnsi="Times New Roman" w:cs="Times New Roman"/>
                <w:iCs/>
                <w:sz w:val="22"/>
                <w:szCs w:val="22"/>
              </w:rPr>
              <w:t xml:space="preserve"> select which data to use as a teaching resource (depending on their approach, purpose and priority)</w:t>
            </w:r>
          </w:p>
          <w:p w14:paraId="6F28A217"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sz w:val="22"/>
                <w:szCs w:val="22"/>
              </w:rPr>
              <w:t>Including:</w:t>
            </w:r>
            <w:r w:rsidRPr="001938EA">
              <w:rPr>
                <w:rFonts w:ascii="Times New Roman" w:hAnsi="Times New Roman" w:cs="Times New Roman"/>
                <w:sz w:val="22"/>
                <w:szCs w:val="22"/>
              </w:rPr>
              <w:t xml:space="preserve"> starting points and pedagogic hooks, often with a rationale </w:t>
            </w:r>
          </w:p>
          <w:p w14:paraId="04DF4CA3"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sz w:val="22"/>
                <w:szCs w:val="22"/>
              </w:rPr>
              <w:t>Excluding</w:t>
            </w:r>
            <w:r w:rsidRPr="001938EA">
              <w:rPr>
                <w:rFonts w:ascii="Times New Roman" w:hAnsi="Times New Roman" w:cs="Times New Roman"/>
                <w:sz w:val="22"/>
                <w:szCs w:val="22"/>
              </w:rPr>
              <w:t>: where the purpose/goal is unclear to the teacher</w:t>
            </w:r>
          </w:p>
          <w:p w14:paraId="058BBB7F"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sz w:val="22"/>
                <w:szCs w:val="22"/>
              </w:rPr>
              <w:t xml:space="preserve">Excluding: </w:t>
            </w:r>
            <w:r w:rsidRPr="001938EA">
              <w:rPr>
                <w:rFonts w:ascii="Times New Roman" w:hAnsi="Times New Roman" w:cs="Times New Roman"/>
                <w:sz w:val="22"/>
                <w:szCs w:val="22"/>
              </w:rPr>
              <w:t>more generic/abstract descriptions (likely to be approach)</w:t>
            </w:r>
          </w:p>
        </w:tc>
      </w:tr>
      <w:tr w:rsidR="001938EA" w:rsidRPr="001938EA" w14:paraId="4935725D" w14:textId="77777777" w:rsidTr="009256EA">
        <w:tc>
          <w:tcPr>
            <w:tcW w:w="1125" w:type="dxa"/>
          </w:tcPr>
          <w:p w14:paraId="3382C299"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i/>
                <w:sz w:val="22"/>
                <w:szCs w:val="22"/>
              </w:rPr>
              <w:t>Tactics</w:t>
            </w:r>
          </w:p>
        </w:tc>
        <w:tc>
          <w:tcPr>
            <w:tcW w:w="2698" w:type="dxa"/>
          </w:tcPr>
          <w:p w14:paraId="3A702FD0"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sz w:val="22"/>
                <w:szCs w:val="22"/>
              </w:rPr>
              <w:t>Translation of strategies when the planning becomes procedural and specific to the context</w:t>
            </w:r>
          </w:p>
        </w:tc>
        <w:tc>
          <w:tcPr>
            <w:tcW w:w="5193" w:type="dxa"/>
          </w:tcPr>
          <w:p w14:paraId="7CE71C4B" w14:textId="77777777" w:rsidR="001938EA" w:rsidRPr="001938EA" w:rsidRDefault="001938EA" w:rsidP="001938EA">
            <w:pPr>
              <w:tabs>
                <w:tab w:val="left" w:pos="3663"/>
              </w:tabs>
              <w:spacing w:line="240" w:lineRule="auto"/>
              <w:rPr>
                <w:rFonts w:ascii="Times New Roman" w:hAnsi="Times New Roman" w:cs="Times New Roman"/>
                <w:sz w:val="22"/>
                <w:szCs w:val="22"/>
              </w:rPr>
            </w:pPr>
            <w:r w:rsidRPr="001938EA">
              <w:rPr>
                <w:rFonts w:ascii="Times New Roman" w:hAnsi="Times New Roman" w:cs="Times New Roman"/>
                <w:b/>
                <w:sz w:val="22"/>
                <w:szCs w:val="22"/>
              </w:rPr>
              <w:t>Including:</w:t>
            </w:r>
            <w:r w:rsidRPr="001938EA">
              <w:rPr>
                <w:rFonts w:ascii="Times New Roman" w:hAnsi="Times New Roman" w:cs="Times New Roman"/>
                <w:sz w:val="22"/>
                <w:szCs w:val="22"/>
              </w:rPr>
              <w:t xml:space="preserve"> context-specific decisions about teaching activities</w:t>
            </w:r>
          </w:p>
        </w:tc>
      </w:tr>
      <w:tr w:rsidR="001938EA" w:rsidRPr="001938EA" w14:paraId="2D9967FA" w14:textId="77777777" w:rsidTr="009256EA">
        <w:tc>
          <w:tcPr>
            <w:tcW w:w="1125" w:type="dxa"/>
          </w:tcPr>
          <w:p w14:paraId="22714336" w14:textId="77777777" w:rsidR="001938EA" w:rsidRPr="001938EA" w:rsidRDefault="001938EA" w:rsidP="009256EA">
            <w:pPr>
              <w:tabs>
                <w:tab w:val="left" w:pos="3663"/>
              </w:tabs>
              <w:rPr>
                <w:rFonts w:ascii="Times New Roman" w:hAnsi="Times New Roman" w:cs="Times New Roman"/>
                <w:sz w:val="22"/>
                <w:szCs w:val="22"/>
              </w:rPr>
            </w:pPr>
            <w:r w:rsidRPr="001938EA">
              <w:rPr>
                <w:rFonts w:ascii="Times New Roman" w:hAnsi="Times New Roman" w:cs="Times New Roman"/>
                <w:b/>
                <w:i/>
                <w:sz w:val="22"/>
                <w:szCs w:val="22"/>
              </w:rPr>
              <w:t>Tasks</w:t>
            </w:r>
          </w:p>
        </w:tc>
        <w:tc>
          <w:tcPr>
            <w:tcW w:w="2698" w:type="dxa"/>
          </w:tcPr>
          <w:p w14:paraId="6E2C37E5" w14:textId="77777777" w:rsidR="001938EA" w:rsidRPr="001938EA" w:rsidRDefault="001938EA" w:rsidP="001938EA">
            <w:pPr>
              <w:pStyle w:val="ListParagraph"/>
              <w:numPr>
                <w:ilvl w:val="0"/>
                <w:numId w:val="31"/>
              </w:numPr>
              <w:spacing w:after="0" w:line="240" w:lineRule="auto"/>
              <w:ind w:left="0"/>
              <w:rPr>
                <w:rFonts w:ascii="Times New Roman" w:hAnsi="Times New Roman" w:cs="Times New Roman"/>
              </w:rPr>
            </w:pPr>
            <w:r w:rsidRPr="001938EA">
              <w:rPr>
                <w:rFonts w:ascii="Times New Roman" w:hAnsi="Times New Roman" w:cs="Times New Roman"/>
              </w:rPr>
              <w:t>What learners (or teachers) are required to do, or actually do</w:t>
            </w:r>
          </w:p>
        </w:tc>
        <w:tc>
          <w:tcPr>
            <w:tcW w:w="5193" w:type="dxa"/>
          </w:tcPr>
          <w:p w14:paraId="31693EC2" w14:textId="77777777" w:rsidR="001938EA" w:rsidRPr="001938EA" w:rsidRDefault="001938EA" w:rsidP="001938EA">
            <w:pPr>
              <w:pStyle w:val="ListParagraph"/>
              <w:numPr>
                <w:ilvl w:val="0"/>
                <w:numId w:val="31"/>
              </w:numPr>
              <w:spacing w:after="0" w:line="240" w:lineRule="auto"/>
              <w:ind w:left="0"/>
              <w:rPr>
                <w:rFonts w:ascii="Times New Roman" w:hAnsi="Times New Roman" w:cs="Times New Roman"/>
              </w:rPr>
            </w:pPr>
            <w:r w:rsidRPr="001938EA">
              <w:rPr>
                <w:rFonts w:ascii="Times New Roman" w:hAnsi="Times New Roman" w:cs="Times New Roman"/>
                <w:b/>
              </w:rPr>
              <w:t>Including</w:t>
            </w:r>
            <w:r w:rsidRPr="001938EA">
              <w:rPr>
                <w:rFonts w:ascii="Times New Roman" w:hAnsi="Times New Roman" w:cs="Times New Roman"/>
              </w:rPr>
              <w:t>: activities within the pedagogic context that may or may not have pedagogic value or purpose</w:t>
            </w:r>
          </w:p>
        </w:tc>
      </w:tr>
    </w:tbl>
    <w:p w14:paraId="7A33DB96" w14:textId="78C700CD" w:rsidR="0053347E" w:rsidRDefault="0018595A" w:rsidP="0018595A">
      <w:pPr>
        <w:pStyle w:val="Tabletitle"/>
      </w:pPr>
      <w:r>
        <w:t>Table 3 Coding principles and definitions for typological categories</w:t>
      </w:r>
    </w:p>
    <w:p w14:paraId="327BF16B" w14:textId="77777777" w:rsidR="0018595A" w:rsidRDefault="0018595A" w:rsidP="0053347E"/>
    <w:p w14:paraId="57E96D50" w14:textId="3A33A941" w:rsidR="0053347E" w:rsidRDefault="0053347E" w:rsidP="0053347E">
      <w:r>
        <w:t xml:space="preserve">We have imposed tight definitions rather than use participants’ everyday terms, which, </w:t>
      </w:r>
      <w:r w:rsidRPr="001043CF">
        <w:t xml:space="preserve">like the use of the terms in the literature, could be quite loose and lead to conceptual confusion. </w:t>
      </w:r>
      <w:r w:rsidR="002F3D9E" w:rsidRPr="001043CF">
        <w:t xml:space="preserve">A series of dialogues with teachers about the data and the </w:t>
      </w:r>
      <w:r w:rsidR="00AE4119" w:rsidRPr="001043CF">
        <w:t>definitions</w:t>
      </w:r>
      <w:r w:rsidR="002F3D9E" w:rsidRPr="001043CF">
        <w:t xml:space="preserve"> helped to </w:t>
      </w:r>
      <w:r w:rsidR="00AE4119" w:rsidRPr="001043CF">
        <w:t xml:space="preserve">validate them, and </w:t>
      </w:r>
      <w:r w:rsidR="002F3D9E" w:rsidRPr="001043CF">
        <w:t xml:space="preserve">assure us that this process was </w:t>
      </w:r>
      <w:r w:rsidR="00AE4119" w:rsidRPr="001043CF">
        <w:t>not distortive</w:t>
      </w:r>
      <w:r w:rsidR="002F3D9E" w:rsidRPr="001043CF">
        <w:t xml:space="preserve">. </w:t>
      </w:r>
      <w:r w:rsidRPr="001043CF">
        <w:t xml:space="preserve">From reading the dataset we argue that </w:t>
      </w:r>
      <w:r>
        <w:rPr>
          <w:iCs/>
        </w:rPr>
        <w:t>s</w:t>
      </w:r>
      <w:r w:rsidRPr="00A00DF9">
        <w:rPr>
          <w:iCs/>
        </w:rPr>
        <w:t xml:space="preserve">trategies and tactics relate directly to the perceived challenges and </w:t>
      </w:r>
      <w:r>
        <w:rPr>
          <w:iCs/>
        </w:rPr>
        <w:t>that teachers face and their aspirations. For example, in</w:t>
      </w:r>
      <w:r w:rsidRPr="007671E4">
        <w:rPr>
          <w:iCs/>
        </w:rPr>
        <w:t xml:space="preserve"> focus group </w:t>
      </w:r>
      <w:r>
        <w:rPr>
          <w:iCs/>
        </w:rPr>
        <w:t xml:space="preserve">2, the experienced </w:t>
      </w:r>
      <w:r w:rsidRPr="007671E4">
        <w:rPr>
          <w:iCs/>
        </w:rPr>
        <w:t xml:space="preserve">qualitative methods teachers shared </w:t>
      </w:r>
      <w:r>
        <w:rPr>
          <w:iCs/>
        </w:rPr>
        <w:t xml:space="preserve">an </w:t>
      </w:r>
      <w:r w:rsidRPr="007671E4">
        <w:rPr>
          <w:iCs/>
        </w:rPr>
        <w:t>aspiration to ‘</w:t>
      </w:r>
      <w:r w:rsidRPr="007671E4">
        <w:t xml:space="preserve">try to ground what you’re doing in what they’re </w:t>
      </w:r>
      <w:r>
        <w:t xml:space="preserve">[the students] </w:t>
      </w:r>
      <w:r w:rsidRPr="007671E4">
        <w:t>doing’</w:t>
      </w:r>
      <w:r>
        <w:t xml:space="preserve">. This student-centred </w:t>
      </w:r>
      <w:r w:rsidRPr="00A3447F">
        <w:rPr>
          <w:i/>
        </w:rPr>
        <w:t>approach</w:t>
      </w:r>
      <w:r>
        <w:t xml:space="preserve"> was </w:t>
      </w:r>
      <w:r>
        <w:lastRenderedPageBreak/>
        <w:t xml:space="preserve">articulated through the </w:t>
      </w:r>
      <w:r w:rsidRPr="00A3447F">
        <w:rPr>
          <w:i/>
        </w:rPr>
        <w:t>strategy</w:t>
      </w:r>
      <w:r w:rsidRPr="00A3447F">
        <w:t xml:space="preserve"> </w:t>
      </w:r>
      <w:r>
        <w:t xml:space="preserve">of teaching using students’ own data. However, the focus group </w:t>
      </w:r>
      <w:r w:rsidRPr="007671E4">
        <w:t>also recognised that ‘if you ask people to bring their data, they often bring massively inappropriate amounts, or sometimes there are ethical issues in what they bring’</w:t>
      </w:r>
      <w:r>
        <w:t>. They</w:t>
      </w:r>
      <w:r w:rsidRPr="007671E4">
        <w:t xml:space="preserve"> there</w:t>
      </w:r>
      <w:r>
        <w:t>fore</w:t>
      </w:r>
      <w:r w:rsidRPr="007671E4">
        <w:t xml:space="preserve"> develop</w:t>
      </w:r>
      <w:r>
        <w:t>ed</w:t>
      </w:r>
      <w:r w:rsidRPr="007671E4">
        <w:t xml:space="preserve"> the </w:t>
      </w:r>
      <w:r w:rsidRPr="00A3447F">
        <w:rPr>
          <w:i/>
        </w:rPr>
        <w:t>tactic</w:t>
      </w:r>
      <w:r w:rsidRPr="007671E4">
        <w:t xml:space="preserve"> of seeing and discussing the learner data in advance</w:t>
      </w:r>
      <w:r>
        <w:t xml:space="preserve"> of the class, prior to mobilising data-based </w:t>
      </w:r>
      <w:r>
        <w:rPr>
          <w:i/>
        </w:rPr>
        <w:t>tasks</w:t>
      </w:r>
      <w:r w:rsidRPr="007671E4">
        <w:t xml:space="preserve">. </w:t>
      </w:r>
      <w:r>
        <w:rPr>
          <w:iCs/>
        </w:rPr>
        <w:t xml:space="preserve">Teachers’ accounts of their practice data show how they </w:t>
      </w:r>
      <w:r w:rsidRPr="00A00DF9">
        <w:rPr>
          <w:iCs/>
        </w:rPr>
        <w:t xml:space="preserve">hone their strategies </w:t>
      </w:r>
      <w:r>
        <w:rPr>
          <w:iCs/>
        </w:rPr>
        <w:t>as they gain</w:t>
      </w:r>
      <w:r w:rsidRPr="00A00DF9">
        <w:rPr>
          <w:iCs/>
        </w:rPr>
        <w:t xml:space="preserve"> experience</w:t>
      </w:r>
      <w:r>
        <w:rPr>
          <w:iCs/>
        </w:rPr>
        <w:t xml:space="preserve"> and how they adjust them in light of changing technology. </w:t>
      </w:r>
    </w:p>
    <w:p w14:paraId="31136EEE" w14:textId="77777777" w:rsidR="0053347E" w:rsidRDefault="0053347E" w:rsidP="0053347E">
      <w:pPr>
        <w:pStyle w:val="Newparagraph"/>
      </w:pPr>
      <w:r w:rsidRPr="00A00DF9">
        <w:t>T</w:t>
      </w:r>
      <w:r>
        <w:t>eacher t</w:t>
      </w:r>
      <w:r w:rsidRPr="00A00DF9">
        <w:t>actics can be impromptu, responsive</w:t>
      </w:r>
      <w:r>
        <w:t xml:space="preserve"> to new challenges and include an element of risk-taking. In one of the video-stimulated dialogue focus groups for instance, Nadia, who had been teaching the application of a qualitative data analysis package, described how spontaneously drawing a diagram on the whiteboard was something she not had not done before. </w:t>
      </w:r>
      <w:r w:rsidRPr="00F04F3B">
        <w:t xml:space="preserve">‘I wasn’t planning to do that, it was just because of the conversation we were having, I thought okay, this is what this is isn’t it, </w:t>
      </w:r>
      <w:r>
        <w:t>…</w:t>
      </w:r>
      <w:r w:rsidRPr="00F04F3B">
        <w:t xml:space="preserve"> but I wasn’t really sure how it </w:t>
      </w:r>
      <w:r>
        <w:t xml:space="preserve">[the diagram] </w:t>
      </w:r>
      <w:r w:rsidRPr="00F04F3B">
        <w:t xml:space="preserve">was going to turn out’. </w:t>
      </w:r>
      <w:r>
        <w:t>One of the learners</w:t>
      </w:r>
      <w:r w:rsidRPr="00F04F3B">
        <w:t xml:space="preserve"> confirmed the utility of the tactic, observing ‘it really helped clarify things for me’.</w:t>
      </w:r>
      <w:r w:rsidRPr="007671E4">
        <w:t xml:space="preserve"> </w:t>
      </w:r>
      <w:r>
        <w:t xml:space="preserve">In expert interviews, Sharlene Hesse-Biber highlighted the questioning tactics that she deploys in qualitative and mixed methods teaching. She re-voiced many of dynamic ways she prompts, probes and responds to student thinking to elicit reflection, using specific examples and vignettes in the interview. </w:t>
      </w:r>
    </w:p>
    <w:p w14:paraId="51936445" w14:textId="77777777" w:rsidR="0053347E" w:rsidRPr="003B5EEA" w:rsidRDefault="0053347E" w:rsidP="0053347E">
      <w:pPr>
        <w:pStyle w:val="Displayedquotation"/>
        <w:rPr>
          <w:sz w:val="24"/>
        </w:rPr>
      </w:pPr>
      <w:r w:rsidRPr="00A3447F">
        <w:t>And they</w:t>
      </w:r>
      <w:r>
        <w:t xml:space="preserve"> [students]</w:t>
      </w:r>
      <w:r w:rsidRPr="00A3447F">
        <w:t xml:space="preserve"> go, </w:t>
      </w:r>
      <w:r>
        <w:t>‘[...]</w:t>
      </w:r>
      <w:r w:rsidRPr="00A3447F">
        <w:t xml:space="preserve"> my professor was a positivist, I didn’t know there was something else out there, I guess I’m a subjectivist'. </w:t>
      </w:r>
      <w:r w:rsidRPr="008E2F97">
        <w:t xml:space="preserve"> I go </w:t>
      </w:r>
      <w:r>
        <w:t>‘</w:t>
      </w:r>
      <w:r w:rsidRPr="008E2F97">
        <w:t>well, what kind?'.</w:t>
      </w:r>
      <w:r w:rsidRPr="00A3447F">
        <w:t xml:space="preserve"> </w:t>
      </w:r>
      <w:r w:rsidRPr="008E2F97">
        <w:t>T</w:t>
      </w:r>
      <w:r w:rsidRPr="00A3447F">
        <w:t>hey go, 'I didn</w:t>
      </w:r>
      <w:r w:rsidRPr="008E2F97">
        <w:t>’t know they came in flavours'.</w:t>
      </w:r>
      <w:r w:rsidRPr="00A3447F">
        <w:t xml:space="preserve"> </w:t>
      </w:r>
      <w:r>
        <w:t>[…]</w:t>
      </w:r>
      <w:r w:rsidRPr="008E2F97">
        <w:t xml:space="preserve"> I</w:t>
      </w:r>
      <w:r w:rsidRPr="00A3447F">
        <w:t>t’s a teachable moment</w:t>
      </w:r>
      <w:r>
        <w:t>”.</w:t>
      </w:r>
    </w:p>
    <w:p w14:paraId="1E7A93AB" w14:textId="77777777" w:rsidR="0053347E" w:rsidRPr="00F959D7" w:rsidRDefault="0053347E" w:rsidP="0053347E">
      <w:r>
        <w:t xml:space="preserve">For Sharlene Hesse-Biber these </w:t>
      </w:r>
      <w:r w:rsidRPr="008D2A14">
        <w:rPr>
          <w:i/>
        </w:rPr>
        <w:t>tactics</w:t>
      </w:r>
      <w:r>
        <w:t xml:space="preserve"> were situated within an overall commitment to a critical feminist teaching </w:t>
      </w:r>
      <w:r w:rsidRPr="008D2A14">
        <w:rPr>
          <w:i/>
        </w:rPr>
        <w:t>approach</w:t>
      </w:r>
      <w:r>
        <w:t xml:space="preserve"> that engages reflexivity and standpoints. The tactics </w:t>
      </w:r>
      <w:r>
        <w:lastRenderedPageBreak/>
        <w:t xml:space="preserve">sit among </w:t>
      </w:r>
      <w:r w:rsidRPr="008D2A14">
        <w:rPr>
          <w:i/>
        </w:rPr>
        <w:t>strategies</w:t>
      </w:r>
      <w:r>
        <w:t xml:space="preserve"> </w:t>
      </w:r>
      <w:r w:rsidRPr="008D2A14">
        <w:t>such as ‘experience sampling’</w:t>
      </w:r>
      <w:r w:rsidRPr="00F959D7">
        <w:t xml:space="preserve"> and they link to </w:t>
      </w:r>
      <w:r w:rsidRPr="00F959D7">
        <w:rPr>
          <w:i/>
        </w:rPr>
        <w:t>tasks</w:t>
      </w:r>
      <w:r w:rsidRPr="00F959D7">
        <w:t xml:space="preserve"> such as student research journaling. </w:t>
      </w:r>
    </w:p>
    <w:p w14:paraId="65347164" w14:textId="72CF282B" w:rsidR="007A1EDB" w:rsidRDefault="0053347E" w:rsidP="007A1EDB">
      <w:pPr>
        <w:pStyle w:val="Newparagraph"/>
      </w:pPr>
      <w:r w:rsidRPr="001043CF">
        <w:t xml:space="preserve">The </w:t>
      </w:r>
      <w:r w:rsidR="00D32B4C" w:rsidRPr="001043CF">
        <w:t>grounding</w:t>
      </w:r>
      <w:r w:rsidRPr="001043CF">
        <w:t xml:space="preserve"> of the typology </w:t>
      </w:r>
      <w:r w:rsidR="00D32B4C" w:rsidRPr="001043CF">
        <w:t xml:space="preserve">in research data </w:t>
      </w:r>
      <w:r w:rsidRPr="001043CF">
        <w:t xml:space="preserve">generated a kind of matrix connecting the categories related to important approaches found in our </w:t>
      </w:r>
      <w:r w:rsidR="00D32B4C" w:rsidRPr="001043CF">
        <w:t xml:space="preserve">observational and reflective </w:t>
      </w:r>
      <w:r w:rsidRPr="001043CF">
        <w:t xml:space="preserve">data as shown in Table 4. There is considerable overlap in the literature between the pedagogic approaches of student-centred, active and experiential learning </w:t>
      </w:r>
      <w:r w:rsidR="00E3013F" w:rsidRPr="001043CF">
        <w:t xml:space="preserve">in </w:t>
      </w:r>
      <w:r w:rsidRPr="001043CF">
        <w:t xml:space="preserve">terms of ways of working (see e.g. Hsiung 2008; Galliers </w:t>
      </w:r>
      <w:r w:rsidR="00F81467" w:rsidRPr="001043CF">
        <w:t>and</w:t>
      </w:r>
      <w:r w:rsidRPr="001043CF">
        <w:t xml:space="preserve"> Huang 2012) and this was apparent in how they were evidenced in the data. The matrix </w:t>
      </w:r>
      <w:r w:rsidR="007A1EDB" w:rsidRPr="001043CF">
        <w:t xml:space="preserve">is intended to be illustrative, not exhaustive. The typology is an overarching frame that can incorporate new approaches, strategies, tactics and tasks as these are developed to meet (for example) new methodological challenges. </w:t>
      </w:r>
    </w:p>
    <w:p w14:paraId="28B2F085" w14:textId="73C1D8C2" w:rsidR="001938EA" w:rsidRDefault="001938EA">
      <w:pPr>
        <w:spacing w:line="240" w:lineRule="auto"/>
      </w:pPr>
      <w:r>
        <w:br w:type="page"/>
      </w:r>
    </w:p>
    <w:p w14:paraId="5A8F3343" w14:textId="77777777" w:rsidR="00AA62F0" w:rsidRDefault="00AA62F0" w:rsidP="00AA62F0">
      <w:pPr>
        <w:tabs>
          <w:tab w:val="left" w:pos="3663"/>
        </w:tabs>
        <w:spacing w:line="240" w:lineRule="auto"/>
        <w:rPr>
          <w:b/>
        </w:rPr>
        <w:sectPr w:rsidR="00AA62F0" w:rsidSect="00074B81">
          <w:pgSz w:w="11901" w:h="16840" w:code="9"/>
          <w:pgMar w:top="1418" w:right="1701" w:bottom="1418" w:left="1701"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3613"/>
        <w:gridCol w:w="3614"/>
        <w:gridCol w:w="3613"/>
        <w:gridCol w:w="3614"/>
      </w:tblGrid>
      <w:tr w:rsidR="001938EA" w:rsidRPr="00231D8F" w14:paraId="3CC07ED4" w14:textId="77777777" w:rsidTr="009256EA">
        <w:tc>
          <w:tcPr>
            <w:tcW w:w="3613" w:type="dxa"/>
          </w:tcPr>
          <w:p w14:paraId="1E2FA858" w14:textId="6200FA4C" w:rsidR="001938EA" w:rsidRPr="00231D8F" w:rsidRDefault="001938EA" w:rsidP="00AA62F0">
            <w:pPr>
              <w:tabs>
                <w:tab w:val="left" w:pos="3663"/>
              </w:tabs>
              <w:spacing w:line="240" w:lineRule="auto"/>
              <w:rPr>
                <w:rFonts w:ascii="Times New Roman" w:hAnsi="Times New Roman" w:cs="Times New Roman"/>
                <w:b/>
              </w:rPr>
            </w:pPr>
            <w:r w:rsidRPr="00231D8F">
              <w:rPr>
                <w:rFonts w:ascii="Times New Roman" w:hAnsi="Times New Roman" w:cs="Times New Roman"/>
                <w:b/>
              </w:rPr>
              <w:lastRenderedPageBreak/>
              <w:t>Approach</w:t>
            </w:r>
          </w:p>
        </w:tc>
        <w:tc>
          <w:tcPr>
            <w:tcW w:w="3614" w:type="dxa"/>
          </w:tcPr>
          <w:p w14:paraId="255A08AB"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b/>
              </w:rPr>
              <w:t>Strategy</w:t>
            </w:r>
          </w:p>
        </w:tc>
        <w:tc>
          <w:tcPr>
            <w:tcW w:w="3613" w:type="dxa"/>
          </w:tcPr>
          <w:p w14:paraId="0A0B53A7"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b/>
              </w:rPr>
              <w:t>Tactics</w:t>
            </w:r>
          </w:p>
        </w:tc>
        <w:tc>
          <w:tcPr>
            <w:tcW w:w="3614" w:type="dxa"/>
          </w:tcPr>
          <w:p w14:paraId="6F94E4BD"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b/>
              </w:rPr>
              <w:t>Tasks</w:t>
            </w:r>
            <w:r w:rsidRPr="00231D8F">
              <w:rPr>
                <w:rFonts w:ascii="Times New Roman" w:hAnsi="Times New Roman" w:cs="Times New Roman"/>
              </w:rPr>
              <w:t xml:space="preserve"> </w:t>
            </w:r>
          </w:p>
          <w:p w14:paraId="3E1813E8" w14:textId="77777777" w:rsidR="001938EA" w:rsidRPr="00231D8F" w:rsidRDefault="001938EA" w:rsidP="00AA62F0">
            <w:pPr>
              <w:spacing w:line="240" w:lineRule="auto"/>
              <w:rPr>
                <w:rFonts w:ascii="Times New Roman" w:hAnsi="Times New Roman" w:cs="Times New Roman"/>
              </w:rPr>
            </w:pPr>
          </w:p>
        </w:tc>
      </w:tr>
      <w:tr w:rsidR="001938EA" w:rsidRPr="00231D8F" w14:paraId="5E3E592F" w14:textId="77777777" w:rsidTr="009256EA">
        <w:tc>
          <w:tcPr>
            <w:tcW w:w="3613" w:type="dxa"/>
          </w:tcPr>
          <w:p w14:paraId="3FCE52CC" w14:textId="77777777" w:rsidR="001938EA" w:rsidRPr="00231D8F" w:rsidRDefault="001938EA" w:rsidP="00AA62F0">
            <w:pPr>
              <w:tabs>
                <w:tab w:val="left" w:pos="3663"/>
              </w:tabs>
              <w:spacing w:line="240" w:lineRule="auto"/>
              <w:rPr>
                <w:rFonts w:ascii="Times New Roman" w:hAnsi="Times New Roman" w:cs="Times New Roman"/>
                <w:b/>
                <w:i/>
              </w:rPr>
            </w:pPr>
            <w:r w:rsidRPr="00231D8F">
              <w:rPr>
                <w:rFonts w:ascii="Times New Roman" w:hAnsi="Times New Roman" w:cs="Times New Roman"/>
                <w:b/>
                <w:i/>
              </w:rPr>
              <w:t xml:space="preserve">Student-centred </w:t>
            </w:r>
          </w:p>
          <w:p w14:paraId="694B3665" w14:textId="77777777" w:rsidR="001938EA" w:rsidRPr="00231D8F" w:rsidRDefault="001938EA" w:rsidP="00AA62F0">
            <w:pPr>
              <w:tabs>
                <w:tab w:val="left" w:pos="3663"/>
              </w:tabs>
              <w:spacing w:line="240" w:lineRule="auto"/>
              <w:rPr>
                <w:rFonts w:ascii="Times New Roman" w:hAnsi="Times New Roman" w:cs="Times New Roman"/>
              </w:rPr>
            </w:pPr>
            <w:r w:rsidRPr="00231D8F">
              <w:rPr>
                <w:rFonts w:ascii="Times New Roman" w:hAnsi="Times New Roman" w:cs="Times New Roman"/>
              </w:rPr>
              <w:t>Putting the student at the heart of pedagogic decisions</w:t>
            </w:r>
          </w:p>
        </w:tc>
        <w:tc>
          <w:tcPr>
            <w:tcW w:w="3614" w:type="dxa"/>
          </w:tcPr>
          <w:p w14:paraId="0572BC2D"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start with where the learners are comfortable and motivated, using themes that connect with the group</w:t>
            </w:r>
          </w:p>
          <w:p w14:paraId="1DA9CB03"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show relevance of data and methods to students’ professions/disciplines</w:t>
            </w:r>
          </w:p>
        </w:tc>
        <w:tc>
          <w:tcPr>
            <w:tcW w:w="3613" w:type="dxa"/>
          </w:tcPr>
          <w:p w14:paraId="15DE0291"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pick up on anything in class that indicates what is meaningful to students personally</w:t>
            </w:r>
          </w:p>
          <w:p w14:paraId="01152B4D"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Build a common vocabulary</w:t>
            </w:r>
          </w:p>
          <w:p w14:paraId="242AEC69"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Use expertise in the room</w:t>
            </w:r>
          </w:p>
        </w:tc>
        <w:tc>
          <w:tcPr>
            <w:tcW w:w="3614" w:type="dxa"/>
          </w:tcPr>
          <w:p w14:paraId="1DBC3DE8"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Students work on their own data</w:t>
            </w:r>
          </w:p>
          <w:p w14:paraId="599FB061"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Students critique papers in their own discipline</w:t>
            </w:r>
          </w:p>
        </w:tc>
      </w:tr>
      <w:tr w:rsidR="001938EA" w:rsidRPr="00231D8F" w14:paraId="2DAE1AED" w14:textId="77777777" w:rsidTr="009256EA">
        <w:tc>
          <w:tcPr>
            <w:tcW w:w="3613" w:type="dxa"/>
          </w:tcPr>
          <w:p w14:paraId="18F03D70" w14:textId="77777777" w:rsidR="001938EA" w:rsidRPr="00231D8F" w:rsidRDefault="001938EA" w:rsidP="00AA62F0">
            <w:pPr>
              <w:tabs>
                <w:tab w:val="left" w:pos="3663"/>
              </w:tabs>
              <w:spacing w:line="240" w:lineRule="auto"/>
              <w:rPr>
                <w:rFonts w:ascii="Times New Roman" w:hAnsi="Times New Roman" w:cs="Times New Roman"/>
                <w:b/>
                <w:i/>
              </w:rPr>
            </w:pPr>
            <w:r w:rsidRPr="00231D8F">
              <w:rPr>
                <w:rFonts w:ascii="Times New Roman" w:hAnsi="Times New Roman" w:cs="Times New Roman"/>
                <w:b/>
                <w:i/>
              </w:rPr>
              <w:t xml:space="preserve">Active learning </w:t>
            </w:r>
          </w:p>
          <w:p w14:paraId="5371B19A" w14:textId="77777777" w:rsidR="001938EA" w:rsidRPr="00231D8F" w:rsidRDefault="001938EA" w:rsidP="00AA62F0">
            <w:pPr>
              <w:tabs>
                <w:tab w:val="left" w:pos="3663"/>
              </w:tabs>
              <w:spacing w:line="240" w:lineRule="auto"/>
              <w:rPr>
                <w:rFonts w:ascii="Times New Roman" w:hAnsi="Times New Roman" w:cs="Times New Roman"/>
              </w:rPr>
            </w:pPr>
            <w:r w:rsidRPr="00231D8F">
              <w:rPr>
                <w:rFonts w:ascii="Times New Roman" w:hAnsi="Times New Roman" w:cs="Times New Roman"/>
              </w:rPr>
              <w:t>Valuing learning by doing and application of knowledge</w:t>
            </w:r>
          </w:p>
        </w:tc>
        <w:tc>
          <w:tcPr>
            <w:tcW w:w="3614" w:type="dxa"/>
          </w:tcPr>
          <w:p w14:paraId="4BB73876"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Alternate lecture and exercises so students apply what they hear and learn by doing</w:t>
            </w:r>
          </w:p>
          <w:p w14:paraId="4EFDE6B3"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Work through the statistical knowledge and the software simultaneously</w:t>
            </w:r>
          </w:p>
        </w:tc>
        <w:tc>
          <w:tcPr>
            <w:tcW w:w="3613" w:type="dxa"/>
          </w:tcPr>
          <w:p w14:paraId="7D884714"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 xml:space="preserve">Teachers use learning glitches to reinforce key concepts </w:t>
            </w:r>
          </w:p>
          <w:p w14:paraId="701BB33D"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iCs/>
              </w:rPr>
              <w:t>Teachers often choose their own data for exercises so they can be responsive to queries about it</w:t>
            </w:r>
          </w:p>
        </w:tc>
        <w:tc>
          <w:tcPr>
            <w:tcW w:w="3614" w:type="dxa"/>
          </w:tcPr>
          <w:p w14:paraId="71B8176E" w14:textId="77777777" w:rsidR="001938EA" w:rsidRPr="00231D8F" w:rsidRDefault="001938EA" w:rsidP="00AA62F0">
            <w:pPr>
              <w:spacing w:line="240" w:lineRule="auto"/>
              <w:rPr>
                <w:rFonts w:ascii="Times New Roman" w:hAnsi="Times New Roman" w:cs="Times New Roman"/>
                <w:iCs/>
              </w:rPr>
            </w:pPr>
            <w:r w:rsidRPr="00231D8F">
              <w:rPr>
                <w:rFonts w:ascii="Times New Roman" w:hAnsi="Times New Roman" w:cs="Times New Roman"/>
              </w:rPr>
              <w:t xml:space="preserve">Students work hands on with any data as long as they </w:t>
            </w:r>
            <w:r w:rsidRPr="00231D8F">
              <w:rPr>
                <w:rFonts w:ascii="Times New Roman" w:hAnsi="Times New Roman" w:cs="Times New Roman"/>
                <w:iCs/>
              </w:rPr>
              <w:t>can ‘have a play’ and gain ‘flying time’</w:t>
            </w:r>
          </w:p>
          <w:p w14:paraId="3E67C2EF" w14:textId="77777777" w:rsidR="001938EA" w:rsidRPr="00231D8F" w:rsidRDefault="001938EA" w:rsidP="00AA62F0">
            <w:pPr>
              <w:spacing w:line="240" w:lineRule="auto"/>
              <w:rPr>
                <w:rFonts w:ascii="Times New Roman" w:hAnsi="Times New Roman" w:cs="Times New Roman"/>
              </w:rPr>
            </w:pPr>
          </w:p>
        </w:tc>
      </w:tr>
      <w:tr w:rsidR="001938EA" w:rsidRPr="00231D8F" w14:paraId="4E32357E" w14:textId="77777777" w:rsidTr="009256EA">
        <w:tc>
          <w:tcPr>
            <w:tcW w:w="3613" w:type="dxa"/>
          </w:tcPr>
          <w:p w14:paraId="0B4BB03F" w14:textId="77777777" w:rsidR="001938EA" w:rsidRPr="00231D8F" w:rsidRDefault="001938EA" w:rsidP="00AA62F0">
            <w:pPr>
              <w:tabs>
                <w:tab w:val="left" w:pos="3663"/>
              </w:tabs>
              <w:spacing w:line="240" w:lineRule="auto"/>
              <w:rPr>
                <w:rFonts w:ascii="Times New Roman" w:hAnsi="Times New Roman" w:cs="Times New Roman"/>
                <w:b/>
                <w:i/>
              </w:rPr>
            </w:pPr>
            <w:r w:rsidRPr="00231D8F">
              <w:rPr>
                <w:rFonts w:ascii="Times New Roman" w:hAnsi="Times New Roman" w:cs="Times New Roman"/>
                <w:b/>
                <w:i/>
              </w:rPr>
              <w:t xml:space="preserve">Experiential </w:t>
            </w:r>
            <w:r w:rsidRPr="00231D8F">
              <w:rPr>
                <w:rFonts w:ascii="Times New Roman" w:hAnsi="Times New Roman" w:cs="Times New Roman"/>
                <w:i/>
              </w:rPr>
              <w:t>approach to teaching qualitative methods</w:t>
            </w:r>
          </w:p>
          <w:p w14:paraId="71B51290" w14:textId="77777777" w:rsidR="001938EA" w:rsidRPr="00231D8F" w:rsidRDefault="001938EA" w:rsidP="00AA62F0">
            <w:pPr>
              <w:tabs>
                <w:tab w:val="left" w:pos="3663"/>
              </w:tabs>
              <w:spacing w:line="240" w:lineRule="auto"/>
              <w:rPr>
                <w:rFonts w:ascii="Times New Roman" w:hAnsi="Times New Roman" w:cs="Times New Roman"/>
                <w:i/>
                <w:u w:val="single"/>
              </w:rPr>
            </w:pPr>
            <w:r w:rsidRPr="00231D8F">
              <w:rPr>
                <w:rFonts w:ascii="Times New Roman" w:hAnsi="Times New Roman" w:cs="Times New Roman"/>
              </w:rPr>
              <w:t>Valuing the power of authentic experience</w:t>
            </w:r>
          </w:p>
        </w:tc>
        <w:tc>
          <w:tcPr>
            <w:tcW w:w="3614" w:type="dxa"/>
          </w:tcPr>
          <w:p w14:paraId="4A96088F"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Require students enter the field</w:t>
            </w:r>
          </w:p>
          <w:p w14:paraId="78D345AA"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And attend to the sensory</w:t>
            </w:r>
          </w:p>
        </w:tc>
        <w:tc>
          <w:tcPr>
            <w:tcW w:w="3613" w:type="dxa"/>
          </w:tcPr>
          <w:p w14:paraId="5C24844A"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exploit opportunities for reflexivity</w:t>
            </w:r>
          </w:p>
        </w:tc>
        <w:tc>
          <w:tcPr>
            <w:tcW w:w="3614" w:type="dxa"/>
          </w:tcPr>
          <w:p w14:paraId="7FF3FCB2"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Students embody data by reading it aloud</w:t>
            </w:r>
          </w:p>
        </w:tc>
      </w:tr>
      <w:tr w:rsidR="001938EA" w:rsidRPr="00231D8F" w14:paraId="05045532" w14:textId="77777777" w:rsidTr="009256EA">
        <w:tc>
          <w:tcPr>
            <w:tcW w:w="3613" w:type="dxa"/>
          </w:tcPr>
          <w:p w14:paraId="773B1449" w14:textId="77777777" w:rsidR="001938EA" w:rsidRPr="00231D8F" w:rsidRDefault="001938EA" w:rsidP="00AA62F0">
            <w:pPr>
              <w:tabs>
                <w:tab w:val="left" w:pos="3663"/>
              </w:tabs>
              <w:spacing w:line="240" w:lineRule="auto"/>
              <w:rPr>
                <w:rFonts w:ascii="Times New Roman" w:hAnsi="Times New Roman" w:cs="Times New Roman"/>
                <w:i/>
              </w:rPr>
            </w:pPr>
            <w:r w:rsidRPr="00231D8F">
              <w:rPr>
                <w:rFonts w:ascii="Times New Roman" w:hAnsi="Times New Roman" w:cs="Times New Roman"/>
                <w:b/>
                <w:i/>
              </w:rPr>
              <w:t>Problem-based learning</w:t>
            </w:r>
            <w:r w:rsidRPr="00231D8F">
              <w:rPr>
                <w:rFonts w:ascii="Times New Roman" w:hAnsi="Times New Roman" w:cs="Times New Roman"/>
                <w:i/>
              </w:rPr>
              <w:t xml:space="preserve"> approach</w:t>
            </w:r>
          </w:p>
          <w:p w14:paraId="30863BD7" w14:textId="77777777" w:rsidR="001938EA" w:rsidRPr="00231D8F" w:rsidRDefault="001938EA" w:rsidP="00AA62F0">
            <w:pPr>
              <w:tabs>
                <w:tab w:val="left" w:pos="3663"/>
              </w:tabs>
              <w:spacing w:line="240" w:lineRule="auto"/>
              <w:rPr>
                <w:rFonts w:ascii="Times New Roman" w:hAnsi="Times New Roman" w:cs="Times New Roman"/>
              </w:rPr>
            </w:pPr>
            <w:r w:rsidRPr="00231D8F">
              <w:rPr>
                <w:rFonts w:ascii="Times New Roman" w:hAnsi="Times New Roman" w:cs="Times New Roman"/>
              </w:rPr>
              <w:t>Valuing the motivational benefits and cognitive process of approaching tangible research problems</w:t>
            </w:r>
          </w:p>
        </w:tc>
        <w:tc>
          <w:tcPr>
            <w:tcW w:w="3614" w:type="dxa"/>
          </w:tcPr>
          <w:p w14:paraId="28B282BF"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Require students to respond to analysis of research needs by devising projects or action to solve them</w:t>
            </w:r>
          </w:p>
        </w:tc>
        <w:tc>
          <w:tcPr>
            <w:tcW w:w="3613" w:type="dxa"/>
          </w:tcPr>
          <w:p w14:paraId="634E927B"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provide  support as needed: time for mapping the challenge, collaborating peers, an audience for ideas, tools and materials</w:t>
            </w:r>
          </w:p>
        </w:tc>
        <w:tc>
          <w:tcPr>
            <w:tcW w:w="3614" w:type="dxa"/>
          </w:tcPr>
          <w:p w14:paraId="58566242"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Students work collaboratively and intensively on the problem (in parts and holistically) and present their solution</w:t>
            </w:r>
          </w:p>
        </w:tc>
      </w:tr>
      <w:tr w:rsidR="001938EA" w:rsidRPr="00231D8F" w14:paraId="0A116267" w14:textId="77777777" w:rsidTr="009256EA">
        <w:tc>
          <w:tcPr>
            <w:tcW w:w="3613" w:type="dxa"/>
          </w:tcPr>
          <w:p w14:paraId="12452321" w14:textId="77777777" w:rsidR="001938EA" w:rsidRPr="00231D8F" w:rsidRDefault="001938EA" w:rsidP="00AA62F0">
            <w:pPr>
              <w:tabs>
                <w:tab w:val="left" w:pos="3663"/>
              </w:tabs>
              <w:spacing w:line="240" w:lineRule="auto"/>
              <w:rPr>
                <w:rFonts w:ascii="Times New Roman" w:hAnsi="Times New Roman" w:cs="Times New Roman"/>
              </w:rPr>
            </w:pPr>
            <w:r w:rsidRPr="00231D8F">
              <w:rPr>
                <w:rFonts w:ascii="Times New Roman" w:hAnsi="Times New Roman" w:cs="Times New Roman"/>
                <w:b/>
                <w:i/>
              </w:rPr>
              <w:t xml:space="preserve">Standpoint-led </w:t>
            </w:r>
            <w:r w:rsidRPr="00231D8F">
              <w:rPr>
                <w:rFonts w:ascii="Times New Roman" w:hAnsi="Times New Roman" w:cs="Times New Roman"/>
                <w:i/>
              </w:rPr>
              <w:t>approach to teaching qualitative methods</w:t>
            </w:r>
          </w:p>
          <w:p w14:paraId="016152CD" w14:textId="77777777" w:rsidR="001938EA" w:rsidRPr="00231D8F" w:rsidRDefault="001938EA" w:rsidP="00AA62F0">
            <w:pPr>
              <w:tabs>
                <w:tab w:val="left" w:pos="3663"/>
              </w:tabs>
              <w:spacing w:line="240" w:lineRule="auto"/>
              <w:rPr>
                <w:rFonts w:ascii="Times New Roman" w:hAnsi="Times New Roman" w:cs="Times New Roman"/>
              </w:rPr>
            </w:pPr>
            <w:r w:rsidRPr="00231D8F">
              <w:rPr>
                <w:rFonts w:ascii="Times New Roman" w:hAnsi="Times New Roman" w:cs="Times New Roman"/>
              </w:rPr>
              <w:t>Valuing reflexivity and critical engagement</w:t>
            </w:r>
          </w:p>
        </w:tc>
        <w:tc>
          <w:tcPr>
            <w:tcW w:w="3614" w:type="dxa"/>
          </w:tcPr>
          <w:p w14:paraId="0DB24397"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Bring teachers’ and students’ standpoints to the foreground for examination</w:t>
            </w:r>
          </w:p>
        </w:tc>
        <w:tc>
          <w:tcPr>
            <w:tcW w:w="3613" w:type="dxa"/>
          </w:tcPr>
          <w:p w14:paraId="0AD7A56B"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encourage dialogue and model reflexivity</w:t>
            </w:r>
          </w:p>
        </w:tc>
        <w:tc>
          <w:tcPr>
            <w:tcW w:w="3614" w:type="dxa"/>
          </w:tcPr>
          <w:p w14:paraId="0DF1A346"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 xml:space="preserve">Students reflect upon, articulate, share and defend standpoints </w:t>
            </w:r>
          </w:p>
        </w:tc>
      </w:tr>
      <w:tr w:rsidR="001938EA" w:rsidRPr="00231D8F" w14:paraId="0F623A52" w14:textId="77777777" w:rsidTr="009256EA">
        <w:tc>
          <w:tcPr>
            <w:tcW w:w="3613" w:type="dxa"/>
          </w:tcPr>
          <w:p w14:paraId="57F8BA75" w14:textId="77777777" w:rsidR="001938EA" w:rsidRPr="00231D8F" w:rsidRDefault="001938EA" w:rsidP="00AA62F0">
            <w:pPr>
              <w:tabs>
                <w:tab w:val="left" w:pos="3663"/>
              </w:tabs>
              <w:spacing w:line="240" w:lineRule="auto"/>
              <w:rPr>
                <w:rFonts w:ascii="Times New Roman" w:hAnsi="Times New Roman" w:cs="Times New Roman"/>
                <w:i/>
              </w:rPr>
            </w:pPr>
            <w:r w:rsidRPr="00231D8F">
              <w:rPr>
                <w:rFonts w:ascii="Times New Roman" w:hAnsi="Times New Roman" w:cs="Times New Roman"/>
                <w:b/>
                <w:i/>
              </w:rPr>
              <w:t xml:space="preserve">Visual </w:t>
            </w:r>
            <w:r w:rsidRPr="00231D8F">
              <w:rPr>
                <w:rFonts w:ascii="Times New Roman" w:hAnsi="Times New Roman" w:cs="Times New Roman"/>
                <w:i/>
              </w:rPr>
              <w:t>approach to teaching statistics</w:t>
            </w:r>
          </w:p>
          <w:p w14:paraId="7C160310" w14:textId="77777777" w:rsidR="001938EA" w:rsidRPr="00231D8F" w:rsidRDefault="001938EA" w:rsidP="00AA62F0">
            <w:pPr>
              <w:tabs>
                <w:tab w:val="left" w:pos="3663"/>
              </w:tabs>
              <w:spacing w:line="240" w:lineRule="auto"/>
              <w:rPr>
                <w:rFonts w:ascii="Times New Roman" w:hAnsi="Times New Roman" w:cs="Times New Roman"/>
              </w:rPr>
            </w:pPr>
            <w:r w:rsidRPr="00231D8F">
              <w:rPr>
                <w:rFonts w:ascii="Times New Roman" w:hAnsi="Times New Roman" w:cs="Times New Roman"/>
              </w:rPr>
              <w:lastRenderedPageBreak/>
              <w:t>Valuing the power of the visual, putting it up front</w:t>
            </w:r>
          </w:p>
        </w:tc>
        <w:tc>
          <w:tcPr>
            <w:tcW w:w="3614" w:type="dxa"/>
          </w:tcPr>
          <w:p w14:paraId="73807C30"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lastRenderedPageBreak/>
              <w:t xml:space="preserve">Teachers use visual scaffolds to reduce the cognitive load </w:t>
            </w:r>
          </w:p>
        </w:tc>
        <w:tc>
          <w:tcPr>
            <w:tcW w:w="3613" w:type="dxa"/>
          </w:tcPr>
          <w:p w14:paraId="2329358D"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 xml:space="preserve">Students see data-related things quicker </w:t>
            </w:r>
          </w:p>
        </w:tc>
        <w:tc>
          <w:tcPr>
            <w:tcW w:w="3614" w:type="dxa"/>
          </w:tcPr>
          <w:p w14:paraId="7EF81C4A"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Students work with visual metaphors and visual software</w:t>
            </w:r>
          </w:p>
        </w:tc>
      </w:tr>
      <w:tr w:rsidR="001938EA" w:rsidRPr="00231D8F" w14:paraId="35AC2923" w14:textId="77777777" w:rsidTr="009256EA">
        <w:tc>
          <w:tcPr>
            <w:tcW w:w="3613" w:type="dxa"/>
          </w:tcPr>
          <w:p w14:paraId="466423F2" w14:textId="77777777" w:rsidR="001938EA" w:rsidRPr="00231D8F" w:rsidRDefault="001938EA" w:rsidP="00AA62F0">
            <w:pPr>
              <w:tabs>
                <w:tab w:val="left" w:pos="3663"/>
              </w:tabs>
              <w:spacing w:line="240" w:lineRule="auto"/>
              <w:rPr>
                <w:rFonts w:ascii="Times New Roman" w:hAnsi="Times New Roman" w:cs="Times New Roman"/>
                <w:i/>
              </w:rPr>
            </w:pPr>
            <w:r w:rsidRPr="00231D8F">
              <w:rPr>
                <w:rFonts w:ascii="Times New Roman" w:hAnsi="Times New Roman" w:cs="Times New Roman"/>
                <w:b/>
                <w:i/>
              </w:rPr>
              <w:t xml:space="preserve">Verbal </w:t>
            </w:r>
            <w:r w:rsidRPr="00231D8F">
              <w:rPr>
                <w:rFonts w:ascii="Times New Roman" w:hAnsi="Times New Roman" w:cs="Times New Roman"/>
                <w:i/>
              </w:rPr>
              <w:t>approach to teaching statistics</w:t>
            </w:r>
          </w:p>
          <w:p w14:paraId="0AC3D1AF" w14:textId="77777777" w:rsidR="001938EA" w:rsidRPr="00231D8F" w:rsidRDefault="001938EA" w:rsidP="00AA62F0">
            <w:pPr>
              <w:tabs>
                <w:tab w:val="left" w:pos="3663"/>
              </w:tabs>
              <w:spacing w:line="240" w:lineRule="auto"/>
              <w:rPr>
                <w:rFonts w:ascii="Times New Roman" w:hAnsi="Times New Roman" w:cs="Times New Roman"/>
                <w:b/>
              </w:rPr>
            </w:pPr>
            <w:r w:rsidRPr="00231D8F">
              <w:rPr>
                <w:rFonts w:ascii="Times New Roman" w:hAnsi="Times New Roman" w:cs="Times New Roman"/>
              </w:rPr>
              <w:t>Cohering premise that learning stats is like learning a foreign language</w:t>
            </w:r>
          </w:p>
        </w:tc>
        <w:tc>
          <w:tcPr>
            <w:tcW w:w="3614" w:type="dxa"/>
          </w:tcPr>
          <w:p w14:paraId="154FE717"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make the concepts understandable and backfill technical skills later</w:t>
            </w:r>
          </w:p>
        </w:tc>
        <w:tc>
          <w:tcPr>
            <w:tcW w:w="3613" w:type="dxa"/>
          </w:tcPr>
          <w:p w14:paraId="35611FE5"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Teachers translate between statistical and non-technical terms</w:t>
            </w:r>
          </w:p>
        </w:tc>
        <w:tc>
          <w:tcPr>
            <w:tcW w:w="3614" w:type="dxa"/>
          </w:tcPr>
          <w:p w14:paraId="6A11530E" w14:textId="77777777" w:rsidR="001938EA" w:rsidRPr="00231D8F" w:rsidRDefault="001938EA" w:rsidP="00AA62F0">
            <w:pPr>
              <w:spacing w:line="240" w:lineRule="auto"/>
              <w:rPr>
                <w:rFonts w:ascii="Times New Roman" w:hAnsi="Times New Roman" w:cs="Times New Roman"/>
              </w:rPr>
            </w:pPr>
            <w:r w:rsidRPr="00231D8F">
              <w:rPr>
                <w:rFonts w:ascii="Times New Roman" w:hAnsi="Times New Roman" w:cs="Times New Roman"/>
              </w:rPr>
              <w:t>Students develop glossaries</w:t>
            </w:r>
          </w:p>
        </w:tc>
      </w:tr>
    </w:tbl>
    <w:p w14:paraId="4712011B" w14:textId="77777777" w:rsidR="00AA62F0" w:rsidRPr="001043CF" w:rsidRDefault="00AA62F0" w:rsidP="00AA62F0">
      <w:pPr>
        <w:pStyle w:val="Tabletitle"/>
      </w:pPr>
      <w:r w:rsidRPr="001043CF">
        <w:t>Table 4  Example of typologically generated matrix of methods teaching</w:t>
      </w:r>
    </w:p>
    <w:p w14:paraId="3BD64CE8" w14:textId="77777777" w:rsidR="00AA62F0" w:rsidRDefault="00AA62F0" w:rsidP="0018595A">
      <w:pPr>
        <w:pStyle w:val="Tabletitle"/>
        <w:sectPr w:rsidR="00AA62F0" w:rsidSect="00AA62F0">
          <w:pgSz w:w="16840" w:h="11901" w:orient="landscape" w:code="9"/>
          <w:pgMar w:top="1701" w:right="1418" w:bottom="1701" w:left="1418" w:header="709" w:footer="709" w:gutter="0"/>
          <w:cols w:space="708"/>
          <w:docGrid w:linePitch="360"/>
        </w:sectPr>
      </w:pPr>
      <w:bookmarkStart w:id="0" w:name="_GoBack"/>
      <w:bookmarkEnd w:id="0"/>
    </w:p>
    <w:p w14:paraId="1B58CC14" w14:textId="77777777" w:rsidR="0018595A" w:rsidRPr="001043CF" w:rsidRDefault="0018595A" w:rsidP="0018595A"/>
    <w:p w14:paraId="2A1039AC" w14:textId="36B38231" w:rsidR="000643FC" w:rsidRPr="001043CF" w:rsidRDefault="000643FC" w:rsidP="00001F31">
      <w:pPr>
        <w:pStyle w:val="Newparagraph"/>
      </w:pPr>
      <w:r w:rsidRPr="001043CF">
        <w:t xml:space="preserve">Some of the approaches </w:t>
      </w:r>
      <w:r w:rsidR="007A1EDB" w:rsidRPr="001043CF">
        <w:t xml:space="preserve">in Table 4 </w:t>
      </w:r>
      <w:r w:rsidRPr="001043CF">
        <w:t>will be more familiar</w:t>
      </w:r>
      <w:r w:rsidR="007A1EDB" w:rsidRPr="001043CF">
        <w:t xml:space="preserve"> than others</w:t>
      </w:r>
      <w:r w:rsidRPr="001043CF">
        <w:t>. Familiar approaches (e.g. active learning, experiential learning) have attained a certain ‘level of emergence’ (Foucault 1972</w:t>
      </w:r>
      <w:r w:rsidR="00314DC7" w:rsidRPr="001043CF">
        <w:t xml:space="preserve">, </w:t>
      </w:r>
      <w:r w:rsidRPr="001043CF">
        <w:t xml:space="preserve">186) in pedagogical discourse, arguably meeting </w:t>
      </w:r>
      <w:r w:rsidR="00314DC7" w:rsidRPr="001043CF">
        <w:t xml:space="preserve">thresholds </w:t>
      </w:r>
      <w:r w:rsidRPr="001043CF">
        <w:t>that allow them to be recognised at a community level as meeting ‘norms of verification and coherence’ (</w:t>
      </w:r>
      <w:r w:rsidR="00314DC7" w:rsidRPr="001043CF">
        <w:t xml:space="preserve">see </w:t>
      </w:r>
      <w:r w:rsidR="00A92790">
        <w:t xml:space="preserve">Foucault 1972, in </w:t>
      </w:r>
      <w:r w:rsidRPr="001043CF">
        <w:t xml:space="preserve">Olssen </w:t>
      </w:r>
      <w:r w:rsidR="00314DC7" w:rsidRPr="001043CF">
        <w:t>2006</w:t>
      </w:r>
      <w:r w:rsidR="001043CF">
        <w:t>,</w:t>
      </w:r>
      <w:r w:rsidR="00314DC7" w:rsidRPr="001043CF">
        <w:t xml:space="preserve"> </w:t>
      </w:r>
      <w:r w:rsidRPr="001043CF">
        <w:t>22). Within our data, we observed approaches that have been individually developed, and were at an earlier level of emergence</w:t>
      </w:r>
      <w:r w:rsidR="004619A8" w:rsidRPr="001043CF">
        <w:t xml:space="preserve">. These are </w:t>
      </w:r>
      <w:r w:rsidRPr="001043CF">
        <w:t>functional for that teacher, but yet to be realised at a community level or fitted into</w:t>
      </w:r>
      <w:r w:rsidR="004619A8" w:rsidRPr="001043CF">
        <w:t xml:space="preserve"> wider</w:t>
      </w:r>
      <w:r w:rsidRPr="001043CF">
        <w:t xml:space="preserve"> pedagogical discourse. </w:t>
      </w:r>
      <w:r w:rsidR="00314DC7" w:rsidRPr="001043CF">
        <w:t>G</w:t>
      </w:r>
      <w:r w:rsidRPr="001043CF">
        <w:t>iven the lack of pedagogic culture in social science research methods</w:t>
      </w:r>
      <w:r w:rsidR="00A92790">
        <w:t>,</w:t>
      </w:r>
      <w:r w:rsidRPr="001043CF">
        <w:t xml:space="preserve"> and often the individualised experience of developing methods teaching in the social sciences</w:t>
      </w:r>
      <w:r w:rsidR="00A92790">
        <w:t>,</w:t>
      </w:r>
      <w:r w:rsidR="00314DC7" w:rsidRPr="001043CF">
        <w:t xml:space="preserve"> this is unsurprising</w:t>
      </w:r>
      <w:r w:rsidRPr="001043CF">
        <w:t xml:space="preserve">. </w:t>
      </w:r>
    </w:p>
    <w:p w14:paraId="3899E3CC" w14:textId="65032E69" w:rsidR="0053347E" w:rsidRDefault="0053347E" w:rsidP="00001F31">
      <w:pPr>
        <w:pStyle w:val="Newparagraph"/>
      </w:pPr>
      <w:r>
        <w:t>Strategies evident in the data l</w:t>
      </w:r>
      <w:r w:rsidRPr="009C5D20">
        <w:t>argely reflected the teachers’ approach</w:t>
      </w:r>
      <w:r>
        <w:t>es</w:t>
      </w:r>
      <w:r w:rsidR="00A92790">
        <w:t>. F</w:t>
      </w:r>
      <w:r w:rsidRPr="009C5D20">
        <w:t>or example, favouring active learning meant that Nita, a teacher of narrative methods didn’t mind which data she used in her teaching as long as students could ‘have a play’</w:t>
      </w:r>
      <w:r>
        <w:t xml:space="preserve">, play being the key strategy and active learning the dominant approach. </w:t>
      </w:r>
    </w:p>
    <w:p w14:paraId="02C4DC5C" w14:textId="77777777" w:rsidR="0053347E" w:rsidRPr="009C5D20" w:rsidRDefault="0053347E" w:rsidP="0053347E">
      <w:pPr>
        <w:pStyle w:val="Newparagraph"/>
      </w:pPr>
      <w:r w:rsidRPr="009C5D20">
        <w:t xml:space="preserve">Vertical analysis of the interview data with members of the expert panel often illuminated </w:t>
      </w:r>
      <w:r>
        <w:t>an ease</w:t>
      </w:r>
      <w:r w:rsidRPr="009C5D20">
        <w:t xml:space="preserve"> with the pedagogic rationale for their practices. Johnny Saldaña, a qualitative methods expert spoke of his teaching emerging from his perspective and ‘signature beliefs’. Believing that ‘we teach who we are’, he explained</w:t>
      </w:r>
    </w:p>
    <w:p w14:paraId="55466154" w14:textId="77777777" w:rsidR="0053347E" w:rsidRPr="009C5D20" w:rsidRDefault="0053347E" w:rsidP="0053347E">
      <w:pPr>
        <w:pStyle w:val="Displayedquotation"/>
      </w:pPr>
      <w:r w:rsidRPr="009C5D20">
        <w:t xml:space="preserve">Because I’m a theatre and drama educator, my profession demands that we be on our feet for studio work, and so again I transfer that same pedagogical practice into my research methods classroom. On-your-feet work might consist of such things as … improvisation perhaps … role play. </w:t>
      </w:r>
    </w:p>
    <w:p w14:paraId="0810BE4B" w14:textId="28565C39" w:rsidR="0053347E" w:rsidRPr="00F959D7" w:rsidRDefault="0053347E" w:rsidP="0053347E">
      <w:r w:rsidRPr="009C5D20">
        <w:t xml:space="preserve">Adopting a student-centred approach, he explained, meant he was ‘conscious of trying to make my own teaching as relevant to my students and participants as possible’, ‘and </w:t>
      </w:r>
      <w:r w:rsidRPr="009C5D20">
        <w:lastRenderedPageBreak/>
        <w:t>so I try to find themes that may cut across as many different audiences as possible’. He outlined how, ‘I feel I have to start from ground zero to make sure that we’re all sharing common vocabulary...’</w:t>
      </w:r>
      <w:r>
        <w:t>.</w:t>
      </w:r>
      <w:r w:rsidRPr="009C5D20">
        <w:t xml:space="preserve"> </w:t>
      </w:r>
      <w:r>
        <w:t xml:space="preserve">Johnny </w:t>
      </w:r>
      <w:r w:rsidRPr="009C5D20">
        <w:t>Saldaña</w:t>
      </w:r>
      <w:r w:rsidRPr="009C5D20" w:rsidDel="00B175CB">
        <w:t xml:space="preserve"> </w:t>
      </w:r>
      <w:r w:rsidRPr="009C5D20">
        <w:t>could move swiftly from articulating a student-centred approach to the associated task: ‘advanced methods require authentic data to be collected by the students in order to gain a sense of ownership’; moreover there was purposeful strategy in this, ‘the fact that they’re using their own data gives them a sense a personal ownership, and so they’re better able to analyse the data, because it comes from them’. Another of his strategies in teaching qualitative methods was using particular film clips</w:t>
      </w:r>
      <w:r>
        <w:t>:</w:t>
      </w:r>
      <w:r w:rsidRPr="009C5D20">
        <w:t xml:space="preserve"> ‘We show that clip because it is exactly parallel to what qualitative data analysts try to do with their own data corpus’ and he identified related tasks such as, ‘I take for example </w:t>
      </w:r>
      <w:r w:rsidRPr="009C5D20">
        <w:rPr>
          <w:i/>
        </w:rPr>
        <w:t xml:space="preserve">Kinsey </w:t>
      </w:r>
      <w:r>
        <w:t>[</w:t>
      </w:r>
      <w:r w:rsidRPr="009C5D20">
        <w:t>2004</w:t>
      </w:r>
      <w:r>
        <w:t>,</w:t>
      </w:r>
      <w:r w:rsidRPr="009C5D20">
        <w:t xml:space="preserve"> dir. Bill Condon</w:t>
      </w:r>
      <w:r>
        <w:t>]</w:t>
      </w:r>
      <w:r w:rsidRPr="009C5D20">
        <w:t xml:space="preserve">, </w:t>
      </w:r>
      <w:r>
        <w:t>…</w:t>
      </w:r>
      <w:r w:rsidRPr="009C5D20">
        <w:t xml:space="preserve"> I show the first </w:t>
      </w:r>
      <w:r>
        <w:t>90</w:t>
      </w:r>
      <w:r w:rsidRPr="009C5D20">
        <w:t xml:space="preserve"> seconds … Kinsey talking to his research assistant about how to interview’</w:t>
      </w:r>
      <w:r w:rsidRPr="001043CF">
        <w:t xml:space="preserve">. </w:t>
      </w:r>
      <w:r w:rsidR="0063381A" w:rsidRPr="001043CF">
        <w:t>Saldaña’s</w:t>
      </w:r>
      <w:r w:rsidRPr="001043CF">
        <w:t xml:space="preserve"> creative</w:t>
      </w:r>
      <w:r w:rsidRPr="009C5D20">
        <w:t xml:space="preserve">, arts-informed approach is also very experiential and he has a </w:t>
      </w:r>
      <w:r w:rsidRPr="00F959D7">
        <w:t>broad strategy of using embodiment. Specific tactics and tasks here include getting ‘students to read the data. …With talking the data you get to embody it right, you take cognitive ownership of it’. This one very experienced teacher showed an ability to move fluidly but coherently between approaches and their associated strategies, tactics and tasks</w:t>
      </w:r>
      <w:r>
        <w:t xml:space="preserve"> in his talk</w:t>
      </w:r>
      <w:r w:rsidRPr="00F959D7">
        <w:t xml:space="preserve">. </w:t>
      </w:r>
    </w:p>
    <w:p w14:paraId="05610782" w14:textId="60AB8EEE" w:rsidR="0053347E" w:rsidRPr="001043CF" w:rsidRDefault="0053347E" w:rsidP="0053347E">
      <w:pPr>
        <w:pStyle w:val="Newparagraph"/>
      </w:pPr>
      <w:r w:rsidRPr="00F959D7">
        <w:t xml:space="preserve">The typology does not indicate that the starting point for teachers has to be an approach. </w:t>
      </w:r>
      <w:r w:rsidRPr="002E6EE9">
        <w:t>In interview, Richard Rogers</w:t>
      </w:r>
      <w:r>
        <w:t xml:space="preserve">, </w:t>
      </w:r>
      <w:r w:rsidRPr="002E6EE9">
        <w:t xml:space="preserve">a digital ‘quali-quanti’ methods expert, described his digital methods summer schools starting with outlining his </w:t>
      </w:r>
      <w:r>
        <w:t>strategies</w:t>
      </w:r>
      <w:r w:rsidRPr="002E6EE9">
        <w:t xml:space="preserve"> in which groups of students hear from subject matter experts on their analytical needs within their fields and how internet analysis might add something; ‘The group then operationalise the subject experts’ analytical needs into sort of research projects for groups of students to tackle.’ The interviewer engaged in a form of scaffolding to help this teacher articulate the approach or strategy behind this, suggesting ‘it appears to me </w:t>
      </w:r>
      <w:r w:rsidRPr="002E6EE9">
        <w:lastRenderedPageBreak/>
        <w:t>that the teaching is kind of blurring the line between real world active research and the kind of sandpit of the learning environment’</w:t>
      </w:r>
      <w:r>
        <w:t>.</w:t>
      </w:r>
      <w:r w:rsidRPr="002E6EE9">
        <w:t xml:space="preserve"> </w:t>
      </w:r>
      <w:r>
        <w:t>O</w:t>
      </w:r>
      <w:r w:rsidRPr="002E6EE9">
        <w:t>n affirmation of this</w:t>
      </w:r>
      <w:r>
        <w:t>,</w:t>
      </w:r>
      <w:r w:rsidRPr="002E6EE9">
        <w:t xml:space="preserve"> </w:t>
      </w:r>
      <w:r>
        <w:t xml:space="preserve">she </w:t>
      </w:r>
      <w:r w:rsidRPr="002E6EE9">
        <w:t>offer</w:t>
      </w:r>
      <w:r>
        <w:t>ed</w:t>
      </w:r>
      <w:r w:rsidRPr="002E6EE9">
        <w:t xml:space="preserve"> a pedagogical label </w:t>
      </w:r>
      <w:r>
        <w:t xml:space="preserve">of </w:t>
      </w:r>
      <w:r w:rsidRPr="002E6EE9">
        <w:t>problem-based learning approach</w:t>
      </w:r>
      <w:r>
        <w:t xml:space="preserve"> </w:t>
      </w:r>
      <w:r w:rsidRPr="002E6EE9">
        <w:t xml:space="preserve">that might fit what has been described. </w:t>
      </w:r>
      <w:r>
        <w:t xml:space="preserve">While unfamiliar with this pedagogic language, </w:t>
      </w:r>
      <w:r w:rsidRPr="002E6EE9">
        <w:t xml:space="preserve">the concept helped </w:t>
      </w:r>
      <w:r>
        <w:t>Richard Rogers</w:t>
      </w:r>
      <w:r w:rsidRPr="002E6EE9">
        <w:t xml:space="preserve"> to reflect and articulate further, first reiterating the students’ task in addressing ‘some sort of real</w:t>
      </w:r>
      <w:r>
        <w:t>-</w:t>
      </w:r>
      <w:r w:rsidRPr="002E6EE9">
        <w:t>world problem’ and then addressing its purpose, what it is a tactic for doing</w:t>
      </w:r>
      <w:r w:rsidRPr="00A15300">
        <w:t>. Analysis of the dialogue shows that questioning about ‘working approaches’ enabled the process of making explicit the strategies that had seemed ‘hard to know’.</w:t>
      </w:r>
      <w:r w:rsidR="00AF0FDF" w:rsidRPr="00A15300">
        <w:t xml:space="preserve"> </w:t>
      </w:r>
      <w:r w:rsidR="00AF0FDF" w:rsidRPr="001043CF">
        <w:t xml:space="preserve">This gestures both to the implicit nature of much pedagogic knowledge and </w:t>
      </w:r>
      <w:r w:rsidR="00A15300" w:rsidRPr="001043CF">
        <w:t xml:space="preserve">to </w:t>
      </w:r>
      <w:r w:rsidR="00AF0FDF" w:rsidRPr="001043CF">
        <w:t>the importance of creating a typology in which emergent pedagogic knowledge can be recognise</w:t>
      </w:r>
      <w:r w:rsidR="00392EDD" w:rsidRPr="001043CF">
        <w:t>d as foundational</w:t>
      </w:r>
      <w:r w:rsidR="00A15300" w:rsidRPr="001043CF">
        <w:t xml:space="preserve"> for individuals</w:t>
      </w:r>
      <w:r w:rsidR="00392EDD" w:rsidRPr="001043CF">
        <w:t xml:space="preserve"> on the way to </w:t>
      </w:r>
      <w:r w:rsidR="005D7D04" w:rsidRPr="001043CF">
        <w:t xml:space="preserve">entering wider discourses. </w:t>
      </w:r>
    </w:p>
    <w:p w14:paraId="7669CBE8" w14:textId="77777777" w:rsidR="0053347E" w:rsidRDefault="0053347E" w:rsidP="0053347E">
      <w:pPr>
        <w:pStyle w:val="Newparagraph"/>
      </w:pPr>
      <w:r w:rsidRPr="001043CF">
        <w:t>Our reading of this participant’s pedagogy is that this is someone with expert in-</w:t>
      </w:r>
      <w:r w:rsidRPr="002E6EE9">
        <w:t xml:space="preserve">class </w:t>
      </w:r>
      <w:r w:rsidRPr="006F159C">
        <w:rPr>
          <w:i/>
        </w:rPr>
        <w:t>tactics</w:t>
      </w:r>
      <w:r w:rsidRPr="002E6EE9">
        <w:t xml:space="preserve">, (a hackathon and data sprint), and honed </w:t>
      </w:r>
      <w:r w:rsidRPr="006F159C">
        <w:rPr>
          <w:i/>
        </w:rPr>
        <w:t>tasks</w:t>
      </w:r>
      <w:r w:rsidRPr="002E6EE9">
        <w:t xml:space="preserve">, (covering the full range of an authentic digital research project activity). Taken together, these articulate implicit </w:t>
      </w:r>
      <w:r w:rsidRPr="006F159C">
        <w:rPr>
          <w:i/>
        </w:rPr>
        <w:t>strategies</w:t>
      </w:r>
      <w:r w:rsidRPr="002E6EE9">
        <w:t xml:space="preserve"> that take the students through a steep learning curve, expressing an </w:t>
      </w:r>
      <w:r w:rsidRPr="006F159C">
        <w:rPr>
          <w:i/>
        </w:rPr>
        <w:t>approach</w:t>
      </w:r>
      <w:r w:rsidRPr="002E6EE9">
        <w:t xml:space="preserve"> that resembles problem-based learning and that holds transcultural learning and interdisciplinarity as a core value. In </w:t>
      </w:r>
      <w:r w:rsidRPr="008E2F97">
        <w:t>sum, it is an active and immersive approach built around working authentically with data and it shows the implicit nature of teachers’ craft knowledge and pedagogical content knowledge.</w:t>
      </w:r>
    </w:p>
    <w:p w14:paraId="53C080A3" w14:textId="77777777" w:rsidR="0053347E" w:rsidRDefault="0053347E" w:rsidP="0053347E">
      <w:pPr>
        <w:pStyle w:val="Newparagraph"/>
      </w:pPr>
      <w:r w:rsidRPr="008E2F97">
        <w:t xml:space="preserve">Exploring the typology in relation to the </w:t>
      </w:r>
      <w:r>
        <w:t xml:space="preserve">teaching of qualitative (and mixed) methods more widely the picture is dominated by approaches that are student-centred, active and experiential, employed strategically to facilitate deep, ethical engagement with methods, standpoints and data. Teachers of qualitative methods affirmed the conceptually difficult content of their teaching, particularly facilitating and provoking necessary reflexivity. Examples include the consensus among teachers in focus group 1 </w:t>
      </w:r>
      <w:r>
        <w:lastRenderedPageBreak/>
        <w:t xml:space="preserve">that the </w:t>
      </w:r>
      <w:r w:rsidRPr="00C74D58">
        <w:t>best courses have ‘lots of space for people to talk about their own research and tie it</w:t>
      </w:r>
      <w:r>
        <w:t xml:space="preserve"> …</w:t>
      </w:r>
      <w:r w:rsidRPr="00C74D58">
        <w:t xml:space="preserve"> whatever the focus is, to their research</w:t>
      </w:r>
      <w:r>
        <w:t>’, and that this ‘</w:t>
      </w:r>
      <w:r w:rsidRPr="00C74D58">
        <w:t>will include a sort of reflexive moment, thinking a</w:t>
      </w:r>
      <w:r>
        <w:t>bout their position within that</w:t>
      </w:r>
      <w:r w:rsidRPr="00C74D58">
        <w:t>’</w:t>
      </w:r>
      <w:r>
        <w:t xml:space="preserve">. They observed too that, ‘Sometimes really simples exercises can be effective’, even ‘mind-blowing’. Similarly, Amanda Coffey, a qualitative expert interviewee argued that </w:t>
      </w:r>
      <w:r w:rsidRPr="007C69B4">
        <w:t>‘you cannot teach someone to become a qualitative research practitioner, actually to be able to do it and do it well, without them actually practicing’</w:t>
      </w:r>
      <w:r>
        <w:t>; ‘we have to get them into the field’. This view was echoed emphatically by Yvonna Lincoln in arguing, ‘you can’t teach fieldwork methods as a theoretical course’. Within a US context, Lincoln endorsed the idea that teaching required finding ways for the learners to ‘inspect their own</w:t>
      </w:r>
      <w:r w:rsidRPr="00EC4EDB">
        <w:t xml:space="preserve"> interests in a very deep way, before they choose a lens</w:t>
      </w:r>
      <w:r>
        <w:t xml:space="preserve">’, which might be an indigenous lens or another examined standpoint. Bagele Chilisa, a qualitative expert based in Botswana, argued that concepts are learned through application, students must ‘apply what they have learned’. Experiential approaches were associated with </w:t>
      </w:r>
      <w:r w:rsidRPr="005B2652">
        <w:rPr>
          <w:rFonts w:cs="Calibri"/>
          <w:color w:val="000000"/>
        </w:rPr>
        <w:t>strategies</w:t>
      </w:r>
      <w:r>
        <w:rPr>
          <w:rFonts w:cs="Calibri"/>
          <w:color w:val="000000"/>
        </w:rPr>
        <w:t xml:space="preserve"> for</w:t>
      </w:r>
      <w:r w:rsidRPr="005B2652">
        <w:rPr>
          <w:rFonts w:cs="Calibri"/>
          <w:color w:val="000000"/>
        </w:rPr>
        <w:t xml:space="preserve"> attending to the sensory</w:t>
      </w:r>
      <w:r>
        <w:rPr>
          <w:rFonts w:cs="Calibri"/>
          <w:color w:val="000000"/>
        </w:rPr>
        <w:t>, the tacit</w:t>
      </w:r>
      <w:r w:rsidRPr="005B2652">
        <w:rPr>
          <w:rFonts w:cs="Calibri"/>
          <w:color w:val="000000"/>
        </w:rPr>
        <w:t xml:space="preserve"> and the embodied</w:t>
      </w:r>
      <w:r>
        <w:rPr>
          <w:rFonts w:cs="Calibri"/>
          <w:color w:val="000000"/>
        </w:rPr>
        <w:t>.</w:t>
      </w:r>
      <w:r>
        <w:t xml:space="preserve"> </w:t>
      </w:r>
    </w:p>
    <w:p w14:paraId="1B13C2B6" w14:textId="70CA5F72" w:rsidR="00387219" w:rsidRDefault="0053347E" w:rsidP="00387219">
      <w:pPr>
        <w:pStyle w:val="Newparagraph"/>
      </w:pPr>
      <w:r>
        <w:t xml:space="preserve">The teachers of quantitative methods in the study often foregrounded their tactics for addressing widely perceived anxiety among students. This influenced their choice of data and disciplinary examples to work with, leading them towards toward student-centred approaches combined with humour and enthusiasm. Chris Wild, expert interviewee from New Zealand had devised a strongly visual approach and W. Paul Vogt from the USA had developed a ‘translational’ approach, using non-technical language. These approaches were designed to make difficult content accessible (see </w:t>
      </w:r>
      <w:r w:rsidR="000F51AA">
        <w:t xml:space="preserve">Nind </w:t>
      </w:r>
      <w:r w:rsidR="001043CF">
        <w:t>and</w:t>
      </w:r>
      <w:r w:rsidR="000F51AA">
        <w:t xml:space="preserve"> Lewthwaite</w:t>
      </w:r>
      <w:r w:rsidR="005671D1">
        <w:t xml:space="preserve"> </w:t>
      </w:r>
      <w:r>
        <w:t xml:space="preserve">2018b). In this vein, strategies included </w:t>
      </w:r>
      <w:r w:rsidRPr="00B039FA">
        <w:t>chunking</w:t>
      </w:r>
      <w:r>
        <w:t xml:space="preserve"> material</w:t>
      </w:r>
      <w:r w:rsidRPr="00B039FA">
        <w:t xml:space="preserve">, </w:t>
      </w:r>
      <w:r>
        <w:t xml:space="preserve">complexity reduction strategies such as </w:t>
      </w:r>
      <w:r w:rsidRPr="00B039FA">
        <w:t>bootstrapping</w:t>
      </w:r>
      <w:r>
        <w:t xml:space="preserve"> (a statistical operation also used </w:t>
      </w:r>
      <w:r>
        <w:lastRenderedPageBreak/>
        <w:t>as a pedagogic imperative (Wild et al. 2017))</w:t>
      </w:r>
      <w:r w:rsidRPr="00B039FA">
        <w:t xml:space="preserve">, </w:t>
      </w:r>
      <w:r>
        <w:t xml:space="preserve">removing obstacles, stream-lined software, translating terms, </w:t>
      </w:r>
      <w:r w:rsidRPr="00B039FA">
        <w:t>back</w:t>
      </w:r>
      <w:r>
        <w:t>filling with technical skill,</w:t>
      </w:r>
      <w:r w:rsidRPr="00B039FA">
        <w:t xml:space="preserve"> and scaffolding</w:t>
      </w:r>
      <w:r w:rsidR="00387219">
        <w:t xml:space="preserve"> concepts.</w:t>
      </w:r>
    </w:p>
    <w:p w14:paraId="60217D42" w14:textId="23F2F092" w:rsidR="00387219" w:rsidRDefault="0053347E" w:rsidP="00387219">
      <w:pPr>
        <w:pStyle w:val="Newparagraph"/>
        <w:rPr>
          <w:rFonts w:cs="Calibri"/>
          <w:color w:val="000000"/>
        </w:rPr>
      </w:pPr>
      <w:r>
        <w:t xml:space="preserve">Some participating teachers </w:t>
      </w:r>
      <w:r w:rsidRPr="002D7971">
        <w:t>did not identify their teaching in terms of any known teaching approach</w:t>
      </w:r>
      <w:r>
        <w:t xml:space="preserve">, </w:t>
      </w:r>
      <w:r w:rsidRPr="002D7971">
        <w:t xml:space="preserve">though from other things </w:t>
      </w:r>
      <w:r>
        <w:t xml:space="preserve">they </w:t>
      </w:r>
      <w:r w:rsidRPr="002D7971">
        <w:t xml:space="preserve">said the approach </w:t>
      </w:r>
      <w:r>
        <w:t xml:space="preserve">might be interpreted as one of </w:t>
      </w:r>
      <w:r w:rsidRPr="00AA7F3C">
        <w:t>active learning, experiential learning, student-centred learning, peer/interactive/collaborative/dialogical l</w:t>
      </w:r>
      <w:r>
        <w:t>earning, problem-based or</w:t>
      </w:r>
      <w:r w:rsidRPr="00AA7F3C">
        <w:t xml:space="preserve"> independent learning</w:t>
      </w:r>
      <w:r>
        <w:t xml:space="preserve">. When participating teachers did </w:t>
      </w:r>
      <w:r w:rsidRPr="00AA7F3C">
        <w:t>define their pedagogic approach in pedagogic language</w:t>
      </w:r>
      <w:r>
        <w:t xml:space="preserve">, the labels of </w:t>
      </w:r>
      <w:r w:rsidRPr="00AA7F3C">
        <w:t>experiential, active or interactive learning</w:t>
      </w:r>
      <w:r>
        <w:t xml:space="preserve"> were used</w:t>
      </w:r>
      <w:r w:rsidRPr="00AA7F3C">
        <w:t>.</w:t>
      </w:r>
      <w:r>
        <w:t xml:space="preserve"> The collaborative dimension to learning was important to </w:t>
      </w:r>
      <w:r w:rsidRPr="00AA7F3C">
        <w:t>teachers of qualitative</w:t>
      </w:r>
      <w:r>
        <w:t>, digital</w:t>
      </w:r>
      <w:r w:rsidRPr="00AA7F3C">
        <w:t xml:space="preserve"> and mixed methods</w:t>
      </w:r>
      <w:r>
        <w:t>,</w:t>
      </w:r>
      <w:r w:rsidRPr="00AA7F3C">
        <w:t xml:space="preserve"> but</w:t>
      </w:r>
      <w:r>
        <w:t xml:space="preserve"> learning</w:t>
      </w:r>
      <w:r w:rsidRPr="00AA7F3C">
        <w:t xml:space="preserve"> </w:t>
      </w:r>
      <w:r>
        <w:t>within</w:t>
      </w:r>
      <w:r w:rsidRPr="000E3CE4">
        <w:t xml:space="preserve"> quantitative methods</w:t>
      </w:r>
      <w:r>
        <w:t xml:space="preserve"> was more often individualized</w:t>
      </w:r>
      <w:r w:rsidRPr="000E3CE4">
        <w:t>.</w:t>
      </w:r>
      <w:r>
        <w:t xml:space="preserve"> </w:t>
      </w:r>
      <w:r>
        <w:rPr>
          <w:rFonts w:cs="Calibri"/>
          <w:color w:val="000000"/>
        </w:rPr>
        <w:t xml:space="preserve">Some methods experts articulated a whole approach, with or without reference to theory, but representing a holistic response to the many challenges. One example was the dialogical </w:t>
      </w:r>
      <w:r w:rsidRPr="00375D3C">
        <w:rPr>
          <w:rFonts w:cs="Calibri"/>
          <w:color w:val="000000"/>
        </w:rPr>
        <w:t>standpoint-led approach</w:t>
      </w:r>
      <w:r>
        <w:rPr>
          <w:rFonts w:cs="Calibri"/>
          <w:color w:val="000000"/>
        </w:rPr>
        <w:t xml:space="preserve"> discussed by Yvonna Lincoln, Sharlene Hesse-Biber, Bagele Chilisa and teachers in focus groups 4 and 5. This approach was accompanied by tasks of articulating and defending standpoints</w:t>
      </w:r>
      <w:r w:rsidR="00C51D96">
        <w:rPr>
          <w:rFonts w:cs="Calibri"/>
          <w:color w:val="000000"/>
        </w:rPr>
        <w:t xml:space="preserve"> (see Table 4)</w:t>
      </w:r>
      <w:r>
        <w:rPr>
          <w:rFonts w:cs="Calibri"/>
          <w:color w:val="000000"/>
        </w:rPr>
        <w:t xml:space="preserve">. </w:t>
      </w:r>
    </w:p>
    <w:p w14:paraId="7FCF2F34" w14:textId="77777777" w:rsidR="00387219" w:rsidRDefault="0053347E" w:rsidP="00387219">
      <w:pPr>
        <w:pStyle w:val="Newparagraph"/>
      </w:pPr>
      <w:r>
        <w:rPr>
          <w:rFonts w:cs="Calibri"/>
          <w:color w:val="000000"/>
        </w:rPr>
        <w:t xml:space="preserve">The strategies that participating teachers depicted spanned strategies to structure the sequencing of content, to build bridges into new knowledge and skills, to balance breadth and depth and data and theory, and strategies to maintain engagement. Within these, they had tactics for finding out about student needs (judicious questioning including probing, prompting, ‘experience sampling’ and polling) and connecting with their interests (chiming in, storytelling, data-based vignettes, research examples). They had tactics for making data and methods relevant (seizing opportunities as they arose, ‘teachable moments’), and for enhancing understanding (modelling decision-making in action). Many tactics became most apparent through case studies, where they could be </w:t>
      </w:r>
      <w:r>
        <w:rPr>
          <w:rFonts w:cs="Calibri"/>
          <w:color w:val="000000"/>
        </w:rPr>
        <w:lastRenderedPageBreak/>
        <w:t xml:space="preserve">observed by the research team. In interviews and focus groups, reporting these tactical activities in the abstract is difficult, since tactics are </w:t>
      </w:r>
      <w:r>
        <w:t xml:space="preserve">immediate and </w:t>
      </w:r>
      <w:r w:rsidRPr="008E2F97">
        <w:t xml:space="preserve">responsive to feedback in situ. </w:t>
      </w:r>
      <w:r w:rsidRPr="0095537C">
        <w:t>Through case study, for example, rhetorical devices that express tacit pedagogic knowledge become</w:t>
      </w:r>
      <w:r w:rsidRPr="00A02791">
        <w:t xml:space="preserve"> visible. </w:t>
      </w:r>
    </w:p>
    <w:p w14:paraId="4A52E31D" w14:textId="7C16A97C" w:rsidR="0053347E" w:rsidRPr="008E2F97" w:rsidRDefault="0053347E" w:rsidP="00387219">
      <w:pPr>
        <w:pStyle w:val="Newparagraph"/>
      </w:pPr>
      <w:r w:rsidRPr="00A02791">
        <w:t>In observation, Larry, a teacher of computational social science</w:t>
      </w:r>
      <w:r>
        <w:t xml:space="preserve"> </w:t>
      </w:r>
      <w:r w:rsidRPr="008E2F97">
        <w:t>demonstrate</w:t>
      </w:r>
      <w:r w:rsidRPr="0095537C">
        <w:t>d</w:t>
      </w:r>
      <w:r w:rsidRPr="008E2F97">
        <w:t xml:space="preserve"> </w:t>
      </w:r>
      <w:r w:rsidRPr="001043CF">
        <w:t xml:space="preserve">rich </w:t>
      </w:r>
      <w:r w:rsidR="00A2352B" w:rsidRPr="001043CF">
        <w:t xml:space="preserve">rhetorical </w:t>
      </w:r>
      <w:r w:rsidRPr="001043CF">
        <w:t>ped</w:t>
      </w:r>
      <w:r w:rsidR="001043CF" w:rsidRPr="001043CF">
        <w:t>agogical strategies and tactics</w:t>
      </w:r>
      <w:r w:rsidRPr="001043CF">
        <w:t xml:space="preserve">. In his classroom talk threshold </w:t>
      </w:r>
      <w:r w:rsidRPr="0095537C">
        <w:t>concepts</w:t>
      </w:r>
      <w:r w:rsidRPr="0095537C">
        <w:rPr>
          <w:rStyle w:val="FootnoteReference"/>
        </w:rPr>
        <w:footnoteReference w:id="1"/>
      </w:r>
      <w:r w:rsidRPr="0095537C">
        <w:t xml:space="preserve"> </w:t>
      </w:r>
      <w:r>
        <w:t>we</w:t>
      </w:r>
      <w:r w:rsidRPr="0095537C">
        <w:t xml:space="preserve">re outlined on the way to more advanced and complex material, ‘It’s very important to understand that basic point’. Difficulty and confounding factors </w:t>
      </w:r>
      <w:r>
        <w:t>we</w:t>
      </w:r>
      <w:r w:rsidRPr="0095537C">
        <w:t>re highlighted: ‘It's very difficult to identify...’</w:t>
      </w:r>
      <w:r>
        <w:t>.</w:t>
      </w:r>
      <w:r w:rsidRPr="0095537C">
        <w:t xml:space="preserve"> Larry used specifying language to suggest overall trends that allow confidence in the methods chosen</w:t>
      </w:r>
      <w:r>
        <w:t>,</w:t>
      </w:r>
      <w:r w:rsidRPr="0095537C">
        <w:t xml:space="preserve"> ‘With very few exceptions...’</w:t>
      </w:r>
      <w:r>
        <w:t>,</w:t>
      </w:r>
      <w:r w:rsidRPr="0095537C">
        <w:t xml:space="preserve"> </w:t>
      </w:r>
      <w:r>
        <w:t>and h</w:t>
      </w:r>
      <w:r w:rsidRPr="0095537C">
        <w:t>e gestured to the influence of different international contexts</w:t>
      </w:r>
      <w:r>
        <w:t xml:space="preserve">. </w:t>
      </w:r>
      <w:r w:rsidRPr="00EF15A7">
        <w:t>Perhaps most importantly (across all these indices), Larry explicitly modelled ways of thinking: ‘You can think about [X] by [doing Y]’, ‘This is a good way to think about the research design ...’</w:t>
      </w:r>
      <w:r>
        <w:t>.</w:t>
      </w:r>
      <w:r w:rsidRPr="00EF15A7">
        <w:t xml:space="preserve"> </w:t>
      </w:r>
      <w:r>
        <w:t>This strategy</w:t>
      </w:r>
      <w:r w:rsidRPr="00EF15A7">
        <w:t xml:space="preserve"> show</w:t>
      </w:r>
      <w:r>
        <w:t>s</w:t>
      </w:r>
      <w:r w:rsidRPr="00EF15A7">
        <w:t xml:space="preserve"> how he ascribes value as an active researcher and teacher, modelling where reflection and attention should be place</w:t>
      </w:r>
      <w:r>
        <w:t>d</w:t>
      </w:r>
      <w:r w:rsidRPr="00EF15A7">
        <w:t xml:space="preserve">, ‘You must always ask yourself ...’. Taken together, these examples show how </w:t>
      </w:r>
      <w:r>
        <w:t xml:space="preserve">an approach that is </w:t>
      </w:r>
      <w:r w:rsidRPr="00EF15A7">
        <w:t>nominally didactic</w:t>
      </w:r>
      <w:r>
        <w:t xml:space="preserve"> in</w:t>
      </w:r>
      <w:r w:rsidRPr="00EF15A7">
        <w:t xml:space="preserve"> exposition-based teaching (the quantitative lecture) </w:t>
      </w:r>
      <w:r>
        <w:t>is rich in pedagogic strategies and</w:t>
      </w:r>
      <w:r w:rsidRPr="00EF15A7">
        <w:t xml:space="preserve"> tactics</w:t>
      </w:r>
      <w:r>
        <w:t xml:space="preserve">. </w:t>
      </w:r>
    </w:p>
    <w:p w14:paraId="68DFA7E0" w14:textId="77777777" w:rsidR="0053347E" w:rsidRPr="00256AD8" w:rsidRDefault="0053347E" w:rsidP="0053347E">
      <w:pPr>
        <w:pStyle w:val="Heading1"/>
      </w:pPr>
      <w:r w:rsidRPr="00256AD8">
        <w:t>Discussion</w:t>
      </w:r>
    </w:p>
    <w:p w14:paraId="67381C22" w14:textId="194B69D8" w:rsidR="0053347E" w:rsidRPr="00105F3F" w:rsidRDefault="0053347E" w:rsidP="0053347E">
      <w:r w:rsidRPr="00EF15A7">
        <w:t xml:space="preserve">While the categories in an ideal typology are mutually exclusive with total coverage in a system that is complete, we recognise the need for ‘dynamic compromise’ (Bowker </w:t>
      </w:r>
      <w:r w:rsidR="00F81467">
        <w:t>and</w:t>
      </w:r>
      <w:r w:rsidRPr="00EF15A7">
        <w:t xml:space="preserve"> </w:t>
      </w:r>
      <w:r>
        <w:t>Star 1999,</w:t>
      </w:r>
      <w:r w:rsidRPr="00EF15A7">
        <w:t xml:space="preserve"> 55) in classifying teaching and learning. In the process of coding, and in </w:t>
      </w:r>
      <w:r w:rsidRPr="00EF15A7">
        <w:lastRenderedPageBreak/>
        <w:t>talking with teachers it has sometimes been useful to think in the broader categorical terms of approach-strategy and strategy-</w:t>
      </w:r>
      <w:r>
        <w:t>tactics</w:t>
      </w:r>
      <w:r w:rsidRPr="00EF15A7">
        <w:t xml:space="preserve"> because of the way that each permeate</w:t>
      </w:r>
      <w:r>
        <w:t>s</w:t>
      </w:r>
      <w:r w:rsidRPr="00EF15A7">
        <w:t xml:space="preserve"> the other. In this respect, our categories are not mutually exclusive. Teachers and researchers wanting to use the typology are encouraged to build in the flexibility they need. The porous nature of the typology we have generated is intentional. It allows for fluidity between its parts and also works against creating standardised expectations. This is important, as any typology will valorise some cases, categories or points of view and obscure others (</w:t>
      </w:r>
      <w:r>
        <w:t xml:space="preserve">Bowker </w:t>
      </w:r>
      <w:r w:rsidR="00F81467">
        <w:t>and</w:t>
      </w:r>
      <w:r w:rsidRPr="00C4710A">
        <w:t xml:space="preserve"> Star </w:t>
      </w:r>
      <w:r>
        <w:t>1999</w:t>
      </w:r>
      <w:r w:rsidRPr="00EF15A7">
        <w:t xml:space="preserve">). Even a descriptive typology soon takes on prescriptive qualities if the categories become naturalised into what people </w:t>
      </w:r>
      <w:r w:rsidRPr="00EF15A7">
        <w:rPr>
          <w:i/>
        </w:rPr>
        <w:t>should</w:t>
      </w:r>
      <w:r w:rsidRPr="00EF15A7">
        <w:t xml:space="preserve"> do. </w:t>
      </w:r>
      <w:r>
        <w:t>In weighing all these factors</w:t>
      </w:r>
      <w:r w:rsidRPr="00EF15A7">
        <w:t xml:space="preserve">, we have retained the simplicity of the central nomenclature </w:t>
      </w:r>
      <w:r>
        <w:t xml:space="preserve">of our categories </w:t>
      </w:r>
      <w:r w:rsidRPr="00EF15A7">
        <w:t xml:space="preserve">as it provides a structure that has utility. This is </w:t>
      </w:r>
      <w:r w:rsidRPr="00180D71">
        <w:t xml:space="preserve">to reduce </w:t>
      </w:r>
      <w:r w:rsidRPr="00C4710A">
        <w:t xml:space="preserve">complexity so that comparisons and relationships can be explored and made visible (Bailey 1994; </w:t>
      </w:r>
      <w:r>
        <w:t xml:space="preserve">Bowker </w:t>
      </w:r>
      <w:r w:rsidR="00F81467">
        <w:t>and</w:t>
      </w:r>
      <w:r w:rsidRPr="00C4710A">
        <w:t xml:space="preserve"> Star 1999</w:t>
      </w:r>
      <w:r>
        <w:t xml:space="preserve">; </w:t>
      </w:r>
      <w:r w:rsidRPr="00C4710A">
        <w:t>Kluge 2000). In the field of pedagogy</w:t>
      </w:r>
      <w:r>
        <w:t>,</w:t>
      </w:r>
      <w:r w:rsidRPr="00C4710A">
        <w:t xml:space="preserve"> it should give </w:t>
      </w:r>
      <w:r>
        <w:t>practitioners</w:t>
      </w:r>
      <w:r w:rsidRPr="00C4710A">
        <w:t xml:space="preserve"> </w:t>
      </w:r>
      <w:r>
        <w:t xml:space="preserve">conceptual </w:t>
      </w:r>
      <w:r w:rsidRPr="00C4710A">
        <w:t xml:space="preserve">tools to think with and a language with which </w:t>
      </w:r>
      <w:r>
        <w:t>to</w:t>
      </w:r>
      <w:r w:rsidRPr="00C4710A">
        <w:t xml:space="preserve"> share </w:t>
      </w:r>
      <w:r w:rsidRPr="001043CF">
        <w:t>practices. This language needs to have texture and depth</w:t>
      </w:r>
      <w:r w:rsidR="007D5E34" w:rsidRPr="001043CF">
        <w:t xml:space="preserve"> as well as some degree of precision and simplicity to allow it to travel well so that pedagogical content knowledge can be more readily </w:t>
      </w:r>
      <w:r w:rsidR="00F54683" w:rsidRPr="001043CF">
        <w:t>passed on and so that the pedagogical culture can build</w:t>
      </w:r>
      <w:r w:rsidRPr="001043CF">
        <w:t xml:space="preserve">. In </w:t>
      </w:r>
      <w:r w:rsidRPr="00EF15A7">
        <w:t xml:space="preserve">presenting the </w:t>
      </w:r>
      <w:r>
        <w:t xml:space="preserve">categories of the </w:t>
      </w:r>
      <w:r w:rsidRPr="00EF15A7">
        <w:t xml:space="preserve">typology as layers </w:t>
      </w:r>
      <w:r>
        <w:t xml:space="preserve">from the abstract to the concrete, </w:t>
      </w:r>
      <w:r w:rsidRPr="00EF15A7">
        <w:t>we have tried to articulate how the approach</w:t>
      </w:r>
      <w:r w:rsidRPr="00105F3F">
        <w:t xml:space="preserve">, strategy, tactics and tasks look for individual research methods teachers, for different types of research methods or particular challenges. The more data we draw in the more we can populate the typology with examples. Ultimately, the scope for combinations is vast. </w:t>
      </w:r>
    </w:p>
    <w:p w14:paraId="6E9C236F" w14:textId="77777777" w:rsidR="0053347E" w:rsidRPr="00105F3F" w:rsidRDefault="0053347E" w:rsidP="00387219">
      <w:pPr>
        <w:pStyle w:val="Heading2"/>
      </w:pPr>
      <w:r w:rsidRPr="00105F3F">
        <w:t>Alternative formulations of Approach, Strategy and Tactic in Education</w:t>
      </w:r>
    </w:p>
    <w:p w14:paraId="7708466B" w14:textId="471F7D59" w:rsidR="00034D91" w:rsidRDefault="0053347E" w:rsidP="00034D91">
      <w:pPr>
        <w:pStyle w:val="Paragraph"/>
      </w:pPr>
      <w:r w:rsidRPr="00105F3F">
        <w:t xml:space="preserve">The typology presented here comprises a holistic combination of approach, strategy, </w:t>
      </w:r>
      <w:r w:rsidRPr="00105F3F">
        <w:lastRenderedPageBreak/>
        <w:t xml:space="preserve">tactics and task. This is new but the </w:t>
      </w:r>
      <w:r>
        <w:t>categories</w:t>
      </w:r>
      <w:r w:rsidRPr="00105F3F">
        <w:t xml:space="preserve"> have been discussed previously in the </w:t>
      </w:r>
      <w:r w:rsidRPr="001043CF">
        <w:t>pedagogic literature, singly and in combination</w:t>
      </w:r>
      <w:r w:rsidR="00316AC3" w:rsidRPr="001043CF">
        <w:t>. W</w:t>
      </w:r>
      <w:r w:rsidRPr="001043CF">
        <w:t>e discuss various usages here looki</w:t>
      </w:r>
      <w:r w:rsidR="00E3013F" w:rsidRPr="001043CF">
        <w:t>ng at parallels and disjuncture</w:t>
      </w:r>
      <w:r w:rsidR="00316AC3" w:rsidRPr="001043CF">
        <w:t xml:space="preserve"> with literature</w:t>
      </w:r>
      <w:r w:rsidR="00E3013F" w:rsidRPr="001043CF">
        <w:t>,</w:t>
      </w:r>
      <w:r w:rsidR="00316AC3" w:rsidRPr="001043CF">
        <w:t xml:space="preserve"> focusing on the meaning of the terms</w:t>
      </w:r>
      <w:r w:rsidRPr="001043CF">
        <w:t xml:space="preserve">. Historically, Foshay (1975) positioned </w:t>
      </w:r>
      <w:r w:rsidRPr="001043CF">
        <w:rPr>
          <w:i/>
        </w:rPr>
        <w:t xml:space="preserve">teaching strategies </w:t>
      </w:r>
      <w:r w:rsidRPr="001043CF">
        <w:t>as the new thing in the 1970s</w:t>
      </w:r>
      <w:r w:rsidR="001043CF" w:rsidRPr="001043CF">
        <w:rPr>
          <w:strike/>
        </w:rPr>
        <w:t>.</w:t>
      </w:r>
      <w:r w:rsidRPr="001043CF">
        <w:t xml:space="preserve"> He noted the anomaly that ‘in education we are not engaging an adversary’ and argued that the term was inflated as educationalists need ‘only one teaching strategy. It is to induce a situation in which the conditions for learning are met’ (p.373). For Foshay, this one strategy needed to be supported by multiple </w:t>
      </w:r>
      <w:r w:rsidRPr="001043CF">
        <w:rPr>
          <w:i/>
        </w:rPr>
        <w:t xml:space="preserve">teaching tactics. </w:t>
      </w:r>
      <w:r w:rsidRPr="001043CF">
        <w:t xml:space="preserve">Such pedagogical conceptualisations have often echoed militaristic use of the terms, with strategy related to </w:t>
      </w:r>
      <w:r w:rsidRPr="001043CF">
        <w:rPr>
          <w:lang w:val="en-US"/>
        </w:rPr>
        <w:t>deployment of resources to meet objectives and tactics seen as smaller movement</w:t>
      </w:r>
      <w:r w:rsidRPr="001043CF">
        <w:t xml:space="preserve">. More recently, in research methods, Silver and Woolf (2015) have seen the relevance of military analysis in </w:t>
      </w:r>
      <w:r w:rsidR="007D5E34" w:rsidRPr="001043CF">
        <w:t xml:space="preserve">Luttwak’s </w:t>
      </w:r>
      <w:r w:rsidRPr="001043CF">
        <w:t xml:space="preserve">(2001) fulcrum between strategies </w:t>
      </w:r>
      <w:r>
        <w:t xml:space="preserve">and tactics </w:t>
      </w:r>
      <w:r w:rsidRPr="00D14CD4">
        <w:t>for teaching qualitative data analysis</w:t>
      </w:r>
      <w:r>
        <w:t xml:space="preserve"> and using supporting software packages. </w:t>
      </w:r>
      <w:r w:rsidRPr="00F712EC">
        <w:t xml:space="preserve">Silver and Woolf’s </w:t>
      </w:r>
      <w:r w:rsidRPr="00105F3F">
        <w:rPr>
          <w:lang w:val="en"/>
        </w:rPr>
        <w:t>model positions strategies as ‘</w:t>
      </w:r>
      <w:r w:rsidRPr="00F712EC">
        <w:rPr>
          <w:rFonts w:cs="AdvTTc6ee16d2.I"/>
        </w:rPr>
        <w:t xml:space="preserve">what you plan </w:t>
      </w:r>
      <w:r w:rsidRPr="00D14CD4">
        <w:rPr>
          <w:rFonts w:cs="AdvTTc6ee16d2.I"/>
        </w:rPr>
        <w:t>to do’</w:t>
      </w:r>
      <w:r>
        <w:rPr>
          <w:rFonts w:cs="AdvTTc6ee16d2.I"/>
        </w:rPr>
        <w:t>,</w:t>
      </w:r>
      <w:r w:rsidRPr="00D14CD4">
        <w:rPr>
          <w:rFonts w:cs="AdvTTc6ee16d2.I"/>
        </w:rPr>
        <w:t xml:space="preserve"> which may be</w:t>
      </w:r>
      <w:r w:rsidRPr="00D14CD4">
        <w:rPr>
          <w:rFonts w:cs="AdvTTec369687"/>
        </w:rPr>
        <w:t xml:space="preserve"> iterative and emergent, and tactics </w:t>
      </w:r>
      <w:r w:rsidRPr="00D14CD4">
        <w:rPr>
          <w:rFonts w:cs="AdvTTec369687+20"/>
        </w:rPr>
        <w:t>as ‘</w:t>
      </w:r>
      <w:r w:rsidRPr="00D14CD4">
        <w:rPr>
          <w:rFonts w:cs="AdvTTc6ee16d2.I"/>
        </w:rPr>
        <w:t>how you plan to do it’ with the software (p.535)</w:t>
      </w:r>
      <w:r>
        <w:rPr>
          <w:rFonts w:cs="AdvTTc6ee16d2.I"/>
        </w:rPr>
        <w:t>;</w:t>
      </w:r>
      <w:r w:rsidRPr="00D14CD4">
        <w:rPr>
          <w:rFonts w:cs="AdvTTc6ee16d2.I"/>
        </w:rPr>
        <w:t xml:space="preserve"> they stress the need to attend to both.</w:t>
      </w:r>
    </w:p>
    <w:p w14:paraId="138262B2" w14:textId="77777777" w:rsidR="0053347E" w:rsidRPr="00034D91" w:rsidRDefault="0053347E" w:rsidP="00034D91">
      <w:pPr>
        <w:pStyle w:val="Newparagraph"/>
      </w:pPr>
      <w:r>
        <w:rPr>
          <w:lang w:val="en"/>
        </w:rPr>
        <w:t xml:space="preserve">In terms of the language we have selected we notice, as Garcia (1989) argues, that in practice teachers have used </w:t>
      </w:r>
      <w:r w:rsidRPr="0074651E">
        <w:rPr>
          <w:i/>
          <w:lang w:val="en"/>
        </w:rPr>
        <w:t>approach</w:t>
      </w:r>
      <w:r>
        <w:rPr>
          <w:lang w:val="en"/>
        </w:rPr>
        <w:t xml:space="preserve">, </w:t>
      </w:r>
      <w:r w:rsidRPr="0074651E">
        <w:rPr>
          <w:i/>
          <w:lang w:val="en"/>
        </w:rPr>
        <w:t>methodology</w:t>
      </w:r>
      <w:r>
        <w:rPr>
          <w:lang w:val="en"/>
        </w:rPr>
        <w:t xml:space="preserve"> and </w:t>
      </w:r>
      <w:r w:rsidRPr="0074651E">
        <w:rPr>
          <w:i/>
          <w:lang w:val="en"/>
        </w:rPr>
        <w:t>technique</w:t>
      </w:r>
      <w:r>
        <w:rPr>
          <w:lang w:val="en"/>
        </w:rPr>
        <w:t xml:space="preserve"> interchangeably. Acero, Javier and Castro (2000) find most classifications in the literature have </w:t>
      </w:r>
      <w:r w:rsidRPr="00FB3C24">
        <w:rPr>
          <w:i/>
          <w:lang w:val="en"/>
        </w:rPr>
        <w:t>approaches</w:t>
      </w:r>
      <w:r>
        <w:rPr>
          <w:lang w:val="en"/>
        </w:rPr>
        <w:t xml:space="preserve"> as most general in nature, </w:t>
      </w:r>
      <w:r>
        <w:t>encompassing</w:t>
      </w:r>
      <w:r w:rsidRPr="005C1784">
        <w:t xml:space="preserve"> </w:t>
      </w:r>
      <w:r>
        <w:t xml:space="preserve">the overall </w:t>
      </w:r>
      <w:r w:rsidRPr="005C1784">
        <w:t xml:space="preserve">orientation </w:t>
      </w:r>
      <w:r>
        <w:t xml:space="preserve">or viewpoint on it, with methods and techniques positioned as more specific parts of this. In contrast to our position, </w:t>
      </w:r>
      <w:r>
        <w:rPr>
          <w:lang w:val="en"/>
        </w:rPr>
        <w:t>s</w:t>
      </w:r>
      <w:r w:rsidRPr="00AC60BF">
        <w:rPr>
          <w:lang w:val="en"/>
        </w:rPr>
        <w:t xml:space="preserve">ome academic writers move between educational </w:t>
      </w:r>
      <w:r w:rsidRPr="00125474">
        <w:t>theory and strategy without depicting an approach</w:t>
      </w:r>
      <w:r>
        <w:t xml:space="preserve"> at all</w:t>
      </w:r>
      <w:r w:rsidRPr="00125474">
        <w:t xml:space="preserve">. </w:t>
      </w:r>
      <w:r>
        <w:t xml:space="preserve">For example, </w:t>
      </w:r>
      <w:r w:rsidRPr="00125474">
        <w:t xml:space="preserve">Brown </w:t>
      </w:r>
      <w:r w:rsidRPr="00CC6873">
        <w:t>(2004, 77-78),</w:t>
      </w:r>
      <w:r>
        <w:t xml:space="preserve"> </w:t>
      </w:r>
      <w:r w:rsidRPr="00CC6873">
        <w:t>refers to the</w:t>
      </w:r>
      <w:r w:rsidRPr="00CC6873">
        <w:rPr>
          <w:rFonts w:cs="Times-Roman"/>
        </w:rPr>
        <w:t xml:space="preserve"> Adult Learning Theory, Transformative Learning </w:t>
      </w:r>
      <w:r w:rsidRPr="00CC6873">
        <w:rPr>
          <w:rFonts w:cs="Times-Roman"/>
        </w:rPr>
        <w:lastRenderedPageBreak/>
        <w:t xml:space="preserve">Theory, and </w:t>
      </w:r>
      <w:r>
        <w:rPr>
          <w:rFonts w:cs="Times-Roman"/>
        </w:rPr>
        <w:t>others</w:t>
      </w:r>
      <w:r w:rsidRPr="007F760F">
        <w:rPr>
          <w:rFonts w:cs="Times-Roman"/>
        </w:rPr>
        <w:t xml:space="preserve"> as ‘theoretical perspectives’ which ‘</w:t>
      </w:r>
      <w:r w:rsidRPr="00641788">
        <w:rPr>
          <w:rFonts w:cs="Times-Roman"/>
        </w:rPr>
        <w:t xml:space="preserve">are interwoven with the pedagogical strategies of critical reflection, rational discourse, and policy praxis’. </w:t>
      </w:r>
    </w:p>
    <w:p w14:paraId="0C1108D4" w14:textId="77777777" w:rsidR="00034D91" w:rsidRDefault="0053347E" w:rsidP="0053347E">
      <w:pPr>
        <w:rPr>
          <w:lang w:val="en"/>
        </w:rPr>
      </w:pPr>
      <w:r w:rsidRPr="00AC60BF">
        <w:t xml:space="preserve">Tangible support for interpreting pedagogic </w:t>
      </w:r>
      <w:r w:rsidRPr="005554AC">
        <w:t xml:space="preserve">approaches </w:t>
      </w:r>
      <w:r w:rsidRPr="00AC60BF">
        <w:t xml:space="preserve">into action is evident in the grey literature surrounding areas where the pedagogical culture is strong, such as the field of Teaching English as a Foreign Language </w:t>
      </w:r>
      <w:r>
        <w:t xml:space="preserve">(for example </w:t>
      </w:r>
      <w:r w:rsidRPr="00AC60BF">
        <w:t>Telfpedia</w:t>
      </w:r>
      <w:r w:rsidR="0018595A">
        <w:rPr>
          <w:rStyle w:val="FootnoteReference"/>
        </w:rPr>
        <w:footnoteReference w:id="2"/>
      </w:r>
      <w:r>
        <w:t>). In e-Learning, Salmon (2005), discussing the translation of pedagogies for online contexts, suggests</w:t>
      </w:r>
      <w:r w:rsidRPr="00AC60BF">
        <w:rPr>
          <w:lang w:val="en"/>
        </w:rPr>
        <w:t xml:space="preserve"> that strategy builds from where we are and what we know</w:t>
      </w:r>
      <w:r>
        <w:rPr>
          <w:lang w:val="en"/>
        </w:rPr>
        <w:t>. She stresses</w:t>
      </w:r>
      <w:r w:rsidRPr="00AC60BF">
        <w:rPr>
          <w:lang w:val="en"/>
        </w:rPr>
        <w:t xml:space="preserve"> the value of surfacing teachers’ strategy and tactics, unpicking </w:t>
      </w:r>
      <w:r>
        <w:rPr>
          <w:lang w:val="en"/>
        </w:rPr>
        <w:t>that which</w:t>
      </w:r>
      <w:r w:rsidRPr="00AC60BF">
        <w:rPr>
          <w:lang w:val="en"/>
        </w:rPr>
        <w:t xml:space="preserve"> appear</w:t>
      </w:r>
      <w:r>
        <w:rPr>
          <w:lang w:val="en"/>
        </w:rPr>
        <w:t>s natural</w:t>
      </w:r>
      <w:r w:rsidRPr="00AC60BF">
        <w:rPr>
          <w:lang w:val="en"/>
        </w:rPr>
        <w:t xml:space="preserve"> to build confidence in new pedagogical contexts</w:t>
      </w:r>
      <w:r>
        <w:rPr>
          <w:lang w:val="en"/>
        </w:rPr>
        <w:t>. This resonates with our determination that a typology must be of use to methods teachers</w:t>
      </w:r>
      <w:r w:rsidRPr="00AC60BF">
        <w:rPr>
          <w:lang w:val="en"/>
        </w:rPr>
        <w:t xml:space="preserve">. </w:t>
      </w:r>
      <w:r>
        <w:rPr>
          <w:lang w:val="en"/>
        </w:rPr>
        <w:t xml:space="preserve">Elsewhere, </w:t>
      </w:r>
      <w:r w:rsidRPr="005554AC">
        <w:rPr>
          <w:lang w:val="en"/>
        </w:rPr>
        <w:t>strategies</w:t>
      </w:r>
      <w:r>
        <w:rPr>
          <w:lang w:val="en"/>
        </w:rPr>
        <w:t xml:space="preserve"> are seen as </w:t>
      </w:r>
      <w:r w:rsidRPr="00BE601C">
        <w:t>being about ‘various aspects of sequencing and organizing the content, specifying learning activities, and deciding how to deliver the cont</w:t>
      </w:r>
      <w:r>
        <w:t xml:space="preserve">ent and activities’ (Dick, Carey </w:t>
      </w:r>
      <w:r w:rsidR="00F81467">
        <w:t>and</w:t>
      </w:r>
      <w:r>
        <w:t xml:space="preserve"> Carey</w:t>
      </w:r>
      <w:r w:rsidRPr="00BE601C">
        <w:t xml:space="preserve"> 2001, 184), but </w:t>
      </w:r>
      <w:r>
        <w:t xml:space="preserve">they </w:t>
      </w:r>
      <w:r w:rsidRPr="00BE601C">
        <w:t xml:space="preserve">are linked to the big theories of behaviourism, cognitivism, constructionism, constructivism and so on. </w:t>
      </w:r>
    </w:p>
    <w:p w14:paraId="048C6F68" w14:textId="1E18A430" w:rsidR="00034D91" w:rsidRDefault="0053347E" w:rsidP="00034D91">
      <w:pPr>
        <w:pStyle w:val="Newparagraph"/>
      </w:pPr>
      <w:r w:rsidRPr="001043CF">
        <w:t>Within open and distance learning Goodyear (1999) presents a pedagogical framework which has similarities with our typology, but lacks the grounding</w:t>
      </w:r>
      <w:r w:rsidR="00316AC3" w:rsidRPr="001043CF">
        <w:t xml:space="preserve"> in research</w:t>
      </w:r>
      <w:r w:rsidRPr="001043CF">
        <w:t xml:space="preserve">. In this formulation activities and tasks sit within the educational environment. </w:t>
      </w:r>
      <w:r>
        <w:t>Working from the specific to the general he positions the learning task as ‘</w:t>
      </w:r>
      <w:r w:rsidRPr="001D78EC">
        <w:t>a specification for learner activity</w:t>
      </w:r>
      <w:r>
        <w:t>’. This is designed based on ‘</w:t>
      </w:r>
      <w:r w:rsidRPr="001D78EC">
        <w:t xml:space="preserve">the best of what we know about how people learn, on a deep knowledge of academic subject matter and/or vocational competences, and on knowledge of the </w:t>
      </w:r>
      <w:r w:rsidRPr="00C247AD">
        <w:t>learners’ (n.p.)</w:t>
      </w:r>
      <w:r>
        <w:t xml:space="preserve">. Above these procedural or operational levels in this framework sit the more conceptual ‘philosophy’ </w:t>
      </w:r>
      <w:r>
        <w:lastRenderedPageBreak/>
        <w:t xml:space="preserve">and </w:t>
      </w:r>
      <w:r w:rsidRPr="001D78EC">
        <w:t>‘high level pedagogy’</w:t>
      </w:r>
      <w:r>
        <w:t xml:space="preserve"> (exemplified by what we might call the approaches of </w:t>
      </w:r>
      <w:r w:rsidRPr="001D78EC">
        <w:t>'guided discovery learning'</w:t>
      </w:r>
      <w:r>
        <w:t xml:space="preserve"> and</w:t>
      </w:r>
      <w:r w:rsidRPr="001D78EC">
        <w:t xml:space="preserve"> 'problem-based learning'</w:t>
      </w:r>
      <w:r>
        <w:t>). Goodyear illuminates the need to turn philosophy into action and, like many</w:t>
      </w:r>
      <w:r w:rsidRPr="001D78EC">
        <w:t xml:space="preserve"> writers</w:t>
      </w:r>
      <w:r>
        <w:t>,</w:t>
      </w:r>
      <w:r w:rsidRPr="001D78EC">
        <w:t xml:space="preserve"> stresses </w:t>
      </w:r>
      <w:r>
        <w:t xml:space="preserve">the role of goal-directed </w:t>
      </w:r>
      <w:r w:rsidRPr="001D78EC">
        <w:t>strategy as the</w:t>
      </w:r>
      <w:r>
        <w:t xml:space="preserve"> link. For Goodyear though, ‘T</w:t>
      </w:r>
      <w:r w:rsidRPr="001D78EC">
        <w:t xml:space="preserve">he only difference between pedagogical strategy and pedagogical tactics is one of grain size. Tactics are the detailed moves through which </w:t>
      </w:r>
      <w:r>
        <w:t>strategy is effected</w:t>
      </w:r>
      <w:r w:rsidRPr="00125474">
        <w:t>’</w:t>
      </w:r>
      <w:r>
        <w:t xml:space="preserve"> </w:t>
      </w:r>
      <w:r w:rsidRPr="00C247AD">
        <w:t xml:space="preserve">(n.p.). </w:t>
      </w:r>
    </w:p>
    <w:p w14:paraId="1A9A99B6" w14:textId="77777777" w:rsidR="0053347E" w:rsidRDefault="0053347E" w:rsidP="00034D91">
      <w:pPr>
        <w:pStyle w:val="Newparagraph"/>
        <w:rPr>
          <w:color w:val="FF0000"/>
        </w:rPr>
      </w:pPr>
      <w:r w:rsidRPr="00105F3F">
        <w:t xml:space="preserve">Again the need to balance the conceptual world and lived reality is important. Goodyear argues that </w:t>
      </w:r>
      <w:r w:rsidRPr="007F760F">
        <w:t>in the real world, strategy does not always determine tactics and is not always driven by philosophy</w:t>
      </w:r>
      <w:r>
        <w:t>,</w:t>
      </w:r>
      <w:r w:rsidRPr="00641788">
        <w:t xml:space="preserve"> </w:t>
      </w:r>
      <w:r>
        <w:t xml:space="preserve">suggesting a </w:t>
      </w:r>
      <w:r w:rsidRPr="00641788">
        <w:t xml:space="preserve">classification whereby the types are loosely coupled. </w:t>
      </w:r>
      <w:r>
        <w:t>Apart from these examples, and m</w:t>
      </w:r>
      <w:r w:rsidRPr="00641788">
        <w:t>ore often th</w:t>
      </w:r>
      <w:r>
        <w:t xml:space="preserve">rough </w:t>
      </w:r>
      <w:r w:rsidRPr="00641788">
        <w:t>the literature</w:t>
      </w:r>
      <w:r>
        <w:t xml:space="preserve">, </w:t>
      </w:r>
      <w:r w:rsidRPr="00641788">
        <w:t xml:space="preserve">examples </w:t>
      </w:r>
      <w:r>
        <w:t xml:space="preserve">show how </w:t>
      </w:r>
      <w:r w:rsidRPr="00125474">
        <w:t>the concepts of pedagogic approach, strategy and method</w:t>
      </w:r>
      <w:r>
        <w:t xml:space="preserve"> are used</w:t>
      </w:r>
      <w:r w:rsidRPr="00125474">
        <w:t xml:space="preserve"> loosely or interchangeably</w:t>
      </w:r>
      <w:r w:rsidRPr="00641788">
        <w:t xml:space="preserve"> (e.g. </w:t>
      </w:r>
      <w:r w:rsidRPr="00CB77B2">
        <w:rPr>
          <w:lang w:val="en"/>
        </w:rPr>
        <w:t xml:space="preserve">Lewis </w:t>
      </w:r>
      <w:r w:rsidR="00F81467">
        <w:rPr>
          <w:lang w:val="en"/>
        </w:rPr>
        <w:t>and</w:t>
      </w:r>
      <w:r w:rsidRPr="00CB77B2">
        <w:rPr>
          <w:lang w:val="en"/>
        </w:rPr>
        <w:t xml:space="preserve"> Dehler 2000; Perry </w:t>
      </w:r>
      <w:r w:rsidR="00F81467">
        <w:rPr>
          <w:lang w:val="en"/>
        </w:rPr>
        <w:t>and</w:t>
      </w:r>
      <w:r w:rsidRPr="00CB77B2">
        <w:rPr>
          <w:lang w:val="en"/>
        </w:rPr>
        <w:t xml:space="preserve"> Paterson 2005)</w:t>
      </w:r>
      <w:r w:rsidRPr="00125474">
        <w:t xml:space="preserve">. While Goodyear’s </w:t>
      </w:r>
      <w:r>
        <w:t xml:space="preserve">framework is frequently cited and used in e-learning, it has </w:t>
      </w:r>
      <w:r w:rsidRPr="003B3352">
        <w:t>reached little into wider pedagogical research. Our typology is more careful with language and we propose it as a conceptual-empirical tool for methods teachers to work with.</w:t>
      </w:r>
    </w:p>
    <w:p w14:paraId="3807A60C" w14:textId="77777777" w:rsidR="0053347E" w:rsidRPr="001C4DE1" w:rsidRDefault="0053347E" w:rsidP="00034D91">
      <w:pPr>
        <w:pStyle w:val="Heading2"/>
      </w:pPr>
      <w:r w:rsidRPr="001C4DE1">
        <w:t>Evaluating the typology of research methods pedagogy</w:t>
      </w:r>
    </w:p>
    <w:p w14:paraId="1879E66A" w14:textId="5868A744" w:rsidR="0053347E" w:rsidRDefault="0053347E" w:rsidP="0053347E">
      <w:r>
        <w:t xml:space="preserve">At best, typologies are intuitive and understandable, explanatory and principled (Bowker </w:t>
      </w:r>
      <w:r w:rsidR="00F81467">
        <w:t>and</w:t>
      </w:r>
      <w:r>
        <w:t xml:space="preserve"> Star 199</w:t>
      </w:r>
      <w:r w:rsidRPr="00C247AD">
        <w:t>9).</w:t>
      </w:r>
      <w:r>
        <w:t xml:space="preserve"> However, these implicit elements are not guaranteed in research contexts where conceptual-empirical typologies are hard to design. </w:t>
      </w:r>
      <w:r w:rsidRPr="00CB77B2">
        <w:t>Gregor (2006</w:t>
      </w:r>
      <w:r>
        <w:t>) argues that the evaluation of the success of a typology should be based on ‘category labels being meaningful, the logic of the dimensions being clear and the ability to completely and exhaustively classify being demonstrable’. This definition, generated within Information Systems, is less plastic than our usage</w:t>
      </w:r>
      <w:r w:rsidR="00867EFB">
        <w:t xml:space="preserve">. </w:t>
      </w:r>
      <w:r w:rsidR="0078010D" w:rsidRPr="001043CF">
        <w:t>A</w:t>
      </w:r>
      <w:r w:rsidR="00867EFB" w:rsidRPr="001043CF">
        <w:t xml:space="preserve">pproach, strategy, tactics and tasks may be exhaustive in one sense, </w:t>
      </w:r>
      <w:r w:rsidR="00023710" w:rsidRPr="001043CF">
        <w:t xml:space="preserve">but </w:t>
      </w:r>
      <w:r w:rsidR="00867EFB" w:rsidRPr="001043CF">
        <w:t xml:space="preserve">there will be more </w:t>
      </w:r>
      <w:r w:rsidR="00003278" w:rsidRPr="001043CF">
        <w:t xml:space="preserve">specifiable </w:t>
      </w:r>
      <w:r w:rsidR="00103616" w:rsidRPr="001043CF">
        <w:t xml:space="preserve">pedagogic </w:t>
      </w:r>
      <w:r w:rsidR="00867EFB" w:rsidRPr="001043CF">
        <w:t>app</w:t>
      </w:r>
      <w:r w:rsidR="00003278" w:rsidRPr="001043CF">
        <w:t>roaches, strategies, tactics and tasks</w:t>
      </w:r>
      <w:r w:rsidR="00867EFB" w:rsidRPr="001043CF">
        <w:t xml:space="preserve"> than we have included in </w:t>
      </w:r>
      <w:r w:rsidR="00867EFB" w:rsidRPr="001043CF">
        <w:lastRenderedPageBreak/>
        <w:t>this paper</w:t>
      </w:r>
      <w:r w:rsidR="00003278" w:rsidRPr="001043CF">
        <w:t>. While the range of contexts we could explore in the research was limited, the data come from diverse</w:t>
      </w:r>
      <w:r w:rsidRPr="001043CF">
        <w:t xml:space="preserve"> pedagogical actors drawn from multiple institutions</w:t>
      </w:r>
      <w:r>
        <w:t xml:space="preserve">, paradigms and backgrounds. The data generated through multiple methods was sufficient for the analytic process to identify the four key processes of </w:t>
      </w:r>
      <w:r w:rsidRPr="002E4F76">
        <w:rPr>
          <w:i/>
        </w:rPr>
        <w:t>approach</w:t>
      </w:r>
      <w:r>
        <w:t xml:space="preserve">, </w:t>
      </w:r>
      <w:r w:rsidRPr="002E4F76">
        <w:rPr>
          <w:i/>
        </w:rPr>
        <w:t>strategy</w:t>
      </w:r>
      <w:r>
        <w:t xml:space="preserve">, </w:t>
      </w:r>
      <w:r w:rsidRPr="002E4F76">
        <w:rPr>
          <w:i/>
        </w:rPr>
        <w:t>tactic</w:t>
      </w:r>
      <w:r>
        <w:t xml:space="preserve"> and </w:t>
      </w:r>
      <w:r w:rsidRPr="002E4F76">
        <w:rPr>
          <w:i/>
        </w:rPr>
        <w:t>task</w:t>
      </w:r>
      <w:r>
        <w:t xml:space="preserve"> around which we are currently fostering engaged pedagogical dialogue in workshops and seminars with methods teachers. The process has enabled us to understand the main approaches evident among around 100 research methods teachers in various social science disciplines as well as what is important about them. It has been possible to able to elucidate associated strategies, tactics and tasks for how these translate in teaching qua</w:t>
      </w:r>
      <w:r w:rsidRPr="00402F0F">
        <w:t>ntitative, qualitative, mixed and digital methods</w:t>
      </w:r>
      <w:r>
        <w:t xml:space="preserve">. At an individual level there may be gaps, with teachers unable to articulate their approach for example. Exposing these gaps can be constructive and by working at a communal level, across methods teachers, a whole picture is generated that is more complete. </w:t>
      </w:r>
      <w:r w:rsidRPr="00402F0F">
        <w:t xml:space="preserve">The typology then may be sufficient without being exhaustive. </w:t>
      </w:r>
    </w:p>
    <w:p w14:paraId="178931FF" w14:textId="77777777" w:rsidR="0053347E" w:rsidRPr="00402F0F" w:rsidRDefault="0053347E" w:rsidP="00034D91">
      <w:pPr>
        <w:pStyle w:val="Newparagraph"/>
      </w:pPr>
      <w:r w:rsidRPr="00CE2BD9">
        <w:t xml:space="preserve">The meaningfulness and logic </w:t>
      </w:r>
      <w:r>
        <w:t>of the typology has been</w:t>
      </w:r>
      <w:r w:rsidRPr="00CE2BD9">
        <w:t xml:space="preserve"> explored within the research through its iterative nature. Vincent</w:t>
      </w:r>
      <w:r>
        <w:t xml:space="preserve">, a teacher of ethnographic technique in </w:t>
      </w:r>
      <w:r w:rsidRPr="00CE2BD9">
        <w:t>case</w:t>
      </w:r>
      <w:r>
        <w:t xml:space="preserve"> study 1,</w:t>
      </w:r>
      <w:r w:rsidRPr="00CE2BD9">
        <w:t xml:space="preserve"> could identify with the in-class, quick thought nature of tactics, c</w:t>
      </w:r>
      <w:r w:rsidRPr="00224073">
        <w:t>onnecting this with ‘</w:t>
      </w:r>
      <w:r>
        <w:t>busking’ or ‘relying o</w:t>
      </w:r>
      <w:r w:rsidRPr="00ED7375">
        <w:t>n embodied expertise …</w:t>
      </w:r>
      <w:r w:rsidRPr="00DC2696">
        <w:t xml:space="preserve"> to kno</w:t>
      </w:r>
      <w:r>
        <w:t>w how to judge a class’. Steve, a teacher of quantitative methods in education in focus group 4,</w:t>
      </w:r>
      <w:r w:rsidRPr="00FF0322">
        <w:t xml:space="preserve"> used the typology meaningfully when he spoke of the value of </w:t>
      </w:r>
      <w:r>
        <w:t>thinking beyond the</w:t>
      </w:r>
      <w:r w:rsidRPr="00402F0F">
        <w:t xml:space="preserve"> task, </w:t>
      </w:r>
      <w:r>
        <w:t>‘</w:t>
      </w:r>
      <w:r w:rsidRPr="00402F0F">
        <w:t xml:space="preserve">the </w:t>
      </w:r>
      <w:r w:rsidRPr="00402F0F">
        <w:rPr>
          <w:i/>
          <w:iCs/>
        </w:rPr>
        <w:t>what</w:t>
      </w:r>
      <w:r w:rsidRPr="00402F0F">
        <w:t xml:space="preserve">, and the </w:t>
      </w:r>
      <w:r w:rsidRPr="00402F0F">
        <w:rPr>
          <w:i/>
          <w:iCs/>
        </w:rPr>
        <w:t>how</w:t>
      </w:r>
      <w:r>
        <w:rPr>
          <w:iCs/>
        </w:rPr>
        <w:t>’</w:t>
      </w:r>
      <w:r>
        <w:rPr>
          <w:i/>
          <w:iCs/>
        </w:rPr>
        <w:t xml:space="preserve"> </w:t>
      </w:r>
      <w:r w:rsidRPr="008D1DB4">
        <w:rPr>
          <w:iCs/>
        </w:rPr>
        <w:t>to</w:t>
      </w:r>
      <w:r w:rsidRPr="00402F0F">
        <w:t xml:space="preserve"> </w:t>
      </w:r>
      <w:r>
        <w:t>‘</w:t>
      </w:r>
      <w:r w:rsidRPr="00402F0F">
        <w:t xml:space="preserve">looking at </w:t>
      </w:r>
      <w:r w:rsidRPr="00402F0F">
        <w:rPr>
          <w:i/>
          <w:iCs/>
        </w:rPr>
        <w:t>why</w:t>
      </w:r>
      <w:r w:rsidRPr="00402F0F">
        <w:t xml:space="preserve"> we would teach these in this way, and </w:t>
      </w:r>
      <w:r w:rsidRPr="00402F0F">
        <w:rPr>
          <w:i/>
          <w:iCs/>
        </w:rPr>
        <w:t>why</w:t>
      </w:r>
      <w:r w:rsidRPr="00402F0F">
        <w:t xml:space="preserve"> would we sequence it in that way</w:t>
      </w:r>
      <w:r>
        <w:t>’</w:t>
      </w:r>
      <w:r w:rsidRPr="00EC7C5D">
        <w:t>. Thelma, a qualitative methods teacher in health, though, expressed some discomfort with tactics as a label, ‘it always sounds a bit malevolent to me, “tactics”. It’s trying to do something without people knowing’.</w:t>
      </w:r>
      <w:r w:rsidRPr="00402F0F">
        <w:t xml:space="preserve"> This focus group concurred with Melanie</w:t>
      </w:r>
      <w:r>
        <w:t>, who, when</w:t>
      </w:r>
      <w:r w:rsidRPr="00402F0F">
        <w:t xml:space="preserve"> facilitating</w:t>
      </w:r>
      <w:r>
        <w:t>, admitted</w:t>
      </w:r>
      <w:r w:rsidRPr="00402F0F">
        <w:t xml:space="preserve"> that the </w:t>
      </w:r>
      <w:r>
        <w:t xml:space="preserve">categories of the </w:t>
      </w:r>
      <w:r>
        <w:lastRenderedPageBreak/>
        <w:t>typology</w:t>
      </w:r>
      <w:r w:rsidRPr="00402F0F">
        <w:t xml:space="preserve"> have ‘blurry edges’</w:t>
      </w:r>
      <w:r>
        <w:t xml:space="preserve">. Yet </w:t>
      </w:r>
      <w:r w:rsidRPr="00402F0F">
        <w:t>Steve stressed the usefulness</w:t>
      </w:r>
      <w:r>
        <w:t xml:space="preserve"> of the typology</w:t>
      </w:r>
      <w:r w:rsidRPr="00402F0F">
        <w:t xml:space="preserve"> for thinking about ‘how we would help realise a particular strategy’ and Nita recognised </w:t>
      </w:r>
      <w:r>
        <w:t xml:space="preserve">that </w:t>
      </w:r>
      <w:r w:rsidRPr="00402F0F">
        <w:t>‘the approach</w:t>
      </w:r>
      <w:r>
        <w:t>es</w:t>
      </w:r>
      <w:r w:rsidRPr="00402F0F">
        <w:t xml:space="preserve"> </w:t>
      </w:r>
      <w:r>
        <w:t>[are]</w:t>
      </w:r>
      <w:r w:rsidRPr="00402F0F">
        <w:t xml:space="preserve"> what you have internally in your head’ and the importance of retaining these in challenging teaching contexts.</w:t>
      </w:r>
      <w:r>
        <w:t xml:space="preserve"> Nicci, who was responsible for the research methods training of health professionals and part of focus group 5, </w:t>
      </w:r>
      <w:r w:rsidRPr="00402F0F">
        <w:t xml:space="preserve"> </w:t>
      </w:r>
      <w:r>
        <w:t>used the typology to reflect, ‘</w:t>
      </w:r>
      <w:r w:rsidRPr="00402F0F">
        <w:t>where does my overall orientation, or approach, interface with tactics that I need, or strategy that I might need to use because of cont</w:t>
      </w:r>
      <w:r>
        <w:t>ext, student members, etcetera’.</w:t>
      </w:r>
      <w:r w:rsidRPr="00402F0F">
        <w:t xml:space="preserve"> While the</w:t>
      </w:r>
      <w:r>
        <w:t xml:space="preserve"> concepts were meaningful to this</w:t>
      </w:r>
      <w:r w:rsidRPr="00402F0F">
        <w:t xml:space="preserve"> group of methods teachers working inside and o</w:t>
      </w:r>
      <w:r>
        <w:t xml:space="preserve">utside academia, Amy, who had crossed disciplines and methods, </w:t>
      </w:r>
      <w:r w:rsidRPr="00402F0F">
        <w:t>summed up the desire to retain dynamism in any typology: ‘what people have been describing here is something that is much more fluid and it’s contingent’.</w:t>
      </w:r>
    </w:p>
    <w:p w14:paraId="054FD40A" w14:textId="253E7DFD" w:rsidR="0053347E" w:rsidRDefault="0053347E" w:rsidP="00034D91">
      <w:pPr>
        <w:pStyle w:val="Newparagraph"/>
      </w:pPr>
      <w:r w:rsidRPr="00402F0F">
        <w:t xml:space="preserve">Dialogue with participants showed the importance of the typology not just being read from </w:t>
      </w:r>
      <w:r>
        <w:t>general</w:t>
      </w:r>
      <w:r w:rsidRPr="00402F0F">
        <w:t xml:space="preserve"> to </w:t>
      </w:r>
      <w:r>
        <w:t>specific</w:t>
      </w:r>
      <w:r w:rsidRPr="00402F0F">
        <w:t xml:space="preserve">, that teachers </w:t>
      </w:r>
      <w:r>
        <w:t xml:space="preserve">using it </w:t>
      </w:r>
      <w:r w:rsidRPr="00402F0F">
        <w:t>do</w:t>
      </w:r>
      <w:r>
        <w:t xml:space="preserve"> not</w:t>
      </w:r>
      <w:r w:rsidRPr="00402F0F">
        <w:t xml:space="preserve"> always start with their </w:t>
      </w:r>
      <w:r w:rsidRPr="001043CF">
        <w:t>approach and end with</w:t>
      </w:r>
      <w:r w:rsidR="00003278" w:rsidRPr="001043CF">
        <w:t xml:space="preserve"> the</w:t>
      </w:r>
      <w:r w:rsidRPr="001043CF">
        <w:t xml:space="preserve"> task. There was recognition of the role of the content for </w:t>
      </w:r>
      <w:r>
        <w:t xml:space="preserve">shaping tactics and tasks and content with values influencing their approaches. </w:t>
      </w:r>
      <w:r w:rsidRPr="00402F0F">
        <w:t xml:space="preserve">Similarly, </w:t>
      </w:r>
      <w:r>
        <w:t xml:space="preserve">there was recognition that </w:t>
      </w:r>
      <w:r w:rsidRPr="00402F0F">
        <w:t xml:space="preserve">years of teaching meant building up </w:t>
      </w:r>
      <w:r>
        <w:t xml:space="preserve">a useful </w:t>
      </w:r>
      <w:r w:rsidRPr="00402F0F">
        <w:t>‘bank of ideas’</w:t>
      </w:r>
      <w:r>
        <w:t xml:space="preserve">, but that there were dangers if drawing on this became </w:t>
      </w:r>
      <w:r w:rsidRPr="00402F0F">
        <w:t>unreflective</w:t>
      </w:r>
      <w:r>
        <w:t>. One experienced teachers reflected</w:t>
      </w:r>
      <w:r w:rsidRPr="00402F0F">
        <w:t xml:space="preserve"> that ‘a less experienced teacher I think would gain from being much more specific, much more aware of that typology and apply it in a very kind of an intentional kind of fashion’.</w:t>
      </w:r>
    </w:p>
    <w:p w14:paraId="62863349" w14:textId="77777777" w:rsidR="0053347E" w:rsidRPr="00256AD8" w:rsidRDefault="0053347E" w:rsidP="0053347E">
      <w:pPr>
        <w:pStyle w:val="Heading1"/>
      </w:pPr>
      <w:r w:rsidRPr="00256AD8">
        <w:t>Conclusion</w:t>
      </w:r>
    </w:p>
    <w:p w14:paraId="516A6570" w14:textId="6974143F" w:rsidR="0053347E" w:rsidRPr="00A634E1" w:rsidRDefault="0053347E" w:rsidP="0053347E">
      <w:r w:rsidRPr="00660971">
        <w:t xml:space="preserve">We have presented a typology of research methods pedagogy </w:t>
      </w:r>
      <w:r w:rsidR="00725B5B" w:rsidRPr="00660971">
        <w:t xml:space="preserve">that has been </w:t>
      </w:r>
      <w:r w:rsidR="00003278" w:rsidRPr="00660971">
        <w:t xml:space="preserve">generated from </w:t>
      </w:r>
      <w:r w:rsidR="00725B5B" w:rsidRPr="00660971">
        <w:t>research</w:t>
      </w:r>
      <w:r w:rsidR="00003278" w:rsidRPr="00660971">
        <w:t xml:space="preserve"> with</w:t>
      </w:r>
      <w:r w:rsidR="00725B5B" w:rsidRPr="00660971">
        <w:t xml:space="preserve"> teachers. It was created out of analysis of dialogic and observational data and we have checked back that the categories make sense for teachers</w:t>
      </w:r>
      <w:r w:rsidRPr="00660971">
        <w:t xml:space="preserve">. </w:t>
      </w:r>
      <w:r w:rsidR="00725B5B" w:rsidRPr="00660971">
        <w:t>The typology came out of - and can be related</w:t>
      </w:r>
      <w:r w:rsidRPr="00660971">
        <w:t xml:space="preserve"> to </w:t>
      </w:r>
      <w:r w:rsidR="00725B5B" w:rsidRPr="00660971">
        <w:t xml:space="preserve">- </w:t>
      </w:r>
      <w:r w:rsidRPr="00660971">
        <w:t xml:space="preserve">diverse contexts and perspectives. It </w:t>
      </w:r>
      <w:r w:rsidRPr="00660971">
        <w:lastRenderedPageBreak/>
        <w:t xml:space="preserve">offers ‘situated knowledges’ whilst also abstracting from what teachers do and value. We contend that the conceptual (logic) and </w:t>
      </w:r>
      <w:r w:rsidR="00D32B4C" w:rsidRPr="00660971">
        <w:t xml:space="preserve">data-generated (empirical) </w:t>
      </w:r>
      <w:r w:rsidRPr="00660971">
        <w:t xml:space="preserve">nature of the </w:t>
      </w:r>
      <w:r w:rsidRPr="00A634E1">
        <w:t xml:space="preserve">typology </w:t>
      </w:r>
      <w:r>
        <w:t xml:space="preserve">invites use and offers rich grounds for individual pedagogic reflection and development. Any static typology (or categorical, classification system) fossilizes (Bowker </w:t>
      </w:r>
      <w:r w:rsidR="00F81467">
        <w:t>and</w:t>
      </w:r>
      <w:r>
        <w:t xml:space="preserve"> Star 1999) as frontiers of knowledge change</w:t>
      </w:r>
      <w:r w:rsidRPr="00A634E1">
        <w:t xml:space="preserve">. Users of typologies frequently subvert formal category schemes, using work-arounds (Atran 1990) and informal, ‘vernacular (folk)’ classifications (Bowker </w:t>
      </w:r>
      <w:r w:rsidR="00F81467">
        <w:t>and</w:t>
      </w:r>
      <w:r w:rsidRPr="00A634E1">
        <w:t xml:space="preserve"> Star 1999, 54). Moreover, where people and behaviours are described, ‘looping effects’ (Hacking 1995), whereby the subjects of the typology resist or negotiate the ascriptions of typology, can render a typology obsolete. It is for these reasons that we have kept the core of the typology simple, arguing that the approaches, strategies, tactics and tasks need to be generated afresh by teachers of research methods in new digital contexts for example, or working with the changing data landscape. </w:t>
      </w:r>
    </w:p>
    <w:p w14:paraId="79C2656E" w14:textId="68956640" w:rsidR="0053347E" w:rsidRDefault="0053347E" w:rsidP="00034D91">
      <w:pPr>
        <w:pStyle w:val="Newparagraph"/>
      </w:pPr>
      <w:r>
        <w:t xml:space="preserve">In light of the debates about classification, we recognise that the typology might be sufficient for a moment in time in the pedagogical, methods and data landscape, but ultimately that this moment may pass. For now, it can be used to prompt deep pedagogical thought, to spur dialogue and to invite refinement. Using the data, we could illustrate each part of the typology for a multitude of research methods and teaching contexts, but this is not the point. The danger in such an endeavour is that it is trying to catalogue that which cannot be catalogued or contained; it is that the descriptive could leak into the prescriptive. We have seen though that the categories of the </w:t>
      </w:r>
      <w:r w:rsidRPr="00660971">
        <w:t xml:space="preserve">typology </w:t>
      </w:r>
      <w:r w:rsidR="00001F31" w:rsidRPr="00660971">
        <w:t xml:space="preserve">both capture and stimulate pedagogical thinking. </w:t>
      </w:r>
      <w:r w:rsidR="00804603" w:rsidRPr="00660971">
        <w:t xml:space="preserve">We are not arguing that methods teachers have </w:t>
      </w:r>
      <w:r w:rsidR="002B402C" w:rsidRPr="00660971">
        <w:t>never</w:t>
      </w:r>
      <w:r w:rsidR="00804603" w:rsidRPr="00660971">
        <w:t xml:space="preserve"> previously distinguished betw</w:t>
      </w:r>
      <w:r w:rsidR="002B402C" w:rsidRPr="00660971">
        <w:t>een approach, strategy, tactics</w:t>
      </w:r>
      <w:r w:rsidR="00804603" w:rsidRPr="00660971">
        <w:t xml:space="preserve"> and task, </w:t>
      </w:r>
      <w:r w:rsidR="002B402C" w:rsidRPr="00660971">
        <w:t>or done so sufficiently. R</w:t>
      </w:r>
      <w:r w:rsidR="00804603" w:rsidRPr="00660971">
        <w:t>ather</w:t>
      </w:r>
      <w:r w:rsidR="002B402C" w:rsidRPr="00660971">
        <w:t xml:space="preserve"> we maintain</w:t>
      </w:r>
      <w:r w:rsidR="00804603" w:rsidRPr="00660971">
        <w:t xml:space="preserve"> that there are benefits to </w:t>
      </w:r>
      <w:r w:rsidR="002B402C" w:rsidRPr="00660971">
        <w:t>thinking with these concepts</w:t>
      </w:r>
      <w:r w:rsidR="00804603" w:rsidRPr="00660971">
        <w:t xml:space="preserve"> when planning, doing and reflecting on such teaching</w:t>
      </w:r>
      <w:r w:rsidR="002B402C" w:rsidRPr="00660971">
        <w:t xml:space="preserve">. </w:t>
      </w:r>
      <w:r w:rsidRPr="00660971">
        <w:t xml:space="preserve">Teachers exposed to </w:t>
      </w:r>
      <w:r w:rsidR="002B402C" w:rsidRPr="00660971">
        <w:t xml:space="preserve">the </w:t>
      </w:r>
      <w:r w:rsidR="002B402C" w:rsidRPr="00660971">
        <w:lastRenderedPageBreak/>
        <w:t>typology</w:t>
      </w:r>
      <w:r w:rsidRPr="00660971">
        <w:t xml:space="preserve"> have enjoyed grappling with applying it to excerpts from our data or to their own situations; the </w:t>
      </w:r>
      <w:r w:rsidR="00103616" w:rsidRPr="00660971">
        <w:t>porous quality</w:t>
      </w:r>
      <w:r w:rsidRPr="00660971">
        <w:t xml:space="preserve"> and inter-relational aspects facilitate critical </w:t>
      </w:r>
      <w:r>
        <w:t xml:space="preserve">engagement. This paper will, we hope, lead to far-reaching pedagogic work of this kind. </w:t>
      </w:r>
    </w:p>
    <w:p w14:paraId="31BA34CF" w14:textId="77777777" w:rsidR="00034D91" w:rsidRDefault="0053347E" w:rsidP="00034D91">
      <w:pPr>
        <w:pStyle w:val="Newparagraph"/>
      </w:pPr>
      <w:r>
        <w:t>Both Bowker and Star (1999) and Foucault (1970) (in his work on genealogies of knowledge and the social sciences) identify and discuss the power that categories and organising systems of thought exert upon people. We have already described the ‘perils of reification’ (Bailey 1994, 15) and we recognise the risk that each category ‘valorizes some point of view and silences another’ (Bowker and Star 1999, 15). We have sought to temper these issues through multi-method, dialogic methods that co-construct knowledge with our participants and, through case study, with our readers. The intention of generating a conceptual-empirical typology is to describe – and provoke – but not to evaluate and prescribe or proscribe. This typology represents knowledge moving ‘</w:t>
      </w:r>
      <w:r w:rsidRPr="004F7E47">
        <w:rPr>
          <w:lang w:val="en"/>
        </w:rPr>
        <w:t xml:space="preserve">from practice to research’ </w:t>
      </w:r>
      <w:r>
        <w:t xml:space="preserve">(Levin 2013, 10) </w:t>
      </w:r>
      <w:r w:rsidRPr="004F7E47">
        <w:rPr>
          <w:lang w:val="en"/>
        </w:rPr>
        <w:t>as much as the reverse</w:t>
      </w:r>
      <w:r w:rsidR="00034D91">
        <w:t>.</w:t>
      </w:r>
    </w:p>
    <w:p w14:paraId="4F88A8D0" w14:textId="77777777" w:rsidR="0053347E" w:rsidRDefault="0053347E" w:rsidP="00034D91">
      <w:pPr>
        <w:pStyle w:val="Newparagraph"/>
      </w:pPr>
      <w:r w:rsidRPr="00034D91">
        <w:t>Typological</w:t>
      </w:r>
      <w:r>
        <w:t xml:space="preserve"> knowledge-work requires an active, reflexive negotiation of power and knowledge-making that accords with the ‘watching brief on modes of socialisation’ (Boyne 1990, 134) that Foucault encourages as he reflects on categorical influence in the social sciences. We have sought to avoid ‘inertia’ (Bowker </w:t>
      </w:r>
      <w:r w:rsidR="00F81467">
        <w:t>and</w:t>
      </w:r>
      <w:r>
        <w:t xml:space="preserve"> Star 1999, 14) by keeping the typology dynamic enough to engage new perspectives and practices in the future. Looking forward, this typology will benefit from engagement, and expansion to ensure continuing credibility. Important starting points for interrogating the typology of methods pedagogy will include richer and more textured multi-perspective ethnographic accounts of teaching in practice. These could articulate conceptual formulations of approach/strategy/tactic/task more holistically in the narrative of experience. Further to this, exploration of the typology through visual modes that facilitate exploration and express the interrelationships of categories (for example, where one task serves several </w:t>
      </w:r>
      <w:r>
        <w:lastRenderedPageBreak/>
        <w:t xml:space="preserve">pedagogic aims) and the value of blurring edges of the typologies categories could hold value, promoting more nuanced rather than consolidated understanding. Additional modes of expansion and exploration could be facilitated by social indexing, or collaborative ‘tagging’ associated with folksonomy, to ‘facilitate the introduction of emerging concepts’ (Luff, Byatt </w:t>
      </w:r>
      <w:r w:rsidR="00F81467">
        <w:t>and</w:t>
      </w:r>
      <w:r>
        <w:t xml:space="preserve"> Martin 2015), alongside more conventional research. In sum, addressing the quality of social science research/methods cannot be fast-tracked through understanding, typologizing and debating methods pedagogy, but a useable </w:t>
      </w:r>
      <w:r w:rsidRPr="00A634E1">
        <w:t>framework which methods teachers can use to surface implicit</w:t>
      </w:r>
      <w:r>
        <w:t xml:space="preserve"> and unnamed pedagogic practice, for reflection and development offers a significant step forward for methods education research and practice.  </w:t>
      </w:r>
    </w:p>
    <w:p w14:paraId="48C11592" w14:textId="77777777" w:rsidR="00034D91" w:rsidRDefault="00034D91" w:rsidP="00100587">
      <w:pPr>
        <w:pStyle w:val="Acknowledgements"/>
      </w:pPr>
    </w:p>
    <w:p w14:paraId="6583A09B" w14:textId="421A128D" w:rsidR="000F51AA" w:rsidRDefault="00997B0F" w:rsidP="000F51AA">
      <w:pPr>
        <w:pStyle w:val="Acknowledgements"/>
        <w:rPr>
          <w:lang w:val="en"/>
        </w:rPr>
      </w:pPr>
      <w:r w:rsidRPr="00034D91">
        <w:t>Acknowledgements</w:t>
      </w:r>
      <w:r w:rsidR="00034D91">
        <w:t xml:space="preserve">: </w:t>
      </w:r>
      <w:r w:rsidR="00034D91">
        <w:rPr>
          <w:lang w:val="en"/>
        </w:rPr>
        <w:t xml:space="preserve">We thank our participants for their contribution to the knowledge shared here and we gratefully acknowledge </w:t>
      </w:r>
      <w:r w:rsidR="000F51AA">
        <w:rPr>
          <w:lang w:val="en"/>
        </w:rPr>
        <w:t xml:space="preserve">Daniel Kilburn and Rose Wiles for their research work in the first phase of this project. We also thank our critical readers </w:t>
      </w:r>
      <w:r w:rsidR="00092D64">
        <w:rPr>
          <w:lang w:val="en"/>
        </w:rPr>
        <w:t xml:space="preserve">Debbie Collins, </w:t>
      </w:r>
      <w:r w:rsidR="000F51AA">
        <w:rPr>
          <w:lang w:val="en"/>
        </w:rPr>
        <w:t xml:space="preserve">Tony Kelly, Christina Silver, Raphael Susewind and Mike Wallace for their important formative feedback on the paper. </w:t>
      </w:r>
    </w:p>
    <w:p w14:paraId="732133D3" w14:textId="67A9F938" w:rsidR="00F81467" w:rsidRPr="00E31045" w:rsidRDefault="00F81467" w:rsidP="00F81467">
      <w:pPr>
        <w:pStyle w:val="Acknowledgements"/>
        <w:rPr>
          <w:lang w:val="en"/>
        </w:rPr>
      </w:pPr>
      <w:r w:rsidRPr="00E31045">
        <w:rPr>
          <w:lang w:val="en"/>
        </w:rPr>
        <w:t xml:space="preserve">This research was funded by the UK Economic and Social Research Council (ESRC) </w:t>
      </w:r>
      <w:r w:rsidR="00D12276">
        <w:rPr>
          <w:lang w:val="en"/>
        </w:rPr>
        <w:t xml:space="preserve">- </w:t>
      </w:r>
      <w:r w:rsidRPr="00E31045">
        <w:rPr>
          <w:lang w:val="en"/>
        </w:rPr>
        <w:t xml:space="preserve">National Centre for Research Methods </w:t>
      </w:r>
      <w:r w:rsidR="000F51AA">
        <w:rPr>
          <w:lang w:val="en"/>
        </w:rPr>
        <w:t>grant number ES/L/008351/1</w:t>
      </w:r>
      <w:r w:rsidRPr="00E31045">
        <w:rPr>
          <w:lang w:val="en"/>
        </w:rPr>
        <w:t>.</w:t>
      </w:r>
    </w:p>
    <w:p w14:paraId="5BCE1CB6" w14:textId="77777777" w:rsidR="00034D91" w:rsidRDefault="00034D91" w:rsidP="00034D91">
      <w:pPr>
        <w:pStyle w:val="Acknowledgements"/>
        <w:rPr>
          <w:lang w:val="en"/>
        </w:rPr>
      </w:pPr>
    </w:p>
    <w:p w14:paraId="0D306416" w14:textId="77777777" w:rsidR="0018595A" w:rsidRDefault="0018595A" w:rsidP="0018595A">
      <w:pPr>
        <w:rPr>
          <w:lang w:val="en"/>
        </w:rPr>
      </w:pPr>
    </w:p>
    <w:p w14:paraId="147C5E09" w14:textId="77777777" w:rsidR="0018595A" w:rsidRDefault="0018595A" w:rsidP="0018595A">
      <w:pPr>
        <w:pStyle w:val="Heading1"/>
        <w:rPr>
          <w:lang w:val="en"/>
        </w:rPr>
      </w:pPr>
      <w:r>
        <w:rPr>
          <w:lang w:val="en"/>
        </w:rPr>
        <w:t>References</w:t>
      </w:r>
    </w:p>
    <w:p w14:paraId="02304209" w14:textId="77777777" w:rsidR="0018595A" w:rsidRDefault="0018595A" w:rsidP="0018595A">
      <w:pPr>
        <w:pStyle w:val="References"/>
      </w:pPr>
      <w:r>
        <w:t xml:space="preserve">Acero, V. O., E.S. Javier, and H.O. Castro. 2000. </w:t>
      </w:r>
      <w:r>
        <w:rPr>
          <w:i/>
        </w:rPr>
        <w:t>Principles and Strategies of T</w:t>
      </w:r>
      <w:r w:rsidRPr="00932BBB">
        <w:rPr>
          <w:i/>
        </w:rPr>
        <w:t>eaching</w:t>
      </w:r>
      <w:r>
        <w:t xml:space="preserve"> (Manilla, Philippines, Rex Book Store).</w:t>
      </w:r>
    </w:p>
    <w:p w14:paraId="106200AE" w14:textId="77777777" w:rsidR="0018595A" w:rsidRDefault="0018595A" w:rsidP="0018595A">
      <w:pPr>
        <w:pStyle w:val="References"/>
      </w:pPr>
      <w:r>
        <w:t xml:space="preserve">Alexander, R. 2018. Developing dialogic teaching: genesis, process, trial, </w:t>
      </w:r>
      <w:r w:rsidRPr="005138F2">
        <w:rPr>
          <w:i/>
        </w:rPr>
        <w:t>Research Papers in Education</w:t>
      </w:r>
      <w:r>
        <w:t>, DOI: 10.1080/02671522.2018.1481140</w:t>
      </w:r>
    </w:p>
    <w:p w14:paraId="26113A66" w14:textId="77777777" w:rsidR="0018595A" w:rsidRPr="00DD2C18" w:rsidRDefault="0018595A" w:rsidP="0018595A">
      <w:pPr>
        <w:pStyle w:val="References"/>
        <w:rPr>
          <w:rFonts w:cs="ArialUnicodeMS"/>
        </w:rPr>
      </w:pPr>
      <w:r>
        <w:t xml:space="preserve">Atran, S. 1990. </w:t>
      </w:r>
      <w:r>
        <w:rPr>
          <w:i/>
        </w:rPr>
        <w:t>Cognitive Foundations of Natural History: Towards an Anthropology of S</w:t>
      </w:r>
      <w:r w:rsidRPr="00932BBB">
        <w:rPr>
          <w:i/>
        </w:rPr>
        <w:t>cience</w:t>
      </w:r>
      <w:r>
        <w:t>. Cambridge: Cambridge University Press.</w:t>
      </w:r>
    </w:p>
    <w:p w14:paraId="7DFA2E72" w14:textId="77777777" w:rsidR="0018595A" w:rsidRDefault="0018595A" w:rsidP="0018595A">
      <w:pPr>
        <w:pStyle w:val="References"/>
        <w:rPr>
          <w:rFonts w:cs="ArialUnicodeMS"/>
        </w:rPr>
      </w:pPr>
      <w:r>
        <w:rPr>
          <w:rFonts w:cs="ArialUnicodeMS"/>
        </w:rPr>
        <w:lastRenderedPageBreak/>
        <w:t xml:space="preserve">Ayres, L., and K.A. Knafle 2008. “Typological analysis”, in </w:t>
      </w:r>
      <w:r>
        <w:rPr>
          <w:rFonts w:cs="ArialUnicodeMS"/>
          <w:i/>
        </w:rPr>
        <w:t xml:space="preserve">Sage Encyclopedia of Qualitative Research Methods, </w:t>
      </w:r>
      <w:r>
        <w:rPr>
          <w:rFonts w:cs="ArialUnicodeMS"/>
        </w:rPr>
        <w:t xml:space="preserve">edited by L.M. Given. Thousand Oaks, CA: Sage. Available online at: </w:t>
      </w:r>
      <w:hyperlink r:id="rId10" w:history="1">
        <w:r w:rsidRPr="00125474">
          <w:rPr>
            <w:rStyle w:val="Hyperlink"/>
            <w:rFonts w:cs="ArialUnicodeMS"/>
          </w:rPr>
          <w:t>http://srmo.sagepub.com/view/sage-encyc-qualitative</w:t>
        </w:r>
        <w:r w:rsidRPr="00613BB7">
          <w:rPr>
            <w:rStyle w:val="Hyperlink"/>
            <w:rFonts w:cs="ArialUnicodeMS"/>
          </w:rPr>
          <w:t>-research-methods/n472.xml</w:t>
        </w:r>
      </w:hyperlink>
      <w:r>
        <w:rPr>
          <w:rFonts w:cs="ArialUnicodeMS"/>
        </w:rPr>
        <w:t xml:space="preserve"> (accessed 10 December 2017).</w:t>
      </w:r>
    </w:p>
    <w:p w14:paraId="01D4D1FD" w14:textId="77777777" w:rsidR="0018595A" w:rsidRDefault="0018595A" w:rsidP="0018595A">
      <w:pPr>
        <w:pStyle w:val="References"/>
        <w:rPr>
          <w:rFonts w:cs="Arial"/>
          <w:bCs/>
        </w:rPr>
      </w:pPr>
      <w:r w:rsidRPr="000C185B">
        <w:rPr>
          <w:rFonts w:cs="ArialUnicodeMS"/>
        </w:rPr>
        <w:t xml:space="preserve">Bailey, K.D. </w:t>
      </w:r>
      <w:r>
        <w:rPr>
          <w:rFonts w:cs="ArialUnicodeMS"/>
        </w:rPr>
        <w:t>1994.</w:t>
      </w:r>
      <w:r w:rsidRPr="000C185B">
        <w:rPr>
          <w:rFonts w:cs="ArialUnicodeMS"/>
        </w:rPr>
        <w:t xml:space="preserve"> </w:t>
      </w:r>
      <w:r>
        <w:rPr>
          <w:rFonts w:cs="Arial"/>
          <w:bCs/>
          <w:i/>
        </w:rPr>
        <w:t>Typologies and Taxonomies: An Introduction to Classification T</w:t>
      </w:r>
      <w:r w:rsidRPr="00932BBB">
        <w:rPr>
          <w:rFonts w:cs="Arial"/>
          <w:bCs/>
          <w:i/>
        </w:rPr>
        <w:t>echniques</w:t>
      </w:r>
      <w:r>
        <w:rPr>
          <w:rFonts w:cs="Arial"/>
          <w:bCs/>
          <w:i/>
        </w:rPr>
        <w:t>.</w:t>
      </w:r>
      <w:r w:rsidRPr="000C185B">
        <w:rPr>
          <w:rFonts w:cs="Arial"/>
          <w:bCs/>
        </w:rPr>
        <w:t xml:space="preserve"> </w:t>
      </w:r>
      <w:r>
        <w:rPr>
          <w:rFonts w:cs="Arial"/>
          <w:bCs/>
        </w:rPr>
        <w:t>Thousand Oaks, CA:</w:t>
      </w:r>
      <w:r w:rsidRPr="000C185B">
        <w:rPr>
          <w:rFonts w:cs="Arial"/>
          <w:bCs/>
        </w:rPr>
        <w:t xml:space="preserve"> Sage.</w:t>
      </w:r>
    </w:p>
    <w:p w14:paraId="5C889313" w14:textId="77777777" w:rsidR="0018595A" w:rsidRPr="0018595A" w:rsidRDefault="0018595A" w:rsidP="0018595A">
      <w:pPr>
        <w:pStyle w:val="References"/>
      </w:pPr>
      <w:r w:rsidRPr="0018595A">
        <w:t xml:space="preserve">Barraket, J. 2005. “Teaching research method using a student-centred approach? Critical Reflections on practice”. Journal of University Teaching </w:t>
      </w:r>
      <w:r w:rsidR="00F81467">
        <w:t>and</w:t>
      </w:r>
      <w:r w:rsidRPr="0018595A">
        <w:t xml:space="preserve"> Learning Practice 2(2), 62-74.</w:t>
      </w:r>
    </w:p>
    <w:p w14:paraId="7E7F3AA2" w14:textId="77777777" w:rsidR="0018595A" w:rsidRDefault="0018595A" w:rsidP="0018595A">
      <w:pPr>
        <w:pStyle w:val="References"/>
        <w:rPr>
          <w:rFonts w:cs="Arial"/>
          <w:bCs/>
        </w:rPr>
      </w:pPr>
      <w:r>
        <w:rPr>
          <w:rFonts w:cs="Arial"/>
          <w:bCs/>
        </w:rPr>
        <w:t>Borkan, J. 1999. “Immersion/Crystallization”</w:t>
      </w:r>
      <w:r w:rsidRPr="001657EC">
        <w:rPr>
          <w:rFonts w:cs="Arial"/>
          <w:bCs/>
        </w:rPr>
        <w:t>, in</w:t>
      </w:r>
      <w:r>
        <w:rPr>
          <w:rFonts w:cs="Arial"/>
          <w:bCs/>
        </w:rPr>
        <w:t xml:space="preserve"> </w:t>
      </w:r>
      <w:r>
        <w:rPr>
          <w:rFonts w:cs="Arial"/>
          <w:bCs/>
          <w:i/>
        </w:rPr>
        <w:t>Doing Q</w:t>
      </w:r>
      <w:r w:rsidRPr="001657EC">
        <w:rPr>
          <w:rFonts w:cs="Arial"/>
          <w:bCs/>
          <w:i/>
        </w:rPr>
        <w:t>ual</w:t>
      </w:r>
      <w:r>
        <w:rPr>
          <w:rFonts w:cs="Arial"/>
          <w:bCs/>
          <w:i/>
        </w:rPr>
        <w:t>itative R</w:t>
      </w:r>
      <w:r w:rsidRPr="001657EC">
        <w:rPr>
          <w:rFonts w:cs="Arial"/>
          <w:bCs/>
          <w:i/>
        </w:rPr>
        <w:t>esearch</w:t>
      </w:r>
      <w:r>
        <w:rPr>
          <w:rFonts w:cs="Arial"/>
          <w:bCs/>
          <w:i/>
        </w:rPr>
        <w:t xml:space="preserve">, </w:t>
      </w:r>
      <w:r>
        <w:rPr>
          <w:rFonts w:cs="Arial"/>
          <w:bCs/>
        </w:rPr>
        <w:t xml:space="preserve">edited by B.F Crabtree, and W.L. Miller, </w:t>
      </w:r>
      <w:r w:rsidRPr="001657EC">
        <w:rPr>
          <w:rFonts w:cs="Arial"/>
          <w:bCs/>
        </w:rPr>
        <w:t>179-194</w:t>
      </w:r>
      <w:r>
        <w:rPr>
          <w:rFonts w:cs="Arial"/>
          <w:bCs/>
        </w:rPr>
        <w:t xml:space="preserve">. </w:t>
      </w:r>
      <w:r w:rsidRPr="001657EC">
        <w:rPr>
          <w:rFonts w:cs="Arial"/>
          <w:bCs/>
        </w:rPr>
        <w:t>Thousand Oaks, CA</w:t>
      </w:r>
      <w:r>
        <w:rPr>
          <w:rFonts w:cs="Arial"/>
          <w:bCs/>
        </w:rPr>
        <w:t>:</w:t>
      </w:r>
      <w:r w:rsidRPr="001657EC">
        <w:rPr>
          <w:rFonts w:cs="Arial"/>
          <w:bCs/>
        </w:rPr>
        <w:t xml:space="preserve"> Sage.</w:t>
      </w:r>
    </w:p>
    <w:p w14:paraId="71F95DEC" w14:textId="77777777" w:rsidR="0018595A" w:rsidRDefault="0018595A" w:rsidP="0018595A">
      <w:pPr>
        <w:pStyle w:val="References"/>
        <w:rPr>
          <w:rFonts w:cs="AdvOT5843c571"/>
        </w:rPr>
      </w:pPr>
      <w:r w:rsidRPr="002E5368">
        <w:rPr>
          <w:rFonts w:cs="AdvOT5843c571"/>
        </w:rPr>
        <w:t xml:space="preserve">Bourdieu, P. 1992. The practice of reflexive sociology (The Paris Workshop). In </w:t>
      </w:r>
      <w:r w:rsidRPr="002E5368">
        <w:rPr>
          <w:rFonts w:cs="AdvOTf90d833a.I"/>
        </w:rPr>
        <w:t>An Invitation to Reflexive Sociology</w:t>
      </w:r>
      <w:r>
        <w:rPr>
          <w:rFonts w:cs="AdvOTf90d833a.I"/>
        </w:rPr>
        <w:t xml:space="preserve">, edited by </w:t>
      </w:r>
      <w:r w:rsidRPr="00385A9F">
        <w:rPr>
          <w:rFonts w:cs="AdvOT5843c571"/>
        </w:rPr>
        <w:t>P. Bourdieu and L. Wacquant</w:t>
      </w:r>
      <w:r>
        <w:rPr>
          <w:rFonts w:cs="AdvOT5843c571"/>
        </w:rPr>
        <w:t xml:space="preserve">, </w:t>
      </w:r>
      <w:r w:rsidRPr="00385A9F">
        <w:rPr>
          <w:rFonts w:cs="AdvOT5843c571"/>
        </w:rPr>
        <w:t>217</w:t>
      </w:r>
      <w:r w:rsidRPr="00385A9F">
        <w:rPr>
          <w:rFonts w:cs="AdvOT5843c571+20"/>
        </w:rPr>
        <w:t>–</w:t>
      </w:r>
      <w:r w:rsidRPr="00385A9F">
        <w:rPr>
          <w:rFonts w:cs="AdvOT5843c571"/>
        </w:rPr>
        <w:t>260</w:t>
      </w:r>
      <w:r>
        <w:rPr>
          <w:rFonts w:cs="AdvOT5843c571"/>
        </w:rPr>
        <w:t xml:space="preserve">. </w:t>
      </w:r>
      <w:r w:rsidRPr="002E5368">
        <w:rPr>
          <w:rFonts w:cs="AdvOT5843c571"/>
        </w:rPr>
        <w:t>Chicago: The University of Chicago Press.</w:t>
      </w:r>
    </w:p>
    <w:p w14:paraId="0695175B" w14:textId="77777777" w:rsidR="0018595A" w:rsidRDefault="0018595A" w:rsidP="0018595A">
      <w:pPr>
        <w:pStyle w:val="References"/>
        <w:rPr>
          <w:rFonts w:cs="Arial"/>
          <w:bCs/>
        </w:rPr>
      </w:pPr>
      <w:r>
        <w:rPr>
          <w:rFonts w:cs="Arial"/>
          <w:bCs/>
        </w:rPr>
        <w:t>Bowker, G.C., and S.L. Star.</w:t>
      </w:r>
      <w:r w:rsidRPr="001657EC">
        <w:rPr>
          <w:rFonts w:cs="Arial"/>
          <w:bCs/>
        </w:rPr>
        <w:t xml:space="preserve"> 1999. </w:t>
      </w:r>
      <w:r>
        <w:rPr>
          <w:rFonts w:cs="Arial"/>
          <w:bCs/>
          <w:i/>
        </w:rPr>
        <w:t>Sorting Things Out: Classification and its C</w:t>
      </w:r>
      <w:r w:rsidRPr="001657EC">
        <w:rPr>
          <w:rFonts w:cs="Arial"/>
          <w:bCs/>
          <w:i/>
        </w:rPr>
        <w:t>onsequences</w:t>
      </w:r>
      <w:r>
        <w:rPr>
          <w:rFonts w:cs="Arial"/>
          <w:bCs/>
          <w:i/>
        </w:rPr>
        <w:t>.</w:t>
      </w:r>
      <w:r>
        <w:rPr>
          <w:rFonts w:cs="Arial"/>
          <w:bCs/>
        </w:rPr>
        <w:t xml:space="preserve"> Cambridge, MA: MIT Press.</w:t>
      </w:r>
    </w:p>
    <w:p w14:paraId="20ADB1D6" w14:textId="77777777" w:rsidR="0018595A" w:rsidRPr="001657EC" w:rsidRDefault="0018595A" w:rsidP="0018595A">
      <w:pPr>
        <w:pStyle w:val="References"/>
        <w:rPr>
          <w:rFonts w:cs="Arial"/>
          <w:bCs/>
        </w:rPr>
      </w:pPr>
      <w:r>
        <w:rPr>
          <w:rFonts w:cs="Arial"/>
          <w:bCs/>
        </w:rPr>
        <w:t>Boyatzis, R.E. 1998.</w:t>
      </w:r>
      <w:r w:rsidRPr="001657EC">
        <w:rPr>
          <w:rFonts w:cs="Arial"/>
          <w:bCs/>
        </w:rPr>
        <w:t xml:space="preserve"> </w:t>
      </w:r>
      <w:r w:rsidRPr="001657EC">
        <w:rPr>
          <w:rFonts w:cs="Arial"/>
        </w:rPr>
        <w:t>T</w:t>
      </w:r>
      <w:r>
        <w:rPr>
          <w:rFonts w:cs="Arial"/>
          <w:i/>
        </w:rPr>
        <w:t>ransforming Qualitative I</w:t>
      </w:r>
      <w:r w:rsidRPr="001657EC">
        <w:rPr>
          <w:rFonts w:cs="Arial"/>
          <w:i/>
        </w:rPr>
        <w:t xml:space="preserve">nformation: </w:t>
      </w:r>
      <w:r>
        <w:rPr>
          <w:rFonts w:cs="Arial"/>
          <w:bCs/>
          <w:i/>
        </w:rPr>
        <w:t>Thematic Analysis and C</w:t>
      </w:r>
      <w:r w:rsidRPr="001657EC">
        <w:rPr>
          <w:rFonts w:cs="Arial"/>
          <w:bCs/>
          <w:i/>
        </w:rPr>
        <w:t>ode</w:t>
      </w:r>
      <w:r>
        <w:rPr>
          <w:rFonts w:cs="Arial"/>
          <w:bCs/>
          <w:i/>
        </w:rPr>
        <w:t xml:space="preserve"> D</w:t>
      </w:r>
      <w:r w:rsidRPr="001657EC">
        <w:rPr>
          <w:rFonts w:cs="Arial"/>
          <w:bCs/>
          <w:i/>
        </w:rPr>
        <w:t>evelopment</w:t>
      </w:r>
      <w:r>
        <w:rPr>
          <w:rFonts w:cs="Arial"/>
          <w:bCs/>
          <w:i/>
        </w:rPr>
        <w:t>.</w:t>
      </w:r>
      <w:r>
        <w:rPr>
          <w:rFonts w:cs="Arial"/>
          <w:bCs/>
        </w:rPr>
        <w:t xml:space="preserve"> Thousand Oaks, CA: Sage</w:t>
      </w:r>
      <w:r w:rsidRPr="001657EC">
        <w:rPr>
          <w:rFonts w:cs="Arial"/>
          <w:bCs/>
        </w:rPr>
        <w:t>.</w:t>
      </w:r>
    </w:p>
    <w:p w14:paraId="428C25ED" w14:textId="77777777" w:rsidR="0018595A" w:rsidRPr="001657EC" w:rsidRDefault="0018595A" w:rsidP="0018595A">
      <w:pPr>
        <w:pStyle w:val="References"/>
        <w:rPr>
          <w:rFonts w:cs="Arial"/>
          <w:bCs/>
        </w:rPr>
      </w:pPr>
      <w:r>
        <w:rPr>
          <w:rFonts w:cs="Arial"/>
          <w:bCs/>
        </w:rPr>
        <w:t>Boyne, R. 1990.</w:t>
      </w:r>
      <w:r w:rsidRPr="001657EC">
        <w:rPr>
          <w:rFonts w:cs="Arial"/>
          <w:bCs/>
        </w:rPr>
        <w:t xml:space="preserve"> </w:t>
      </w:r>
      <w:r>
        <w:rPr>
          <w:rFonts w:cs="Arial"/>
          <w:bCs/>
          <w:i/>
        </w:rPr>
        <w:t>Foucault and Derrida: The Other Side of R</w:t>
      </w:r>
      <w:r w:rsidRPr="001657EC">
        <w:rPr>
          <w:rFonts w:cs="Arial"/>
          <w:bCs/>
          <w:i/>
        </w:rPr>
        <w:t>eason</w:t>
      </w:r>
      <w:r>
        <w:rPr>
          <w:rFonts w:cs="Arial"/>
          <w:bCs/>
        </w:rPr>
        <w:t xml:space="preserve">. London </w:t>
      </w:r>
      <w:r w:rsidR="00F81467">
        <w:rPr>
          <w:rFonts w:cs="Arial"/>
          <w:bCs/>
        </w:rPr>
        <w:t>and</w:t>
      </w:r>
      <w:r>
        <w:rPr>
          <w:rFonts w:cs="Arial"/>
          <w:bCs/>
        </w:rPr>
        <w:t xml:space="preserve"> New York: Routledge</w:t>
      </w:r>
      <w:r w:rsidRPr="001657EC">
        <w:rPr>
          <w:rFonts w:cs="Arial"/>
          <w:bCs/>
        </w:rPr>
        <w:t>.</w:t>
      </w:r>
    </w:p>
    <w:p w14:paraId="1597BE01" w14:textId="77777777" w:rsidR="0018595A" w:rsidRPr="001657EC" w:rsidRDefault="0018595A" w:rsidP="0018595A">
      <w:pPr>
        <w:pStyle w:val="References"/>
        <w:rPr>
          <w:rFonts w:cs="Arial"/>
          <w:bCs/>
        </w:rPr>
      </w:pPr>
      <w:r>
        <w:rPr>
          <w:rFonts w:cs="ArialUnicodeMS"/>
        </w:rPr>
        <w:t>Braun, V. and V. Clarke. 2016.</w:t>
      </w:r>
      <w:r w:rsidRPr="001657EC">
        <w:rPr>
          <w:rFonts w:cs="ArialUnicodeMS"/>
        </w:rPr>
        <w:t xml:space="preserve"> </w:t>
      </w:r>
      <w:r>
        <w:rPr>
          <w:rFonts w:cs="ArialUnicodeMS"/>
        </w:rPr>
        <w:t>“</w:t>
      </w:r>
      <w:r w:rsidRPr="001657EC">
        <w:rPr>
          <w:rFonts w:cs="ArialUnicodeMS"/>
        </w:rPr>
        <w:t>(Mis)conceptualising themes, thematic analysis, and other problems with Fugard and Potts’ (2015) sample-size tool for thematic analysis</w:t>
      </w:r>
      <w:r>
        <w:rPr>
          <w:rFonts w:cs="ArialUnicodeMS"/>
        </w:rPr>
        <w:t>”.</w:t>
      </w:r>
      <w:r w:rsidRPr="001657EC">
        <w:rPr>
          <w:rFonts w:cs="ArialUnicodeMS"/>
        </w:rPr>
        <w:t xml:space="preserve"> </w:t>
      </w:r>
      <w:r w:rsidRPr="001657EC">
        <w:rPr>
          <w:rFonts w:cs="ArialUnicodeMS"/>
          <w:i/>
        </w:rPr>
        <w:t>International Journal of Social Research Methodology</w:t>
      </w:r>
      <w:r w:rsidRPr="001657EC">
        <w:rPr>
          <w:rFonts w:cs="ArialUnicodeMS"/>
        </w:rPr>
        <w:t xml:space="preserve"> 19</w:t>
      </w:r>
      <w:r>
        <w:rPr>
          <w:rFonts w:cs="ArialUnicodeMS"/>
        </w:rPr>
        <w:t xml:space="preserve"> (6):</w:t>
      </w:r>
      <w:r w:rsidRPr="001657EC">
        <w:rPr>
          <w:rFonts w:cs="ArialUnicodeMS"/>
        </w:rPr>
        <w:t xml:space="preserve"> 739-743.</w:t>
      </w:r>
    </w:p>
    <w:p w14:paraId="7960FC15" w14:textId="77777777" w:rsidR="0018595A" w:rsidRDefault="0018595A" w:rsidP="0018595A">
      <w:pPr>
        <w:pStyle w:val="References"/>
        <w:rPr>
          <w:rFonts w:cs="AdvPL"/>
        </w:rPr>
      </w:pPr>
      <w:r>
        <w:rPr>
          <w:rFonts w:cs="ArialUnicodeMS"/>
        </w:rPr>
        <w:t>Brown, K.M. 2004.</w:t>
      </w:r>
      <w:r w:rsidRPr="001657EC">
        <w:rPr>
          <w:rFonts w:cs="ArialUnicodeMS"/>
        </w:rPr>
        <w:t xml:space="preserve"> </w:t>
      </w:r>
      <w:r>
        <w:rPr>
          <w:rFonts w:cs="ArialUnicodeMS"/>
        </w:rPr>
        <w:t>“</w:t>
      </w:r>
      <w:r w:rsidRPr="001657EC">
        <w:rPr>
          <w:rFonts w:cs="Times-Bold"/>
          <w:bCs/>
        </w:rPr>
        <w:t>Leadership for social justice and equity: weaving a transf</w:t>
      </w:r>
      <w:r>
        <w:rPr>
          <w:rFonts w:cs="Times-Bold"/>
          <w:bCs/>
        </w:rPr>
        <w:t xml:space="preserve">ormative framework and pedagogy”. </w:t>
      </w:r>
      <w:r w:rsidRPr="001657EC">
        <w:rPr>
          <w:rFonts w:cs="Times-Italic"/>
          <w:i/>
          <w:iCs/>
        </w:rPr>
        <w:t>Educa</w:t>
      </w:r>
      <w:r>
        <w:rPr>
          <w:rFonts w:cs="Times-Italic"/>
          <w:i/>
          <w:iCs/>
        </w:rPr>
        <w:t>tional Administration Quarterly</w:t>
      </w:r>
      <w:r w:rsidRPr="001657EC">
        <w:rPr>
          <w:rFonts w:cs="Times-Italic"/>
          <w:i/>
          <w:iCs/>
        </w:rPr>
        <w:t xml:space="preserve"> </w:t>
      </w:r>
      <w:r w:rsidRPr="001657EC">
        <w:rPr>
          <w:rFonts w:cs="Times-Italic"/>
          <w:iCs/>
        </w:rPr>
        <w:t>40</w:t>
      </w:r>
      <w:r>
        <w:rPr>
          <w:rFonts w:cs="Times-Italic"/>
          <w:iCs/>
        </w:rPr>
        <w:t xml:space="preserve"> (1):</w:t>
      </w:r>
      <w:r w:rsidRPr="001657EC">
        <w:rPr>
          <w:rFonts w:cs="Times-Italic"/>
          <w:iCs/>
        </w:rPr>
        <w:t xml:space="preserve"> 77-108.</w:t>
      </w:r>
    </w:p>
    <w:p w14:paraId="18B3BC06" w14:textId="77777777" w:rsidR="0018595A" w:rsidRPr="001657EC" w:rsidRDefault="0018595A" w:rsidP="0018595A">
      <w:pPr>
        <w:pStyle w:val="References"/>
        <w:rPr>
          <w:rFonts w:cs="ArialUnicodeMS"/>
        </w:rPr>
      </w:pPr>
      <w:r>
        <w:rPr>
          <w:rFonts w:cs="AdvPL"/>
        </w:rPr>
        <w:t>Brown, S. and D. McIntyre. 1993.</w:t>
      </w:r>
      <w:r w:rsidRPr="005A732D">
        <w:rPr>
          <w:rFonts w:cs="AdvPL"/>
        </w:rPr>
        <w:t xml:space="preserve"> </w:t>
      </w:r>
      <w:r w:rsidRPr="00DC033A">
        <w:rPr>
          <w:rFonts w:cs="AdvPLI"/>
          <w:i/>
        </w:rPr>
        <w:t>Making Sense of Teaching</w:t>
      </w:r>
      <w:r>
        <w:rPr>
          <w:rFonts w:cs="AdvPLI"/>
        </w:rPr>
        <w:t xml:space="preserve">. </w:t>
      </w:r>
      <w:r w:rsidRPr="005A732D">
        <w:rPr>
          <w:rFonts w:cs="AdvPL"/>
        </w:rPr>
        <w:t>Bu</w:t>
      </w:r>
      <w:r>
        <w:rPr>
          <w:rFonts w:cs="AdvPL"/>
        </w:rPr>
        <w:t>ckingham: Open University Press</w:t>
      </w:r>
      <w:r w:rsidRPr="005A732D">
        <w:rPr>
          <w:rFonts w:cs="AdvPL"/>
        </w:rPr>
        <w:t>.</w:t>
      </w:r>
    </w:p>
    <w:p w14:paraId="4240F88A" w14:textId="77777777" w:rsidR="0018595A" w:rsidRDefault="0018595A" w:rsidP="0018595A">
      <w:pPr>
        <w:pStyle w:val="References"/>
      </w:pPr>
      <w:r>
        <w:t xml:space="preserve">Cooper, R., R.J. Chenail, and S.Fleming. 2012. “A grounded theory of inductive qualitative research education: Results of a meta-data-analysis”. </w:t>
      </w:r>
      <w:r w:rsidRPr="004E40FB">
        <w:rPr>
          <w:i/>
        </w:rPr>
        <w:t>The Qualitative Report</w:t>
      </w:r>
      <w:r>
        <w:t xml:space="preserve"> 17 (52): 1-26. </w:t>
      </w:r>
    </w:p>
    <w:p w14:paraId="518B8F1D" w14:textId="77777777" w:rsidR="0018595A" w:rsidRDefault="0018595A" w:rsidP="0018595A">
      <w:pPr>
        <w:pStyle w:val="References"/>
        <w:rPr>
          <w:lang w:val="en"/>
        </w:rPr>
      </w:pPr>
      <w:r>
        <w:lastRenderedPageBreak/>
        <w:t xml:space="preserve">Daniel, B.K. 2018. </w:t>
      </w:r>
      <w:r>
        <w:rPr>
          <w:rStyle w:val="nlmarticle-title"/>
          <w:rFonts w:cs="Arial"/>
          <w:lang w:val="en"/>
        </w:rPr>
        <w:t xml:space="preserve">Contestable professional academic identity of those who teach research methodology”. </w:t>
      </w:r>
      <w:r>
        <w:rPr>
          <w:rStyle w:val="nlmarticle-title"/>
          <w:rFonts w:cs="Arial"/>
          <w:i/>
          <w:lang w:val="en"/>
        </w:rPr>
        <w:t xml:space="preserve">International Journal of Research and Method in Education </w:t>
      </w:r>
      <w:r>
        <w:rPr>
          <w:rStyle w:val="nlmarticle-title"/>
          <w:rFonts w:cs="Arial"/>
          <w:lang w:val="en"/>
        </w:rPr>
        <w:t>41(5): 548-61.</w:t>
      </w:r>
    </w:p>
    <w:p w14:paraId="71FE2239" w14:textId="77777777" w:rsidR="0018595A" w:rsidRDefault="0018595A" w:rsidP="0018595A">
      <w:pPr>
        <w:pStyle w:val="References"/>
      </w:pPr>
      <w:r w:rsidRPr="003024DD">
        <w:t>Dawson,</w:t>
      </w:r>
      <w:r>
        <w:t xml:space="preserve"> C. 2016.</w:t>
      </w:r>
      <w:r w:rsidRPr="003024DD">
        <w:t xml:space="preserve"> </w:t>
      </w:r>
      <w:r>
        <w:rPr>
          <w:i/>
        </w:rPr>
        <w:t>100 Activities for Teaching Research M</w:t>
      </w:r>
      <w:r w:rsidRPr="00932BBB">
        <w:rPr>
          <w:i/>
        </w:rPr>
        <w:t>ethods</w:t>
      </w:r>
      <w:r>
        <w:t>. London:</w:t>
      </w:r>
      <w:r w:rsidRPr="003024DD">
        <w:t xml:space="preserve"> Sage.</w:t>
      </w:r>
    </w:p>
    <w:p w14:paraId="3D73EAFB" w14:textId="77777777" w:rsidR="0018595A" w:rsidRDefault="0018595A" w:rsidP="0018595A">
      <w:pPr>
        <w:pStyle w:val="References"/>
        <w:rPr>
          <w:lang w:val="en"/>
        </w:rPr>
      </w:pPr>
      <w:r>
        <w:rPr>
          <w:lang w:val="en"/>
        </w:rPr>
        <w:t xml:space="preserve">Densgombe, M. 1982. “The ‘hidden pedagogy’ and its implication for teacher training”. </w:t>
      </w:r>
      <w:r w:rsidRPr="00932BBB">
        <w:rPr>
          <w:i/>
          <w:lang w:val="en"/>
        </w:rPr>
        <w:t>British Journal of Sociology of Education</w:t>
      </w:r>
      <w:r>
        <w:rPr>
          <w:lang w:val="en"/>
        </w:rPr>
        <w:t xml:space="preserve"> 3(3</w:t>
      </w:r>
      <w:r w:rsidRPr="003D2FF0">
        <w:rPr>
          <w:lang w:val="en"/>
        </w:rPr>
        <w:t>)</w:t>
      </w:r>
      <w:r>
        <w:rPr>
          <w:lang w:val="en"/>
        </w:rPr>
        <w:t>:</w:t>
      </w:r>
      <w:r w:rsidRPr="003D2FF0">
        <w:rPr>
          <w:lang w:val="en"/>
        </w:rPr>
        <w:t xml:space="preserve"> 249-265.</w:t>
      </w:r>
    </w:p>
    <w:p w14:paraId="230A65D8" w14:textId="77777777" w:rsidR="0018595A" w:rsidRDefault="0018595A" w:rsidP="0018595A">
      <w:pPr>
        <w:pStyle w:val="References"/>
        <w:rPr>
          <w:lang w:val="en"/>
        </w:rPr>
      </w:pPr>
      <w:r>
        <w:t xml:space="preserve">Dick, W., L. Carey, and J. Carey. 2001. </w:t>
      </w:r>
      <w:r>
        <w:rPr>
          <w:i/>
        </w:rPr>
        <w:t>The Systematic Design of I</w:t>
      </w:r>
      <w:r w:rsidRPr="00932BBB">
        <w:rPr>
          <w:i/>
        </w:rPr>
        <w:t>nstruction</w:t>
      </w:r>
      <w:r>
        <w:t xml:space="preserve"> (5th edn). New York: Addison-Wesley.</w:t>
      </w:r>
      <w:r w:rsidDel="004A38A4">
        <w:rPr>
          <w:lang w:val="en"/>
        </w:rPr>
        <w:t xml:space="preserve"> </w:t>
      </w:r>
    </w:p>
    <w:p w14:paraId="60F1CDF5" w14:textId="77777777" w:rsidR="0018595A" w:rsidRDefault="0018595A" w:rsidP="0018595A">
      <w:pPr>
        <w:pStyle w:val="References"/>
        <w:rPr>
          <w:lang w:val="en"/>
        </w:rPr>
      </w:pPr>
      <w:r>
        <w:rPr>
          <w:rFonts w:cs="AdvOT5843c571"/>
        </w:rPr>
        <w:t>Earley, M. 2014.</w:t>
      </w:r>
      <w:r w:rsidRPr="002B35E8">
        <w:rPr>
          <w:rFonts w:cs="AdvOT5843c571"/>
        </w:rPr>
        <w:t xml:space="preserve"> </w:t>
      </w:r>
      <w:r>
        <w:rPr>
          <w:rFonts w:cs="AdvOT5843c571"/>
        </w:rPr>
        <w:t>“</w:t>
      </w:r>
      <w:r w:rsidRPr="002B35E8">
        <w:rPr>
          <w:rFonts w:cs="AdvOT5843c571"/>
        </w:rPr>
        <w:t>A synthesis of the literatur</w:t>
      </w:r>
      <w:r>
        <w:rPr>
          <w:rFonts w:cs="AdvOT5843c571"/>
        </w:rPr>
        <w:t>e on research methods education”.</w:t>
      </w:r>
      <w:r w:rsidRPr="002B35E8">
        <w:rPr>
          <w:rFonts w:cs="AdvOT5843c571"/>
        </w:rPr>
        <w:t xml:space="preserve"> </w:t>
      </w:r>
      <w:r w:rsidRPr="002B35E8">
        <w:rPr>
          <w:rFonts w:cs="AdvOTf90d833a.I"/>
          <w:i/>
        </w:rPr>
        <w:t>Teaching in Higher Education</w:t>
      </w:r>
      <w:r>
        <w:rPr>
          <w:rFonts w:cs="AdvOT5843c571"/>
        </w:rPr>
        <w:t xml:space="preserve"> 19 (3):</w:t>
      </w:r>
      <w:r w:rsidRPr="002B35E8">
        <w:rPr>
          <w:rFonts w:cs="AdvOT5843c571"/>
        </w:rPr>
        <w:t xml:space="preserve"> 242</w:t>
      </w:r>
      <w:r w:rsidRPr="002B35E8">
        <w:rPr>
          <w:rFonts w:cs="AdvOT5843c571+20"/>
        </w:rPr>
        <w:t>–</w:t>
      </w:r>
      <w:r w:rsidRPr="002B35E8">
        <w:rPr>
          <w:rFonts w:cs="AdvOT5843c571"/>
        </w:rPr>
        <w:t>253.</w:t>
      </w:r>
    </w:p>
    <w:p w14:paraId="37771C93" w14:textId="77777777" w:rsidR="0018595A" w:rsidRPr="00660971" w:rsidRDefault="0018595A" w:rsidP="0018595A">
      <w:pPr>
        <w:pStyle w:val="References"/>
      </w:pPr>
      <w:r>
        <w:t>Foshay, A.W. 1975. “Teaching tactics and teaching strategies”</w:t>
      </w:r>
      <w:r w:rsidR="00320C54">
        <w:t>.</w:t>
      </w:r>
      <w:r>
        <w:t xml:space="preserve"> </w:t>
      </w:r>
      <w:r w:rsidRPr="00236D87">
        <w:rPr>
          <w:i/>
        </w:rPr>
        <w:t>Educational Leadership</w:t>
      </w:r>
      <w:r>
        <w:rPr>
          <w:i/>
        </w:rPr>
        <w:t xml:space="preserve">, </w:t>
      </w:r>
      <w:r w:rsidRPr="00236D87">
        <w:t>373-375</w:t>
      </w:r>
      <w:r>
        <w:t xml:space="preserve"> Available online at: </w:t>
      </w:r>
      <w:hyperlink r:id="rId11" w:history="1">
        <w:r w:rsidRPr="00FA600B">
          <w:rPr>
            <w:rStyle w:val="Hyperlink"/>
            <w:rFonts w:eastAsiaTheme="majorEastAsia"/>
          </w:rPr>
          <w:t>http://www.ascd.org/ASCD/pdf/journals/ed_lead/el_197503_foshay.pdf</w:t>
        </w:r>
      </w:hyperlink>
      <w:r>
        <w:t xml:space="preserve"> </w:t>
      </w:r>
      <w:r w:rsidRPr="00660971">
        <w:t>(accessed 20 February 2018).</w:t>
      </w:r>
    </w:p>
    <w:p w14:paraId="6F9014CE" w14:textId="77777777" w:rsidR="0018595A" w:rsidRPr="00660971" w:rsidRDefault="0018595A" w:rsidP="0018595A">
      <w:pPr>
        <w:pStyle w:val="References"/>
      </w:pPr>
      <w:r w:rsidRPr="00660971">
        <w:t xml:space="preserve">Foucault, M. 1970. </w:t>
      </w:r>
      <w:r w:rsidRPr="00660971">
        <w:rPr>
          <w:i/>
        </w:rPr>
        <w:t>The Order of Things: An Archaeology of the Human Sciences.</w:t>
      </w:r>
      <w:r w:rsidRPr="00660971">
        <w:t xml:space="preserve"> London: Tavistock.</w:t>
      </w:r>
    </w:p>
    <w:p w14:paraId="2AC34C98" w14:textId="2A36B95A" w:rsidR="00876070" w:rsidRPr="00660971" w:rsidRDefault="00876070" w:rsidP="00876070">
      <w:r w:rsidRPr="00660971">
        <w:t xml:space="preserve">Foucault M. 1972. </w:t>
      </w:r>
      <w:r w:rsidRPr="00660971">
        <w:rPr>
          <w:i/>
        </w:rPr>
        <w:t>The Archaeology of knowledge</w:t>
      </w:r>
      <w:r w:rsidRPr="00660971">
        <w:t xml:space="preserve">. Pantheon. NY: USA. </w:t>
      </w:r>
    </w:p>
    <w:p w14:paraId="057B2823" w14:textId="77777777" w:rsidR="0018595A" w:rsidRPr="00660971" w:rsidRDefault="0018595A" w:rsidP="0018595A">
      <w:pPr>
        <w:pStyle w:val="References"/>
        <w:rPr>
          <w:rFonts w:cs="AdvOT5843c571"/>
        </w:rPr>
      </w:pPr>
      <w:r w:rsidRPr="00660971">
        <w:rPr>
          <w:rFonts w:cs="AdvOT5843c571"/>
        </w:rPr>
        <w:t xml:space="preserve">Galliers, R. D., and J.C. Huang. 2012. “The teaching of qualitative research methods in information systems: an explorative study utilizing learning theory.” </w:t>
      </w:r>
      <w:r w:rsidRPr="00660971">
        <w:rPr>
          <w:rFonts w:cs="AdvOTf90d833a.I"/>
          <w:i/>
        </w:rPr>
        <w:t>European Journal of Information Systems</w:t>
      </w:r>
      <w:r w:rsidRPr="00660971">
        <w:rPr>
          <w:rFonts w:cs="AdvOT5843c571"/>
        </w:rPr>
        <w:t xml:space="preserve"> 21 (2): 119</w:t>
      </w:r>
      <w:r w:rsidRPr="00660971">
        <w:rPr>
          <w:rFonts w:cs="AdvOT5843c571+20"/>
        </w:rPr>
        <w:t>–</w:t>
      </w:r>
      <w:r w:rsidRPr="00660971">
        <w:rPr>
          <w:rFonts w:cs="AdvOT5843c571"/>
        </w:rPr>
        <w:t>134.</w:t>
      </w:r>
    </w:p>
    <w:p w14:paraId="60BF7F95" w14:textId="77777777" w:rsidR="0018595A" w:rsidRPr="00660971" w:rsidRDefault="0018595A" w:rsidP="0018595A">
      <w:pPr>
        <w:pStyle w:val="References"/>
        <w:rPr>
          <w:rFonts w:cs="ArialUnicodeMS"/>
        </w:rPr>
      </w:pPr>
      <w:r w:rsidRPr="00660971">
        <w:rPr>
          <w:rFonts w:cs="ArialUnicodeMS"/>
        </w:rPr>
        <w:t xml:space="preserve">Gamble, J. 2001. “Modelling the invisible: the pedagogy of craft apprenticeship”. </w:t>
      </w:r>
      <w:r w:rsidRPr="00660971">
        <w:rPr>
          <w:rFonts w:cs="ArialUnicodeMS"/>
          <w:i/>
        </w:rPr>
        <w:t>Studies in Continuing Education</w:t>
      </w:r>
      <w:r w:rsidRPr="00660971">
        <w:rPr>
          <w:rFonts w:cs="ArialUnicodeMS"/>
        </w:rPr>
        <w:t xml:space="preserve"> 23 (2): 185-200.</w:t>
      </w:r>
    </w:p>
    <w:p w14:paraId="2D8E722A" w14:textId="77777777" w:rsidR="0018595A" w:rsidRPr="00660971" w:rsidRDefault="0018595A" w:rsidP="0018595A">
      <w:pPr>
        <w:pStyle w:val="References"/>
      </w:pPr>
      <w:r w:rsidRPr="00660971">
        <w:rPr>
          <w:rFonts w:cs="ArialUnicodeMS"/>
        </w:rPr>
        <w:t xml:space="preserve">Garcia, M., B. 1989. </w:t>
      </w:r>
      <w:r w:rsidRPr="00660971">
        <w:rPr>
          <w:rFonts w:cs="ArialUnicodeMS"/>
          <w:i/>
        </w:rPr>
        <w:t>Focus on Teaching</w:t>
      </w:r>
      <w:r w:rsidRPr="00660971">
        <w:rPr>
          <w:rFonts w:cs="ArialUnicodeMS"/>
        </w:rPr>
        <w:t xml:space="preserve">. </w:t>
      </w:r>
      <w:r w:rsidRPr="00660971">
        <w:t>Manilla, Philippines, Rex Book Store.</w:t>
      </w:r>
    </w:p>
    <w:p w14:paraId="413A7528" w14:textId="77777777" w:rsidR="0018595A" w:rsidRPr="00660971" w:rsidRDefault="0018595A" w:rsidP="0018595A">
      <w:pPr>
        <w:pStyle w:val="References"/>
      </w:pPr>
      <w:r w:rsidRPr="00660971">
        <w:t xml:space="preserve">Goodyear, P. 1999. “Pedagogical frameworks and action research in open and distance learning”. </w:t>
      </w:r>
      <w:r w:rsidRPr="00660971">
        <w:rPr>
          <w:i/>
        </w:rPr>
        <w:t>European Journal of Open, Distance and E-Learning</w:t>
      </w:r>
      <w:r w:rsidRPr="00660971">
        <w:t xml:space="preserve">. Available online at: </w:t>
      </w:r>
      <w:hyperlink r:id="rId12" w:history="1">
        <w:r w:rsidRPr="00660971">
          <w:rPr>
            <w:rStyle w:val="Hyperlink"/>
            <w:color w:val="auto"/>
          </w:rPr>
          <w:t>http://www.eurodl.org/materials/contrib/1999/goodyear/index.pdf</w:t>
        </w:r>
      </w:hyperlink>
      <w:r w:rsidRPr="00660971">
        <w:rPr>
          <w:rStyle w:val="Hyperlink"/>
          <w:color w:val="auto"/>
        </w:rPr>
        <w:t xml:space="preserve"> (accessed 23 July 2017).</w:t>
      </w:r>
    </w:p>
    <w:p w14:paraId="7AAD5A44" w14:textId="77777777" w:rsidR="0018595A" w:rsidRPr="00660971" w:rsidRDefault="0018595A" w:rsidP="0018595A">
      <w:pPr>
        <w:pStyle w:val="References"/>
        <w:rPr>
          <w:lang w:val="en"/>
        </w:rPr>
      </w:pPr>
      <w:r w:rsidRPr="00660971">
        <w:rPr>
          <w:lang w:val="en"/>
        </w:rPr>
        <w:t xml:space="preserve">Gregor, S. 2006. “The nature of theory in information systems”. </w:t>
      </w:r>
      <w:r w:rsidRPr="00660971">
        <w:rPr>
          <w:i/>
          <w:lang w:val="en"/>
        </w:rPr>
        <w:t>MIS Quarterly</w:t>
      </w:r>
      <w:r w:rsidRPr="00660971">
        <w:rPr>
          <w:lang w:val="en"/>
        </w:rPr>
        <w:t xml:space="preserve"> 30 (3): 611-642.</w:t>
      </w:r>
    </w:p>
    <w:p w14:paraId="676CE1A1" w14:textId="77777777" w:rsidR="0018595A" w:rsidRPr="00660971" w:rsidRDefault="0018595A" w:rsidP="0018595A">
      <w:pPr>
        <w:pStyle w:val="References"/>
        <w:rPr>
          <w:lang w:val="en"/>
        </w:rPr>
      </w:pPr>
      <w:r w:rsidRPr="00660971">
        <w:rPr>
          <w:lang w:val="en"/>
        </w:rPr>
        <w:t xml:space="preserve">Hacking, I. 1995. “The looping effects of human kinds” in </w:t>
      </w:r>
      <w:r w:rsidRPr="00660971">
        <w:rPr>
          <w:i/>
          <w:lang w:val="en"/>
        </w:rPr>
        <w:t xml:space="preserve">Symposia of the Fyssen Foundation. Causal Cognition: A Multidisicplinary Debate, </w:t>
      </w:r>
      <w:r w:rsidRPr="00660971">
        <w:rPr>
          <w:lang w:val="en"/>
        </w:rPr>
        <w:t>edited by D. Sperber, D. Premack, and A.J. Premack, 351-39.  New York: Oxford University Press.</w:t>
      </w:r>
    </w:p>
    <w:p w14:paraId="5718D24D" w14:textId="77777777" w:rsidR="0018595A" w:rsidRPr="00660971" w:rsidRDefault="0018595A" w:rsidP="0018595A">
      <w:pPr>
        <w:pStyle w:val="References"/>
        <w:rPr>
          <w:rFonts w:cs="Times-Italic"/>
          <w:iCs/>
        </w:rPr>
      </w:pPr>
      <w:r w:rsidRPr="00660971">
        <w:rPr>
          <w:rFonts w:cs="ArialUnicodeMS"/>
        </w:rPr>
        <w:lastRenderedPageBreak/>
        <w:t>Haggis, T. 2003. “</w:t>
      </w:r>
      <w:r w:rsidRPr="00660971">
        <w:rPr>
          <w:rFonts w:cs="Times-Italic"/>
          <w:iCs/>
        </w:rPr>
        <w:t>Constructing images of ourselves? A critical investigation into ‘approaches to</w:t>
      </w:r>
      <w:r w:rsidR="00320C54" w:rsidRPr="00660971">
        <w:rPr>
          <w:rFonts w:cs="Times-Italic"/>
          <w:iCs/>
        </w:rPr>
        <w:t xml:space="preserve"> </w:t>
      </w:r>
      <w:r w:rsidRPr="00660971">
        <w:rPr>
          <w:rFonts w:cs="Times-Italic"/>
          <w:iCs/>
        </w:rPr>
        <w:t xml:space="preserve">learning’ research in higher education”. </w:t>
      </w:r>
      <w:r w:rsidRPr="00660971">
        <w:rPr>
          <w:rFonts w:cs="Times-Italic"/>
          <w:i/>
          <w:iCs/>
        </w:rPr>
        <w:t>British Educational Research Journal</w:t>
      </w:r>
      <w:r w:rsidRPr="00660971">
        <w:rPr>
          <w:rFonts w:cs="Times-Italic"/>
          <w:iCs/>
        </w:rPr>
        <w:t xml:space="preserve"> 29 (1): 89-104.</w:t>
      </w:r>
    </w:p>
    <w:p w14:paraId="6E48B4A1" w14:textId="77777777" w:rsidR="0018595A" w:rsidRPr="00660971" w:rsidRDefault="0018595A" w:rsidP="0018595A">
      <w:pPr>
        <w:pStyle w:val="References"/>
        <w:rPr>
          <w:rFonts w:cs="AdvOT5843c571"/>
        </w:rPr>
      </w:pPr>
      <w:r w:rsidRPr="00660971">
        <w:rPr>
          <w:rFonts w:cs="AdvOT5843c571"/>
        </w:rPr>
        <w:t>Hammersley, M. 2012. Is it possible to teach social research methods well today? Discussion paper presented at HEA Social Sciences Teaching and Learning Summit: Teaching Research Methods, University of Warwick, 21</w:t>
      </w:r>
      <w:r w:rsidRPr="00660971">
        <w:rPr>
          <w:rFonts w:cs="AdvOT5843c571+20"/>
        </w:rPr>
        <w:t>–</w:t>
      </w:r>
      <w:r w:rsidRPr="00660971">
        <w:rPr>
          <w:rFonts w:cs="AdvOT5843c571"/>
        </w:rPr>
        <w:t>22 June 2012.</w:t>
      </w:r>
    </w:p>
    <w:p w14:paraId="76466A76" w14:textId="77777777" w:rsidR="0018595A" w:rsidRPr="00660971" w:rsidRDefault="0018595A" w:rsidP="0018595A">
      <w:pPr>
        <w:pStyle w:val="References"/>
      </w:pPr>
      <w:r w:rsidRPr="00660971">
        <w:t xml:space="preserve">Hoggan, C. 2016. “A typology </w:t>
      </w:r>
      <w:r w:rsidRPr="00660971">
        <w:rPr>
          <w:i/>
        </w:rPr>
        <w:t xml:space="preserve">of transformation: </w:t>
      </w:r>
      <w:r w:rsidRPr="00660971">
        <w:t>Reviewing the transformative learning literature”.</w:t>
      </w:r>
      <w:r w:rsidRPr="00660971">
        <w:rPr>
          <w:i/>
        </w:rPr>
        <w:t xml:space="preserve"> Studies</w:t>
      </w:r>
      <w:r w:rsidRPr="00660971">
        <w:t xml:space="preserve"> </w:t>
      </w:r>
      <w:r w:rsidRPr="00660971">
        <w:rPr>
          <w:i/>
        </w:rPr>
        <w:t>in the Education of Adults</w:t>
      </w:r>
      <w:r w:rsidRPr="00660971">
        <w:t xml:space="preserve"> 48 (1): 65-82.</w:t>
      </w:r>
    </w:p>
    <w:p w14:paraId="066F3951" w14:textId="77777777" w:rsidR="0018595A" w:rsidRPr="00660971" w:rsidRDefault="0018595A" w:rsidP="0018595A">
      <w:pPr>
        <w:pStyle w:val="References"/>
      </w:pPr>
      <w:r w:rsidRPr="00660971">
        <w:t xml:space="preserve">Hsuing, P-C. 2008. “Teaching reflexivity in qualitative interviewing.” </w:t>
      </w:r>
      <w:r w:rsidRPr="00660971">
        <w:rPr>
          <w:rFonts w:cs="CGTimes-Regular"/>
          <w:i/>
        </w:rPr>
        <w:t>Teaching Sociology</w:t>
      </w:r>
      <w:r w:rsidRPr="00660971">
        <w:rPr>
          <w:rFonts w:cs="CGTimes-Regular"/>
        </w:rPr>
        <w:t xml:space="preserve"> 36: 211-226.</w:t>
      </w:r>
    </w:p>
    <w:p w14:paraId="73F6830F" w14:textId="77777777" w:rsidR="0018595A" w:rsidRPr="00660971" w:rsidRDefault="0018595A" w:rsidP="0018595A">
      <w:pPr>
        <w:pStyle w:val="References"/>
        <w:rPr>
          <w:bCs/>
        </w:rPr>
      </w:pPr>
      <w:r w:rsidRPr="00660971">
        <w:rPr>
          <w:bCs/>
        </w:rPr>
        <w:t>Hurworth, R.E. 2008. Teaching Qualitative Research: Cases and Issues. Rotterdam: Sense Publishers.</w:t>
      </w:r>
    </w:p>
    <w:p w14:paraId="7D54A6D6" w14:textId="77777777" w:rsidR="000F51AA" w:rsidRPr="00660971" w:rsidRDefault="000F51AA" w:rsidP="000F51AA">
      <w:pPr>
        <w:pStyle w:val="References"/>
      </w:pPr>
      <w:r w:rsidRPr="00660971">
        <w:t xml:space="preserve">Kilburn, D., M. Nind, and R. Wiles. 2014. “Learning as researchers and teachers: The development of a pedagogical culture for social science research methods?” </w:t>
      </w:r>
      <w:r w:rsidRPr="00660971">
        <w:rPr>
          <w:i/>
        </w:rPr>
        <w:t>British Journal of Educational Studies</w:t>
      </w:r>
      <w:r w:rsidRPr="00660971">
        <w:t xml:space="preserve"> 62 (2): 191-207.</w:t>
      </w:r>
    </w:p>
    <w:p w14:paraId="530EBDD9" w14:textId="77777777" w:rsidR="0018595A" w:rsidRPr="00660971" w:rsidRDefault="0018595A" w:rsidP="0018595A">
      <w:pPr>
        <w:pStyle w:val="References"/>
        <w:rPr>
          <w:rStyle w:val="fqsarticleno"/>
          <w:rFonts w:cs="Arial"/>
          <w:lang w:val="en-US"/>
        </w:rPr>
      </w:pPr>
      <w:r w:rsidRPr="00660971">
        <w:t>Kluge, S. 2000. “</w:t>
      </w:r>
      <w:r w:rsidRPr="00660971">
        <w:rPr>
          <w:rFonts w:cs="Arial"/>
          <w:lang w:val="en-US"/>
        </w:rPr>
        <w:t xml:space="preserve">Empirically grounded construction of types and typologies in qualitative social research”. </w:t>
      </w:r>
      <w:r w:rsidRPr="00660971">
        <w:rPr>
          <w:rFonts w:cs="Arial"/>
          <w:i/>
          <w:lang w:val="en-US"/>
        </w:rPr>
        <w:t>Forum Qualitative Social Research</w:t>
      </w:r>
      <w:r w:rsidRPr="00660971">
        <w:rPr>
          <w:rFonts w:cs="Arial"/>
          <w:lang w:val="en-US"/>
        </w:rPr>
        <w:t xml:space="preserve"> </w:t>
      </w:r>
      <w:r w:rsidRPr="00660971">
        <w:rPr>
          <w:rStyle w:val="fqsvolumeno"/>
          <w:rFonts w:cs="Arial"/>
          <w:lang w:val="en-US"/>
        </w:rPr>
        <w:t>1 (</w:t>
      </w:r>
      <w:r w:rsidRPr="00660971">
        <w:rPr>
          <w:rStyle w:val="fqsissueno"/>
          <w:rFonts w:cs="Arial"/>
          <w:lang w:val="en-US"/>
        </w:rPr>
        <w:t>1):</w:t>
      </w:r>
      <w:r w:rsidRPr="00660971">
        <w:rPr>
          <w:rFonts w:cs="Arial"/>
          <w:lang w:val="en-US"/>
        </w:rPr>
        <w:t xml:space="preserve"> Art. </w:t>
      </w:r>
      <w:r w:rsidRPr="00660971">
        <w:rPr>
          <w:rStyle w:val="fqsarticleno"/>
          <w:rFonts w:cs="Arial"/>
          <w:lang w:val="en-US"/>
        </w:rPr>
        <w:t xml:space="preserve">14 Available online at: </w:t>
      </w:r>
      <w:hyperlink r:id="rId13" w:history="1">
        <w:r w:rsidRPr="00660971">
          <w:rPr>
            <w:rStyle w:val="Hyperlink"/>
            <w:rFonts w:cs="Arial"/>
            <w:color w:val="auto"/>
            <w:lang w:val="en-US"/>
          </w:rPr>
          <w:t>http://nbn-resolving.de/urn:nbn:de:0114-fqs0001145</w:t>
        </w:r>
      </w:hyperlink>
      <w:r w:rsidRPr="00660971">
        <w:rPr>
          <w:rStyle w:val="fqsarticleno"/>
          <w:rFonts w:cs="Arial"/>
          <w:lang w:val="en-US"/>
        </w:rPr>
        <w:t xml:space="preserve"> (accessed 23 July 2017).</w:t>
      </w:r>
    </w:p>
    <w:p w14:paraId="77962125" w14:textId="77777777" w:rsidR="00320C54" w:rsidRPr="00660971" w:rsidRDefault="0018595A" w:rsidP="0018595A">
      <w:pPr>
        <w:pStyle w:val="References"/>
        <w:rPr>
          <w:rFonts w:cs="AdvPS8E9A"/>
        </w:rPr>
      </w:pPr>
      <w:r w:rsidRPr="00660971">
        <w:t xml:space="preserve">Levin, B. 2013. “To know is not enough: research knowledge and its use”. </w:t>
      </w:r>
      <w:r w:rsidRPr="00660971">
        <w:rPr>
          <w:i/>
        </w:rPr>
        <w:t>Review of Education</w:t>
      </w:r>
      <w:r w:rsidRPr="00660971">
        <w:t xml:space="preserve"> 1 (1): </w:t>
      </w:r>
      <w:r w:rsidR="00320C54" w:rsidRPr="00660971">
        <w:rPr>
          <w:rFonts w:cs="AdvPS8E9A"/>
        </w:rPr>
        <w:t>2-31.</w:t>
      </w:r>
    </w:p>
    <w:p w14:paraId="5582772F" w14:textId="77777777" w:rsidR="0018595A" w:rsidRPr="00660971" w:rsidRDefault="0018595A" w:rsidP="0018595A">
      <w:pPr>
        <w:pStyle w:val="References"/>
        <w:rPr>
          <w:rFonts w:cs="Times-Roman"/>
        </w:rPr>
      </w:pPr>
      <w:r w:rsidRPr="00660971">
        <w:rPr>
          <w:rFonts w:cs="ArialUnicodeMS"/>
        </w:rPr>
        <w:t>Lewis, M.W., and G.E. Dehler. 2000. “</w:t>
      </w:r>
      <w:r w:rsidRPr="00660971">
        <w:rPr>
          <w:rFonts w:cs="Times-Bold"/>
          <w:bCs/>
        </w:rPr>
        <w:t>Learning through paradox: a pedagogical strategy for exploring contradictions and complexity”.</w:t>
      </w:r>
      <w:r w:rsidRPr="00660971">
        <w:rPr>
          <w:rFonts w:cs="ArialUnicodeMS"/>
        </w:rPr>
        <w:t xml:space="preserve"> </w:t>
      </w:r>
      <w:r w:rsidRPr="00660971">
        <w:rPr>
          <w:rFonts w:cs="ArialUnicodeMS"/>
          <w:i/>
        </w:rPr>
        <w:t>J</w:t>
      </w:r>
      <w:r w:rsidRPr="00660971">
        <w:rPr>
          <w:rFonts w:cs="Times-Roman"/>
          <w:i/>
        </w:rPr>
        <w:t>ournal of Management Education</w:t>
      </w:r>
      <w:r w:rsidRPr="00660971">
        <w:rPr>
          <w:rFonts w:cs="Times-Roman"/>
        </w:rPr>
        <w:t xml:space="preserve"> 24 (6): 708-725.</w:t>
      </w:r>
    </w:p>
    <w:p w14:paraId="092331E6" w14:textId="77777777" w:rsidR="0018595A" w:rsidRPr="00660971" w:rsidRDefault="0018595A" w:rsidP="0018595A">
      <w:pPr>
        <w:pStyle w:val="References"/>
        <w:rPr>
          <w:rFonts w:cs="Arial"/>
          <w:bCs/>
        </w:rPr>
      </w:pPr>
      <w:r w:rsidRPr="00660971">
        <w:rPr>
          <w:rFonts w:cs="Times-Roman"/>
        </w:rPr>
        <w:t>Lewis-Beck, M. 1994. “Series editor’s introduction”, in</w:t>
      </w:r>
      <w:r w:rsidRPr="00660971">
        <w:rPr>
          <w:rFonts w:cs="ArialUnicodeMS"/>
        </w:rPr>
        <w:t xml:space="preserve"> </w:t>
      </w:r>
      <w:r w:rsidRPr="00660971">
        <w:rPr>
          <w:rFonts w:cs="Arial"/>
          <w:bCs/>
          <w:i/>
        </w:rPr>
        <w:t xml:space="preserve">Typologies and Taxonomies: An Introduction to Classification Techniques, </w:t>
      </w:r>
      <w:r w:rsidRPr="00660971">
        <w:rPr>
          <w:rFonts w:cs="Arial"/>
          <w:bCs/>
        </w:rPr>
        <w:t xml:space="preserve">edited by </w:t>
      </w:r>
      <w:r w:rsidRPr="00660971">
        <w:rPr>
          <w:rFonts w:cs="Times-Roman"/>
        </w:rPr>
        <w:t xml:space="preserve">K.D. </w:t>
      </w:r>
      <w:r w:rsidRPr="00660971">
        <w:rPr>
          <w:rFonts w:cs="ArialUnicodeMS"/>
        </w:rPr>
        <w:t xml:space="preserve">Bailey, </w:t>
      </w:r>
      <w:r w:rsidRPr="00660971">
        <w:rPr>
          <w:rFonts w:cs="Arial"/>
          <w:bCs/>
        </w:rPr>
        <w:t>i-vi</w:t>
      </w:r>
      <w:r w:rsidRPr="00660971">
        <w:rPr>
          <w:rFonts w:cs="ArialUnicodeMS"/>
        </w:rPr>
        <w:t>. T</w:t>
      </w:r>
      <w:r w:rsidRPr="00660971">
        <w:rPr>
          <w:rFonts w:cs="Arial"/>
          <w:bCs/>
        </w:rPr>
        <w:t>housand Oaks, CA: Sage.</w:t>
      </w:r>
    </w:p>
    <w:p w14:paraId="14E3F287" w14:textId="77777777" w:rsidR="000F51AA" w:rsidRPr="00660971" w:rsidRDefault="000F51AA" w:rsidP="000F51AA">
      <w:pPr>
        <w:pStyle w:val="References"/>
      </w:pPr>
      <w:r w:rsidRPr="00660971">
        <w:t xml:space="preserve">Lewthwaite, S., and M. Nind. 2016. “Teaching research methods in the social science: expert perspectives on pedagogy and practice”. </w:t>
      </w:r>
      <w:r w:rsidRPr="00660971">
        <w:rPr>
          <w:i/>
        </w:rPr>
        <w:t>British Journal of Educational Studies</w:t>
      </w:r>
      <w:r w:rsidRPr="00660971">
        <w:t xml:space="preserve"> 64 (4): 413-430. </w:t>
      </w:r>
    </w:p>
    <w:p w14:paraId="263E06A5" w14:textId="3DC8F9BB" w:rsidR="009C4B6C" w:rsidRPr="00660971" w:rsidRDefault="009C4B6C" w:rsidP="00E3013F">
      <w:pPr>
        <w:pStyle w:val="References"/>
      </w:pPr>
      <w:r w:rsidRPr="00660971">
        <w:t xml:space="preserve">Lucas, B. and G. Claxton. 2013. </w:t>
      </w:r>
      <w:r w:rsidRPr="00660971">
        <w:rPr>
          <w:i/>
        </w:rPr>
        <w:t xml:space="preserve">Pedagogic Leadership: Creating cultures and </w:t>
      </w:r>
      <w:r w:rsidR="00E3013F" w:rsidRPr="00660971">
        <w:rPr>
          <w:i/>
        </w:rPr>
        <w:t>p</w:t>
      </w:r>
      <w:r w:rsidRPr="00660971">
        <w:rPr>
          <w:i/>
        </w:rPr>
        <w:t>ractices for outstanding vocational learning</w:t>
      </w:r>
      <w:r w:rsidRPr="00660971">
        <w:t>. Winchester: 157 Group.</w:t>
      </w:r>
    </w:p>
    <w:p w14:paraId="3491A35C" w14:textId="77777777" w:rsidR="0018595A" w:rsidRPr="00660971" w:rsidRDefault="0018595A" w:rsidP="0018595A">
      <w:pPr>
        <w:pStyle w:val="References"/>
        <w:rPr>
          <w:rFonts w:cs="Arial"/>
          <w:bCs/>
        </w:rPr>
      </w:pPr>
      <w:r w:rsidRPr="00660971">
        <w:rPr>
          <w:rFonts w:cs="Arial"/>
          <w:bCs/>
        </w:rPr>
        <w:lastRenderedPageBreak/>
        <w:t xml:space="preserve">Luff, R., D. Byatt, and D. Martin. 2015. Review of the typology of research methods within the social sciences. Project report. National Centre for Research Methods. Available online at: </w:t>
      </w:r>
      <w:hyperlink r:id="rId14" w:history="1">
        <w:r w:rsidRPr="00660971">
          <w:rPr>
            <w:rStyle w:val="Hyperlink"/>
            <w:rFonts w:cs="Arial"/>
            <w:bCs/>
            <w:color w:val="auto"/>
          </w:rPr>
          <w:t>http://eprints.ncrm.ac.uk/3721/</w:t>
        </w:r>
      </w:hyperlink>
      <w:r w:rsidRPr="00660971">
        <w:rPr>
          <w:rFonts w:cs="Arial"/>
          <w:bCs/>
        </w:rPr>
        <w:t xml:space="preserve"> (accessed 11 December 2017).</w:t>
      </w:r>
    </w:p>
    <w:p w14:paraId="5234DBD5" w14:textId="77777777" w:rsidR="0018595A" w:rsidRPr="00660971" w:rsidRDefault="0018595A" w:rsidP="0018595A">
      <w:pPr>
        <w:pStyle w:val="References"/>
        <w:rPr>
          <w:rFonts w:eastAsia="AdvTimes" w:cs="AdvTimes"/>
        </w:rPr>
      </w:pPr>
      <w:r w:rsidRPr="00660971">
        <w:rPr>
          <w:rFonts w:cs="ArialUnicodeMS"/>
        </w:rPr>
        <w:t xml:space="preserve">Lunsford, L. G., V. Baker, K.A. Griffin, and W.B. Johnson. 2013. “Mentoring: A typology of costs for higher education faculty.” </w:t>
      </w:r>
      <w:r w:rsidRPr="00660971">
        <w:rPr>
          <w:rFonts w:cs="ArialUnicodeMS"/>
          <w:i/>
        </w:rPr>
        <w:t xml:space="preserve">Mentoring </w:t>
      </w:r>
      <w:r w:rsidR="00F81467" w:rsidRPr="00660971">
        <w:rPr>
          <w:rFonts w:cs="ArialUnicodeMS"/>
          <w:i/>
        </w:rPr>
        <w:t>and</w:t>
      </w:r>
      <w:r w:rsidRPr="00660971">
        <w:rPr>
          <w:rFonts w:cs="ArialUnicodeMS"/>
          <w:i/>
        </w:rPr>
        <w:t xml:space="preserve"> Tutoring: Partnership in Learning</w:t>
      </w:r>
      <w:r w:rsidRPr="00660971">
        <w:rPr>
          <w:rFonts w:cs="ArialUnicodeMS"/>
        </w:rPr>
        <w:t xml:space="preserve"> 21 (2): 126-149.</w:t>
      </w:r>
    </w:p>
    <w:p w14:paraId="50E26B4C" w14:textId="77777777" w:rsidR="0018595A" w:rsidRPr="00660971" w:rsidRDefault="0018595A" w:rsidP="0018595A">
      <w:pPr>
        <w:pStyle w:val="References"/>
        <w:rPr>
          <w:rStyle w:val="ref-overlay2"/>
          <w:rFonts w:cs="Arial"/>
          <w:lang w:val="en"/>
        </w:rPr>
      </w:pPr>
      <w:r w:rsidRPr="00660971">
        <w:rPr>
          <w:rStyle w:val="hlfld-contribauthor"/>
          <w:rFonts w:cs="Arial"/>
          <w:shd w:val="clear" w:color="auto" w:fill="FFFFFF"/>
          <w:lang w:val="en"/>
        </w:rPr>
        <w:t xml:space="preserve">Luttwak, </w:t>
      </w:r>
      <w:r w:rsidRPr="00660971">
        <w:rPr>
          <w:rStyle w:val="nlmgiven-names"/>
          <w:rFonts w:cs="Arial"/>
          <w:shd w:val="clear" w:color="auto" w:fill="FFFFFF"/>
          <w:lang w:val="en"/>
        </w:rPr>
        <w:t>E. N.</w:t>
      </w:r>
      <w:r w:rsidRPr="00660971">
        <w:rPr>
          <w:rStyle w:val="ref-overlay2"/>
          <w:rFonts w:cs="Arial"/>
          <w:lang w:val="en"/>
        </w:rPr>
        <w:t xml:space="preserve"> </w:t>
      </w:r>
      <w:r w:rsidRPr="00660971">
        <w:rPr>
          <w:rStyle w:val="nlmyear"/>
          <w:rFonts w:cs="Arial"/>
          <w:shd w:val="clear" w:color="auto" w:fill="FFFFFF"/>
          <w:lang w:val="en"/>
        </w:rPr>
        <w:t>2001</w:t>
      </w:r>
      <w:r w:rsidRPr="00660971">
        <w:rPr>
          <w:rStyle w:val="ref-overlay2"/>
          <w:rFonts w:cs="Arial"/>
          <w:lang w:val="en"/>
        </w:rPr>
        <w:t xml:space="preserve">. </w:t>
      </w:r>
      <w:r w:rsidRPr="00660971">
        <w:rPr>
          <w:rStyle w:val="ref-overlay2"/>
          <w:rFonts w:cs="Arial"/>
          <w:i/>
          <w:iCs/>
          <w:lang w:val="en"/>
        </w:rPr>
        <w:t>Strategy: The Logic of Peace and War</w:t>
      </w:r>
      <w:r w:rsidRPr="00660971">
        <w:rPr>
          <w:rStyle w:val="ref-overlay2"/>
          <w:rFonts w:cs="Arial"/>
          <w:lang w:val="en"/>
        </w:rPr>
        <w:t xml:space="preserve"> (</w:t>
      </w:r>
      <w:r w:rsidRPr="00660971">
        <w:rPr>
          <w:rStyle w:val="nlmedition"/>
          <w:rFonts w:cs="Arial"/>
          <w:shd w:val="clear" w:color="auto" w:fill="FFFFFF"/>
          <w:lang w:val="en"/>
        </w:rPr>
        <w:t>2nd ed.</w:t>
      </w:r>
      <w:r w:rsidRPr="00660971">
        <w:rPr>
          <w:rStyle w:val="ref-overlay2"/>
          <w:rFonts w:cs="Arial"/>
          <w:lang w:val="en"/>
        </w:rPr>
        <w:t xml:space="preserve">) </w:t>
      </w:r>
      <w:r w:rsidRPr="00660971">
        <w:rPr>
          <w:rStyle w:val="nlmpublisher-loc"/>
          <w:rFonts w:cs="Arial"/>
          <w:shd w:val="clear" w:color="auto" w:fill="FFFFFF"/>
          <w:lang w:val="en"/>
        </w:rPr>
        <w:t>Cambridge, MA</w:t>
      </w:r>
      <w:r w:rsidRPr="00660971">
        <w:rPr>
          <w:rStyle w:val="ref-overlay2"/>
          <w:rFonts w:cs="Arial"/>
          <w:lang w:val="en"/>
        </w:rPr>
        <w:t xml:space="preserve">: </w:t>
      </w:r>
      <w:r w:rsidRPr="00660971">
        <w:rPr>
          <w:rStyle w:val="nlmpublisher-name"/>
          <w:rFonts w:cs="Arial"/>
          <w:shd w:val="clear" w:color="auto" w:fill="FFFFFF"/>
          <w:lang w:val="en"/>
        </w:rPr>
        <w:t>Harvard University Press.</w:t>
      </w:r>
      <w:r w:rsidRPr="00660971">
        <w:rPr>
          <w:rStyle w:val="ref-overlay2"/>
          <w:rFonts w:cs="Arial"/>
          <w:lang w:val="en"/>
        </w:rPr>
        <w:t xml:space="preserve"> </w:t>
      </w:r>
    </w:p>
    <w:p w14:paraId="0D34BA23" w14:textId="77777777" w:rsidR="00092D64" w:rsidRPr="00660971" w:rsidRDefault="0018595A" w:rsidP="00092D64">
      <w:pPr>
        <w:pStyle w:val="References"/>
      </w:pPr>
      <w:r w:rsidRPr="00660971">
        <w:t xml:space="preserve">Meyer, J.H.F., and Land, R. 2005. “Threshold concepts and troublesome knowledge (2): Epistemological considerations and a conceptual framework for teaching and learning.” </w:t>
      </w:r>
      <w:r w:rsidRPr="00660971">
        <w:rPr>
          <w:i/>
          <w:iCs/>
        </w:rPr>
        <w:t xml:space="preserve">Higher Education </w:t>
      </w:r>
      <w:r w:rsidRPr="00660971">
        <w:t>49 (3): 373-388.</w:t>
      </w:r>
    </w:p>
    <w:p w14:paraId="70B969F2" w14:textId="3AD57F2C" w:rsidR="00092D64" w:rsidRPr="00660971" w:rsidRDefault="00092D64" w:rsidP="00092D64">
      <w:pPr>
        <w:pStyle w:val="References"/>
        <w:rPr>
          <w:rFonts w:cs="ArialUnicodeMS"/>
        </w:rPr>
      </w:pPr>
      <w:r w:rsidRPr="00660971">
        <w:rPr>
          <w:rFonts w:cs="Times-Roman"/>
        </w:rPr>
        <w:t xml:space="preserve">Nind, M., and S. Lewthwaite. 2018a. “Methods that teach: Developing pedagogic research methods, developing pedagogy.” </w:t>
      </w:r>
      <w:r w:rsidRPr="00660971">
        <w:rPr>
          <w:rFonts w:cs="Times-Roman"/>
          <w:i/>
        </w:rPr>
        <w:t>International Journal of Research and Method in Education</w:t>
      </w:r>
      <w:r w:rsidRPr="00660971">
        <w:t xml:space="preserve"> </w:t>
      </w:r>
      <w:r w:rsidRPr="00660971">
        <w:rPr>
          <w:rFonts w:cs="ArialUnicodeMS"/>
        </w:rPr>
        <w:t>41 (4): 398-410.</w:t>
      </w:r>
    </w:p>
    <w:p w14:paraId="3314A8E6" w14:textId="77777777" w:rsidR="00092D64" w:rsidRPr="00660971" w:rsidRDefault="00092D64" w:rsidP="00092D64">
      <w:pPr>
        <w:pStyle w:val="References"/>
      </w:pPr>
      <w:r w:rsidRPr="00660971">
        <w:rPr>
          <w:rFonts w:cs="Times-Roman"/>
        </w:rPr>
        <w:t xml:space="preserve">Nind, M., and S. Lewthwaite. 2018b. “Hard to teach: </w:t>
      </w:r>
      <w:r w:rsidRPr="00660971">
        <w:t xml:space="preserve">Inclusive pedagogy in social science research methods education”. </w:t>
      </w:r>
      <w:r w:rsidRPr="00660971">
        <w:rPr>
          <w:i/>
        </w:rPr>
        <w:t xml:space="preserve">International Journal of Inclusive </w:t>
      </w:r>
      <w:r w:rsidRPr="00660971">
        <w:t>Education 22 (1): 74-88.</w:t>
      </w:r>
    </w:p>
    <w:p w14:paraId="66AB9D98" w14:textId="0FE2C871" w:rsidR="00092D64" w:rsidRPr="00660971" w:rsidRDefault="00092D64" w:rsidP="00092D64">
      <w:pPr>
        <w:pStyle w:val="References"/>
      </w:pPr>
      <w:r w:rsidRPr="00660971">
        <w:t>Nind, M., D. Kilburn and R. Luff. 2015. “The teaching and learning of social research methods: developments in pedagogical knowledge</w:t>
      </w:r>
      <w:r w:rsidRPr="00660971">
        <w:rPr>
          <w:i/>
        </w:rPr>
        <w:t>.</w:t>
      </w:r>
      <w:r w:rsidR="001043CF" w:rsidRPr="00660971">
        <w:rPr>
          <w:i/>
        </w:rPr>
        <w:t>”</w:t>
      </w:r>
      <w:r w:rsidRPr="00660971">
        <w:rPr>
          <w:i/>
        </w:rPr>
        <w:t xml:space="preserve"> International Journal of Social Research Methodology</w:t>
      </w:r>
      <w:r w:rsidRPr="00660971">
        <w:t xml:space="preserve"> </w:t>
      </w:r>
      <w:r w:rsidR="001043CF" w:rsidRPr="00660971">
        <w:t xml:space="preserve">18 (5): </w:t>
      </w:r>
      <w:r w:rsidRPr="00660971">
        <w:t xml:space="preserve">455-61. </w:t>
      </w:r>
    </w:p>
    <w:p w14:paraId="391D7062" w14:textId="60C9BCDD" w:rsidR="00092D64" w:rsidRPr="00660971" w:rsidRDefault="00092D64" w:rsidP="00092D64">
      <w:pPr>
        <w:pStyle w:val="References"/>
      </w:pPr>
      <w:r w:rsidRPr="00660971">
        <w:rPr>
          <w:rFonts w:eastAsia="Calibri"/>
        </w:rPr>
        <w:t>Nind, M., D. Kilburn, and R.</w:t>
      </w:r>
      <w:r w:rsidRPr="00660971">
        <w:rPr>
          <w:rFonts w:eastAsia="Calibri" w:cs="Calibri"/>
        </w:rPr>
        <w:t xml:space="preserve"> Wiles. 2015. “Using video and dialogue to generate pedagogic knowledge: teachers, learners and researchers reflecting together on the pedagogy of social research methods”. </w:t>
      </w:r>
      <w:r w:rsidRPr="00660971">
        <w:rPr>
          <w:rFonts w:eastAsia="Calibri" w:cs="Calibri"/>
          <w:i/>
        </w:rPr>
        <w:t>International Journal of Social Research Methodology</w:t>
      </w:r>
      <w:r w:rsidRPr="00660971">
        <w:rPr>
          <w:rFonts w:eastAsia="Calibri" w:cs="Calibri"/>
        </w:rPr>
        <w:t xml:space="preserve"> 18 (5): 561-576. </w:t>
      </w:r>
    </w:p>
    <w:p w14:paraId="0D7B72F6" w14:textId="77777777" w:rsidR="00092D64" w:rsidRPr="00660971" w:rsidRDefault="00092D64" w:rsidP="00092D64">
      <w:pPr>
        <w:pStyle w:val="References"/>
        <w:rPr>
          <w:rFonts w:cs="Times-Roman"/>
        </w:rPr>
      </w:pPr>
      <w:r w:rsidRPr="00660971">
        <w:rPr>
          <w:rFonts w:cs="Times-Roman"/>
        </w:rPr>
        <w:t xml:space="preserve">Nind, M., A. Curtin, and K. Hall. 2016. </w:t>
      </w:r>
      <w:r w:rsidRPr="00660971">
        <w:rPr>
          <w:rFonts w:cs="Times-Roman"/>
          <w:i/>
        </w:rPr>
        <w:t>Research Methods for Pedagogy</w:t>
      </w:r>
      <w:r w:rsidRPr="00660971">
        <w:rPr>
          <w:rFonts w:cs="Times-Roman"/>
        </w:rPr>
        <w:t>. London: Bloomsbury Academic.</w:t>
      </w:r>
    </w:p>
    <w:p w14:paraId="1A42CE69" w14:textId="3E65625E" w:rsidR="00716ECE" w:rsidRPr="00660971" w:rsidRDefault="00716ECE" w:rsidP="0018595A">
      <w:pPr>
        <w:pStyle w:val="References"/>
        <w:rPr>
          <w:rStyle w:val="ref-overlay2"/>
          <w:rFonts w:cs="Arial"/>
          <w:lang w:val="en"/>
        </w:rPr>
      </w:pPr>
      <w:r w:rsidRPr="00660971">
        <w:rPr>
          <w:rStyle w:val="ref-overlay2"/>
          <w:rFonts w:cs="Arial"/>
          <w:lang w:val="en"/>
        </w:rPr>
        <w:t xml:space="preserve">Olssen, M. 2006. </w:t>
      </w:r>
      <w:r w:rsidRPr="00660971">
        <w:rPr>
          <w:rStyle w:val="ref-overlay2"/>
          <w:rFonts w:cs="Arial"/>
          <w:i/>
          <w:lang w:val="en"/>
        </w:rPr>
        <w:t>Michel Foucault: Materialism and Education</w:t>
      </w:r>
      <w:r w:rsidRPr="00660971">
        <w:rPr>
          <w:rStyle w:val="ref-overlay2"/>
          <w:rFonts w:cs="Arial"/>
          <w:lang w:val="en"/>
        </w:rPr>
        <w:t>. New York: Routledge</w:t>
      </w:r>
      <w:r w:rsidR="00314DC7" w:rsidRPr="00660971">
        <w:rPr>
          <w:rStyle w:val="ref-overlay2"/>
          <w:rFonts w:cs="Arial"/>
          <w:lang w:val="en"/>
        </w:rPr>
        <w:t>.</w:t>
      </w:r>
      <w:r w:rsidRPr="00660971">
        <w:rPr>
          <w:rStyle w:val="ref-overlay2"/>
          <w:rFonts w:cs="Arial"/>
          <w:lang w:val="en"/>
        </w:rPr>
        <w:t xml:space="preserve"> </w:t>
      </w:r>
    </w:p>
    <w:p w14:paraId="0A356B2C" w14:textId="77777777" w:rsidR="0018595A" w:rsidRPr="00660971" w:rsidRDefault="0018595A" w:rsidP="0018595A">
      <w:pPr>
        <w:pStyle w:val="References"/>
        <w:rPr>
          <w:rFonts w:cs="Times-Roman"/>
        </w:rPr>
      </w:pPr>
      <w:r w:rsidRPr="00660971">
        <w:t xml:space="preserve">Parry, O., P. Atkinson, and S. Delamont. 1994. “Disciplinary identities and doctoral work”, in </w:t>
      </w:r>
      <w:r w:rsidRPr="00660971">
        <w:rPr>
          <w:i/>
        </w:rPr>
        <w:t>Postgraduate Education and Training in the Social Sciences</w:t>
      </w:r>
      <w:r w:rsidRPr="00660971">
        <w:t xml:space="preserve">, edited by R. Burgess, 34-52. London: Jessica Kingsley. </w:t>
      </w:r>
    </w:p>
    <w:p w14:paraId="3E5D1F25" w14:textId="77777777" w:rsidR="0018595A" w:rsidRDefault="0018595A" w:rsidP="0018595A">
      <w:pPr>
        <w:pStyle w:val="References"/>
        <w:rPr>
          <w:rFonts w:cs="AdvTREBU-B"/>
        </w:rPr>
      </w:pPr>
      <w:r>
        <w:rPr>
          <w:rFonts w:cs="Times-Roman"/>
        </w:rPr>
        <w:lastRenderedPageBreak/>
        <w:t>Perry, J., and B.L. Paterson. 2005.</w:t>
      </w:r>
      <w:r w:rsidRPr="008D0C68">
        <w:rPr>
          <w:rFonts w:cs="Times-Roman"/>
        </w:rPr>
        <w:t xml:space="preserve"> </w:t>
      </w:r>
      <w:r>
        <w:rPr>
          <w:rFonts w:cs="Times-Roman"/>
        </w:rPr>
        <w:t>“</w:t>
      </w:r>
      <w:r w:rsidRPr="008D0C68">
        <w:rPr>
          <w:rFonts w:cs="AdvTREBU-B"/>
        </w:rPr>
        <w:t>Nursing rounds as a pedagogical strategy: anchoring theory to pra</w:t>
      </w:r>
      <w:r>
        <w:rPr>
          <w:rFonts w:cs="AdvTREBU-B"/>
        </w:rPr>
        <w:t>ctice in gerontological nursing”.</w:t>
      </w:r>
      <w:r w:rsidRPr="008D0C68">
        <w:rPr>
          <w:rFonts w:cs="AdvTREBU-B"/>
        </w:rPr>
        <w:t xml:space="preserve"> </w:t>
      </w:r>
      <w:r w:rsidRPr="000D0560">
        <w:rPr>
          <w:rFonts w:cs="AdvTREBU-B"/>
          <w:i/>
        </w:rPr>
        <w:t>Nurse Education in Practice</w:t>
      </w:r>
      <w:r w:rsidRPr="008D0C68">
        <w:rPr>
          <w:rFonts w:cs="AdvTREBU-B"/>
        </w:rPr>
        <w:t xml:space="preserve"> 5</w:t>
      </w:r>
      <w:r>
        <w:rPr>
          <w:rFonts w:cs="AdvTREBU-B"/>
        </w:rPr>
        <w:t xml:space="preserve"> (2):</w:t>
      </w:r>
      <w:r w:rsidRPr="008D0C68">
        <w:rPr>
          <w:rFonts w:cs="AdvTREBU-B"/>
        </w:rPr>
        <w:t xml:space="preserve"> 63-69.</w:t>
      </w:r>
    </w:p>
    <w:p w14:paraId="1580B612" w14:textId="77777777" w:rsidR="0018595A" w:rsidRPr="008D0C68" w:rsidRDefault="0018595A" w:rsidP="0018595A">
      <w:pPr>
        <w:pStyle w:val="References"/>
        <w:rPr>
          <w:rFonts w:cs="ArialUnicodeMS"/>
        </w:rPr>
      </w:pPr>
      <w:r>
        <w:rPr>
          <w:rFonts w:cs="RealpagePLA3"/>
        </w:rPr>
        <w:t>Polanyi, M. 1958.</w:t>
      </w:r>
      <w:r w:rsidRPr="003008A3">
        <w:rPr>
          <w:rFonts w:cs="RealpagePLA3"/>
        </w:rPr>
        <w:t xml:space="preserve"> </w:t>
      </w:r>
      <w:r>
        <w:rPr>
          <w:rFonts w:cs="RealpagePLA3-Italic"/>
          <w:i/>
          <w:iCs/>
        </w:rPr>
        <w:t>Personal K</w:t>
      </w:r>
      <w:r w:rsidRPr="003008A3">
        <w:rPr>
          <w:rFonts w:cs="RealpagePLA3-Italic"/>
          <w:i/>
          <w:iCs/>
        </w:rPr>
        <w:t>nowledge</w:t>
      </w:r>
      <w:r w:rsidRPr="003008A3">
        <w:rPr>
          <w:rFonts w:cs="RealpagePLA3"/>
        </w:rPr>
        <w:t xml:space="preserve">: </w:t>
      </w:r>
      <w:r w:rsidRPr="003008A3">
        <w:rPr>
          <w:rFonts w:cs="RealpagePLA3-Italic"/>
          <w:i/>
          <w:iCs/>
        </w:rPr>
        <w:t xml:space="preserve">Towards a </w:t>
      </w:r>
      <w:r>
        <w:rPr>
          <w:rFonts w:cs="RealpagePLA3-Italic"/>
          <w:i/>
          <w:iCs/>
        </w:rPr>
        <w:t>Post-critical P</w:t>
      </w:r>
      <w:r w:rsidRPr="003008A3">
        <w:rPr>
          <w:rFonts w:cs="RealpagePLA3-Italic"/>
          <w:i/>
          <w:iCs/>
        </w:rPr>
        <w:t>hilosophy</w:t>
      </w:r>
      <w:r>
        <w:rPr>
          <w:rFonts w:cs="RealpagePLA3"/>
        </w:rPr>
        <w:t xml:space="preserve">. </w:t>
      </w:r>
      <w:r w:rsidRPr="003008A3">
        <w:rPr>
          <w:rFonts w:cs="RealpagePLA3"/>
        </w:rPr>
        <w:t>London: Routledge and</w:t>
      </w:r>
      <w:r>
        <w:rPr>
          <w:rFonts w:cs="RealpagePLA3"/>
        </w:rPr>
        <w:t xml:space="preserve"> </w:t>
      </w:r>
      <w:r w:rsidRPr="003008A3">
        <w:rPr>
          <w:rFonts w:cs="RealpagePLA3"/>
        </w:rPr>
        <w:t>Kegan Paul</w:t>
      </w:r>
      <w:r>
        <w:rPr>
          <w:rFonts w:cs="RealpagePLA3"/>
        </w:rPr>
        <w:t>.</w:t>
      </w:r>
    </w:p>
    <w:p w14:paraId="05D58C09" w14:textId="77777777" w:rsidR="0018595A" w:rsidRDefault="0018595A" w:rsidP="0018595A">
      <w:pPr>
        <w:pStyle w:val="References"/>
        <w:rPr>
          <w:rFonts w:cs="ArialUnicodeMS"/>
        </w:rPr>
      </w:pPr>
      <w:r w:rsidRPr="00A636BE">
        <w:rPr>
          <w:rFonts w:cs="ArialUnicodeMS"/>
        </w:rPr>
        <w:t xml:space="preserve">Rao, D., and I. Stupans. 2012. “Exploring the potential of role play in higher education: development of a typology and teacher guidelines.” </w:t>
      </w:r>
      <w:r w:rsidRPr="00A636BE">
        <w:rPr>
          <w:rFonts w:cs="ArialUnicodeMS"/>
          <w:i/>
        </w:rPr>
        <w:t>Innovations in Education and Teaching International</w:t>
      </w:r>
      <w:r w:rsidRPr="00A636BE">
        <w:rPr>
          <w:rFonts w:cs="ArialUnicodeMS"/>
        </w:rPr>
        <w:t xml:space="preserve"> 49 (4): 427-436.</w:t>
      </w:r>
    </w:p>
    <w:p w14:paraId="6C69F149" w14:textId="77777777" w:rsidR="0018595A" w:rsidRDefault="0018595A" w:rsidP="0018595A">
      <w:pPr>
        <w:pStyle w:val="References"/>
        <w:rPr>
          <w:rFonts w:cs="ArialUnicodeMS"/>
        </w:rPr>
      </w:pPr>
      <w:r w:rsidRPr="00A636BE">
        <w:rPr>
          <w:rFonts w:cs="ArialUnicodeMS"/>
        </w:rPr>
        <w:t xml:space="preserve">Rix, J. and P. Twining. 2007. “Exploring education systems: towards a typology for future learning?” </w:t>
      </w:r>
      <w:r w:rsidRPr="00A636BE">
        <w:rPr>
          <w:rFonts w:cs="ArialUnicodeMS"/>
          <w:i/>
        </w:rPr>
        <w:t>Educational Research</w:t>
      </w:r>
      <w:r w:rsidRPr="00A636BE">
        <w:rPr>
          <w:rFonts w:cs="ArialUnicodeMS"/>
        </w:rPr>
        <w:t xml:space="preserve"> 49 (4) 329-341.</w:t>
      </w:r>
    </w:p>
    <w:p w14:paraId="375A6A51" w14:textId="77777777" w:rsidR="0018595A" w:rsidRDefault="0018595A" w:rsidP="0018595A">
      <w:pPr>
        <w:pStyle w:val="References"/>
        <w:rPr>
          <w:rFonts w:cs="RealpagePLA3"/>
        </w:rPr>
      </w:pPr>
      <w:r>
        <w:rPr>
          <w:rFonts w:cs="RealpagePLA3"/>
        </w:rPr>
        <w:t xml:space="preserve">Ryle, G. 1949. </w:t>
      </w:r>
      <w:r>
        <w:rPr>
          <w:rFonts w:cs="RealpagePLA3-Italic"/>
          <w:i/>
          <w:iCs/>
        </w:rPr>
        <w:t xml:space="preserve">The Concept of Mind. </w:t>
      </w:r>
      <w:r w:rsidRPr="003008A3">
        <w:rPr>
          <w:rFonts w:cs="RealpagePLA3"/>
        </w:rPr>
        <w:t xml:space="preserve">London: Hutchinson </w:t>
      </w:r>
      <w:r w:rsidR="00F81467">
        <w:rPr>
          <w:rFonts w:cs="RealpagePLA3"/>
        </w:rPr>
        <w:t>and</w:t>
      </w:r>
      <w:r w:rsidRPr="003008A3">
        <w:rPr>
          <w:rFonts w:cs="RealpagePLA3"/>
        </w:rPr>
        <w:t xml:space="preserve"> Co.</w:t>
      </w:r>
    </w:p>
    <w:p w14:paraId="22AD7560" w14:textId="77777777" w:rsidR="0018595A" w:rsidRPr="006A2187" w:rsidRDefault="0018595A" w:rsidP="0018595A">
      <w:pPr>
        <w:pStyle w:val="References"/>
        <w:rPr>
          <w:rFonts w:cs="ArialUnicodeMS"/>
        </w:rPr>
      </w:pPr>
      <w:r w:rsidRPr="006A2187">
        <w:t>Salda</w:t>
      </w:r>
      <w:r w:rsidRPr="008C77C5">
        <w:rPr>
          <w:rFonts w:ascii="Calibri" w:hAnsi="Calibri" w:cs="Calibri"/>
        </w:rPr>
        <w:t>ñ</w:t>
      </w:r>
      <w:r>
        <w:t>a, J. 2016.</w:t>
      </w:r>
      <w:r w:rsidRPr="006A2187">
        <w:t xml:space="preserve"> (3</w:t>
      </w:r>
      <w:r w:rsidRPr="006A2187">
        <w:rPr>
          <w:vertAlign w:val="superscript"/>
        </w:rPr>
        <w:t>rd</w:t>
      </w:r>
      <w:r w:rsidRPr="006A2187">
        <w:t xml:space="preserve"> edn) </w:t>
      </w:r>
      <w:r>
        <w:rPr>
          <w:i/>
        </w:rPr>
        <w:t>The Coding Manual for Q</w:t>
      </w:r>
      <w:r w:rsidRPr="006A2187">
        <w:rPr>
          <w:i/>
        </w:rPr>
        <w:t>ualitat</w:t>
      </w:r>
      <w:r>
        <w:rPr>
          <w:i/>
        </w:rPr>
        <w:t>ive R</w:t>
      </w:r>
      <w:r w:rsidRPr="006A2187">
        <w:rPr>
          <w:i/>
        </w:rPr>
        <w:t>esearchers</w:t>
      </w:r>
      <w:r>
        <w:t xml:space="preserve">. Thousand Oaks, CA, </w:t>
      </w:r>
      <w:r w:rsidRPr="006A2187">
        <w:t>Sage</w:t>
      </w:r>
      <w:r>
        <w:t>.</w:t>
      </w:r>
    </w:p>
    <w:p w14:paraId="737CB671" w14:textId="77777777" w:rsidR="0018595A" w:rsidRDefault="0018595A" w:rsidP="0018595A">
      <w:pPr>
        <w:pStyle w:val="References"/>
      </w:pPr>
      <w:r>
        <w:t>Salmon, G. 2005.</w:t>
      </w:r>
      <w:r w:rsidRPr="00690019">
        <w:t xml:space="preserve"> </w:t>
      </w:r>
      <w:r>
        <w:t>“</w:t>
      </w:r>
      <w:r w:rsidRPr="00690019">
        <w:t>Flying not flapping: a strategic framework for elearning</w:t>
      </w:r>
      <w:r>
        <w:t xml:space="preserve"> </w:t>
      </w:r>
      <w:r w:rsidRPr="00690019">
        <w:t>and pedagogical innovation i</w:t>
      </w:r>
      <w:r>
        <w:t>n higher education institutions”.</w:t>
      </w:r>
      <w:r w:rsidRPr="00690019">
        <w:t xml:space="preserve"> </w:t>
      </w:r>
      <w:r w:rsidRPr="000D0560">
        <w:rPr>
          <w:i/>
        </w:rPr>
        <w:t>ALT-J</w:t>
      </w:r>
      <w:r>
        <w:t>, 13 (</w:t>
      </w:r>
      <w:r w:rsidRPr="00690019">
        <w:t>3</w:t>
      </w:r>
      <w:r>
        <w:t>):</w:t>
      </w:r>
      <w:r w:rsidRPr="00690019">
        <w:t xml:space="preserve"> 201-218</w:t>
      </w:r>
      <w:r>
        <w:t>.</w:t>
      </w:r>
    </w:p>
    <w:p w14:paraId="127013B3" w14:textId="77777777" w:rsidR="0018595A" w:rsidRDefault="0018595A" w:rsidP="0018595A">
      <w:pPr>
        <w:pStyle w:val="References"/>
        <w:rPr>
          <w:rFonts w:cs="SabonLTStd-Roman"/>
        </w:rPr>
      </w:pPr>
      <w:r w:rsidRPr="00F9339C">
        <w:rPr>
          <w:rFonts w:cs="SabonLTStd-Roman"/>
        </w:rPr>
        <w:t>Sella</w:t>
      </w:r>
      <w:r>
        <w:rPr>
          <w:rFonts w:cs="SabonLTStd-Roman"/>
        </w:rPr>
        <w:t>r, S. 2009. “The r</w:t>
      </w:r>
      <w:r w:rsidRPr="00F9339C">
        <w:rPr>
          <w:rFonts w:cs="SabonLTStd-Roman"/>
        </w:rPr>
        <w:t>esp</w:t>
      </w:r>
      <w:r>
        <w:rPr>
          <w:rFonts w:cs="SabonLTStd-Roman"/>
        </w:rPr>
        <w:t>onsible uncertainty of pedagogy.”</w:t>
      </w:r>
      <w:r w:rsidRPr="00F9339C">
        <w:rPr>
          <w:rFonts w:cs="SabonLTStd-Roman"/>
        </w:rPr>
        <w:t xml:space="preserve"> </w:t>
      </w:r>
      <w:r w:rsidRPr="00F9339C">
        <w:rPr>
          <w:rFonts w:cs="SabonLTStd-Italic"/>
          <w:i/>
          <w:iCs/>
        </w:rPr>
        <w:t>Discourse: Studies in the</w:t>
      </w:r>
      <w:r>
        <w:rPr>
          <w:rFonts w:cs="SabonLTStd-Italic"/>
          <w:i/>
          <w:iCs/>
        </w:rPr>
        <w:t xml:space="preserve"> Cultural Politics of Education</w:t>
      </w:r>
      <w:r>
        <w:rPr>
          <w:rFonts w:cs="SabonLTStd-Roman"/>
        </w:rPr>
        <w:t xml:space="preserve"> 30 (3): 347</w:t>
      </w:r>
      <w:r w:rsidRPr="00F9339C">
        <w:rPr>
          <w:rFonts w:cs="SabonLTStd-Roman"/>
        </w:rPr>
        <w:t>–60.</w:t>
      </w:r>
    </w:p>
    <w:p w14:paraId="70B07D3C" w14:textId="77777777" w:rsidR="0018595A" w:rsidRPr="00256851" w:rsidRDefault="0018595A" w:rsidP="0018595A">
      <w:pPr>
        <w:pStyle w:val="References"/>
      </w:pPr>
      <w:r>
        <w:t xml:space="preserve">Silver, C., and Woolf, N. H. 2015. “From guided-instruction to facilitation of learning: The development of Five-level QDA as a CAQDAS pedagogy that explicates the practices of expert users.” </w:t>
      </w:r>
      <w:r w:rsidRPr="00256851">
        <w:rPr>
          <w:i/>
        </w:rPr>
        <w:t>International Journal of Social Research Methodology</w:t>
      </w:r>
      <w:r w:rsidRPr="00256851">
        <w:t xml:space="preserve"> 18</w:t>
      </w:r>
      <w:r>
        <w:t xml:space="preserve"> (5): 527-43</w:t>
      </w:r>
      <w:r w:rsidRPr="00256851">
        <w:t>.</w:t>
      </w:r>
    </w:p>
    <w:p w14:paraId="3DC16461" w14:textId="77777777" w:rsidR="0018595A" w:rsidRDefault="0018595A" w:rsidP="0018595A">
      <w:pPr>
        <w:pStyle w:val="References"/>
      </w:pPr>
      <w:r>
        <w:t xml:space="preserve">Stake, R. E. (2000) </w:t>
      </w:r>
      <w:r>
        <w:rPr>
          <w:i/>
        </w:rPr>
        <w:t>The Art of Case Study R</w:t>
      </w:r>
      <w:r w:rsidRPr="00932BBB">
        <w:rPr>
          <w:i/>
        </w:rPr>
        <w:t>esearch</w:t>
      </w:r>
      <w:r>
        <w:t>. Thousand Oaks, CA, Sage.</w:t>
      </w:r>
    </w:p>
    <w:p w14:paraId="3F34A133" w14:textId="77777777" w:rsidR="0018595A" w:rsidRPr="002B35E8" w:rsidRDefault="0018595A" w:rsidP="0018595A">
      <w:pPr>
        <w:pStyle w:val="References"/>
        <w:rPr>
          <w:rFonts w:cs="ArialUnicodeMS"/>
        </w:rPr>
      </w:pPr>
      <w:r w:rsidRPr="002B35E8">
        <w:rPr>
          <w:rFonts w:cs="AdvOT5843c571"/>
        </w:rPr>
        <w:t xml:space="preserve">Wagner, C., </w:t>
      </w:r>
      <w:r>
        <w:rPr>
          <w:rFonts w:cs="AdvOT5843c571"/>
        </w:rPr>
        <w:t xml:space="preserve">M. Garner, </w:t>
      </w:r>
      <w:r w:rsidRPr="002B35E8">
        <w:rPr>
          <w:rFonts w:cs="AdvOT5843c571"/>
        </w:rPr>
        <w:t xml:space="preserve">and </w:t>
      </w:r>
      <w:r>
        <w:rPr>
          <w:rFonts w:cs="AdvOT5843c571"/>
        </w:rPr>
        <w:t>B. Kawulich. 2011.</w:t>
      </w:r>
      <w:r w:rsidRPr="002B35E8">
        <w:rPr>
          <w:rFonts w:cs="AdvOT5843c571"/>
        </w:rPr>
        <w:t xml:space="preserve"> </w:t>
      </w:r>
      <w:r>
        <w:rPr>
          <w:rFonts w:cs="AdvOT5843c571"/>
        </w:rPr>
        <w:t>“</w:t>
      </w:r>
      <w:r w:rsidRPr="002B35E8">
        <w:rPr>
          <w:rFonts w:cs="AdvOT5843c571"/>
        </w:rPr>
        <w:t>The state of the art of teaching research methods in the social sciences: towards a pedagogical culture</w:t>
      </w:r>
      <w:r>
        <w:rPr>
          <w:rFonts w:cs="AdvOT5843c571"/>
        </w:rPr>
        <w:t>”.</w:t>
      </w:r>
      <w:r w:rsidRPr="002B35E8">
        <w:rPr>
          <w:rFonts w:cs="AdvOT5843c571"/>
        </w:rPr>
        <w:t xml:space="preserve"> </w:t>
      </w:r>
      <w:r w:rsidRPr="002B35E8">
        <w:rPr>
          <w:rFonts w:cs="AdvOTf90d833a.I"/>
          <w:i/>
        </w:rPr>
        <w:t>Studies in Higher Education</w:t>
      </w:r>
      <w:r>
        <w:rPr>
          <w:rFonts w:cs="AdvOT5843c571"/>
        </w:rPr>
        <w:t xml:space="preserve"> 36 (1):</w:t>
      </w:r>
      <w:r w:rsidRPr="002B35E8">
        <w:rPr>
          <w:rFonts w:cs="AdvOT5843c571"/>
        </w:rPr>
        <w:t xml:space="preserve"> 75</w:t>
      </w:r>
      <w:r w:rsidRPr="002B35E8">
        <w:rPr>
          <w:rFonts w:cs="AdvOT5843c571+20"/>
        </w:rPr>
        <w:t>–</w:t>
      </w:r>
      <w:r w:rsidRPr="002B35E8">
        <w:rPr>
          <w:rFonts w:cs="AdvOT5843c571"/>
        </w:rPr>
        <w:t>88.</w:t>
      </w:r>
    </w:p>
    <w:p w14:paraId="6118F1B3" w14:textId="77777777" w:rsidR="0018595A" w:rsidRPr="0018595A" w:rsidRDefault="0018595A" w:rsidP="00F81467">
      <w:pPr>
        <w:pStyle w:val="References"/>
        <w:rPr>
          <w:lang w:val="en"/>
        </w:rPr>
      </w:pPr>
      <w:r>
        <w:t xml:space="preserve">Wild, C. J., M. Pfannkuch, M. Regan, and R. Parsonage. 2017. “Accessible conceptions of statistical inference: pulling ourselves up by the bootstraps”. </w:t>
      </w:r>
      <w:r w:rsidRPr="009670D9">
        <w:rPr>
          <w:i/>
        </w:rPr>
        <w:t>International Statistical Review</w:t>
      </w:r>
      <w:r>
        <w:t xml:space="preserve"> 85 (1): 84-107.</w:t>
      </w:r>
      <w:bookmarkStart w:id="1" w:name="topofpage"/>
      <w:bookmarkEnd w:id="1"/>
    </w:p>
    <w:sectPr w:rsidR="0018595A" w:rsidRPr="0018595A" w:rsidSect="00074B8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DDE72" w16cid:durableId="200E89A1"/>
  <w16cid:commentId w16cid:paraId="459B67C6" w16cid:durableId="200E89A2"/>
  <w16cid:commentId w16cid:paraId="01B7A648" w16cid:durableId="200E89A3"/>
  <w16cid:commentId w16cid:paraId="41592477" w16cid:durableId="200E8D2D"/>
  <w16cid:commentId w16cid:paraId="36AD6687" w16cid:durableId="200E89A4"/>
  <w16cid:commentId w16cid:paraId="12E163EA" w16cid:durableId="200E8DA7"/>
  <w16cid:commentId w16cid:paraId="6BE8C669" w16cid:durableId="200E89A5"/>
  <w16cid:commentId w16cid:paraId="01C39F5D" w16cid:durableId="200E89A6"/>
  <w16cid:commentId w16cid:paraId="268AFB8A" w16cid:durableId="200E89A7"/>
  <w16cid:commentId w16cid:paraId="118AFAA5" w16cid:durableId="200E89A8"/>
  <w16cid:commentId w16cid:paraId="6CA21CE5" w16cid:durableId="200E89A9"/>
  <w16cid:commentId w16cid:paraId="5C1EA1DA" w16cid:durableId="200E89AA"/>
  <w16cid:commentId w16cid:paraId="6CF632FD" w16cid:durableId="200E8DEF"/>
  <w16cid:commentId w16cid:paraId="4F556160" w16cid:durableId="200E89AB"/>
  <w16cid:commentId w16cid:paraId="51E9156C" w16cid:durableId="200E8E6C"/>
  <w16cid:commentId w16cid:paraId="332D758A" w16cid:durableId="200E89AC"/>
  <w16cid:commentId w16cid:paraId="235858AA" w16cid:durableId="200E8FEA"/>
  <w16cid:commentId w16cid:paraId="79E00E7B" w16cid:durableId="200E901F"/>
  <w16cid:commentId w16cid:paraId="75F8529B" w16cid:durableId="200E89AD"/>
  <w16cid:commentId w16cid:paraId="71EBF07F" w16cid:durableId="200E902E"/>
  <w16cid:commentId w16cid:paraId="34ACC840" w16cid:durableId="200E89AE"/>
  <w16cid:commentId w16cid:paraId="21C04DEE" w16cid:durableId="200E903A"/>
  <w16cid:commentId w16cid:paraId="638B0BE6" w16cid:durableId="200E89AF"/>
  <w16cid:commentId w16cid:paraId="0A516E2E" w16cid:durableId="200E89B0"/>
  <w16cid:commentId w16cid:paraId="23C7FA89" w16cid:durableId="200E89B1"/>
  <w16cid:commentId w16cid:paraId="5A07E626" w16cid:durableId="200E92B1"/>
  <w16cid:commentId w16cid:paraId="49E313D7" w16cid:durableId="200E89B2"/>
  <w16cid:commentId w16cid:paraId="7F16DCB7" w16cid:durableId="200E89B3"/>
  <w16cid:commentId w16cid:paraId="43B0809A" w16cid:durableId="200E89B4"/>
  <w16cid:commentId w16cid:paraId="0F3B9D9E" w16cid:durableId="200E9306"/>
  <w16cid:commentId w16cid:paraId="1025416B" w16cid:durableId="200E89B5"/>
  <w16cid:commentId w16cid:paraId="2760F24A" w16cid:durableId="200E89B6"/>
  <w16cid:commentId w16cid:paraId="4A7D5558" w16cid:durableId="200E89B7"/>
  <w16cid:commentId w16cid:paraId="174DAFB3" w16cid:durableId="200EA668"/>
  <w16cid:commentId w16cid:paraId="43721456" w16cid:durableId="200E89B8"/>
  <w16cid:commentId w16cid:paraId="7C12F606" w16cid:durableId="200E89B9"/>
  <w16cid:commentId w16cid:paraId="15373D2A" w16cid:durableId="200E89BA"/>
  <w16cid:commentId w16cid:paraId="5327D621" w16cid:durableId="200EA70F"/>
  <w16cid:commentId w16cid:paraId="137C4802" w16cid:durableId="200E89BB"/>
  <w16cid:commentId w16cid:paraId="582197D6" w16cid:durableId="200E89BC"/>
  <w16cid:commentId w16cid:paraId="33C94065" w16cid:durableId="200EA71D"/>
  <w16cid:commentId w16cid:paraId="02D638CD" w16cid:durableId="200E89BD"/>
  <w16cid:commentId w16cid:paraId="3C2667F7" w16cid:durableId="200E89BE"/>
  <w16cid:commentId w16cid:paraId="3FB49787" w16cid:durableId="200E89BF"/>
  <w16cid:commentId w16cid:paraId="2C2F4186" w16cid:durableId="200EA7CC"/>
  <w16cid:commentId w16cid:paraId="14C56C37" w16cid:durableId="200EA7A6"/>
  <w16cid:commentId w16cid:paraId="7988D560" w16cid:durableId="200E89C0"/>
  <w16cid:commentId w16cid:paraId="0E1EBADB" w16cid:durableId="200EA7FC"/>
  <w16cid:commentId w16cid:paraId="649AF01D" w16cid:durableId="200E89C1"/>
  <w16cid:commentId w16cid:paraId="00831978" w16cid:durableId="200E89C2"/>
  <w16cid:commentId w16cid:paraId="13D257B3" w16cid:durableId="200E89C3"/>
  <w16cid:commentId w16cid:paraId="4A95F4F0" w16cid:durableId="200EA999"/>
  <w16cid:commentId w16cid:paraId="35BCFF71" w16cid:durableId="200E89C4"/>
  <w16cid:commentId w16cid:paraId="01E04021" w16cid:durableId="200EA9BC"/>
  <w16cid:commentId w16cid:paraId="5EF905BB" w16cid:durableId="200E89C5"/>
  <w16cid:commentId w16cid:paraId="335FD31A" w16cid:durableId="200EA9DF"/>
  <w16cid:commentId w16cid:paraId="3CDABB53" w16cid:durableId="200E89C6"/>
  <w16cid:commentId w16cid:paraId="7CD570D4" w16cid:durableId="200EA9EA"/>
  <w16cid:commentId w16cid:paraId="53F97926" w16cid:durableId="200E89C7"/>
  <w16cid:commentId w16cid:paraId="05DA8427" w16cid:durableId="200E89C8"/>
  <w16cid:commentId w16cid:paraId="38A89090" w16cid:durableId="200EAA40"/>
  <w16cid:commentId w16cid:paraId="072EC096" w16cid:durableId="200E89C9"/>
  <w16cid:commentId w16cid:paraId="1EC6A154" w16cid:durableId="200EAA55"/>
  <w16cid:commentId w16cid:paraId="39637608" w16cid:durableId="200E89CA"/>
  <w16cid:commentId w16cid:paraId="53592456" w16cid:durableId="200E89CB"/>
  <w16cid:commentId w16cid:paraId="18C0EF1F" w16cid:durableId="200EABF3"/>
  <w16cid:commentId w16cid:paraId="552C8FCB" w16cid:durableId="200E89CC"/>
  <w16cid:commentId w16cid:paraId="7FF94551" w16cid:durableId="200EAC14"/>
  <w16cid:commentId w16cid:paraId="4CD971D3" w16cid:durableId="200E89CD"/>
  <w16cid:commentId w16cid:paraId="325207B3" w16cid:durableId="200E89CE"/>
  <w16cid:commentId w16cid:paraId="49E8B6AD" w16cid:durableId="200EAC26"/>
  <w16cid:commentId w16cid:paraId="1586DB7A" w16cid:durableId="200E89CF"/>
  <w16cid:commentId w16cid:paraId="7675C12E" w16cid:durableId="200EAC38"/>
  <w16cid:commentId w16cid:paraId="5FF07B83" w16cid:durableId="200EAC5A"/>
  <w16cid:commentId w16cid:paraId="290C04C2" w16cid:durableId="200E89D0"/>
  <w16cid:commentId w16cid:paraId="726E70D1" w16cid:durableId="200E89D1"/>
  <w16cid:commentId w16cid:paraId="58FCFEB5" w16cid:durableId="200EAC7C"/>
  <w16cid:commentId w16cid:paraId="79BE8F9D" w16cid:durableId="200E89D2"/>
  <w16cid:commentId w16cid:paraId="76F0EC36" w16cid:durableId="200E89D3"/>
  <w16cid:commentId w16cid:paraId="00983046" w16cid:durableId="200E89D4"/>
  <w16cid:commentId w16cid:paraId="147F0FE5" w16cid:durableId="200E89D5"/>
  <w16cid:commentId w16cid:paraId="22749172" w16cid:durableId="200E89D6"/>
  <w16cid:commentId w16cid:paraId="7DDCA5C8" w16cid:durableId="200E89D7"/>
  <w16cid:commentId w16cid:paraId="6806DDBB" w16cid:durableId="200E89D8"/>
  <w16cid:commentId w16cid:paraId="2BD5B830" w16cid:durableId="200EAC96"/>
  <w16cid:commentId w16cid:paraId="6AD7701F" w16cid:durableId="200E8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47EA" w14:textId="77777777" w:rsidR="00876070" w:rsidRDefault="00876070" w:rsidP="00AF2C92">
      <w:r>
        <w:separator/>
      </w:r>
    </w:p>
  </w:endnote>
  <w:endnote w:type="continuationSeparator" w:id="0">
    <w:p w14:paraId="4E328778" w14:textId="77777777" w:rsidR="00876070" w:rsidRDefault="0087607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TTec369687">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dvOT5843c571">
    <w:panose1 w:val="00000000000000000000"/>
    <w:charset w:val="00"/>
    <w:family w:val="roman"/>
    <w:notTrueType/>
    <w:pitch w:val="default"/>
    <w:sig w:usb0="00000003" w:usb1="00000000" w:usb2="00000000" w:usb3="00000000" w:csb0="00000001" w:csb1="00000000"/>
  </w:font>
  <w:font w:name="AdvTTc6ee16d2.I">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AdvOTf90d833a.I">
    <w:panose1 w:val="00000000000000000000"/>
    <w:charset w:val="00"/>
    <w:family w:val="roman"/>
    <w:notTrueType/>
    <w:pitch w:val="default"/>
    <w:sig w:usb0="00000003" w:usb1="00000000" w:usb2="00000000" w:usb3="00000000" w:csb0="00000001" w:csb1="00000000"/>
  </w:font>
  <w:font w:name="AdvOT5843c571+20">
    <w:panose1 w:val="00000000000000000000"/>
    <w:charset w:val="00"/>
    <w:family w:val="swiss"/>
    <w:notTrueType/>
    <w:pitch w:val="default"/>
    <w:sig w:usb0="00000003" w:usb1="00000000" w:usb2="00000000" w:usb3="00000000" w:csb0="00000001" w:csb1="00000000"/>
  </w:font>
  <w:font w:name="AdvPL">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PLI">
    <w:panose1 w:val="00000000000000000000"/>
    <w:charset w:val="00"/>
    <w:family w:val="swiss"/>
    <w:notTrueType/>
    <w:pitch w:val="default"/>
    <w:sig w:usb0="00000003" w:usb1="00000000" w:usb2="00000000" w:usb3="00000000" w:csb0="00000001" w:csb1="00000000"/>
  </w:font>
  <w:font w:name="CGTimes-Regular">
    <w:panose1 w:val="00000000000000000000"/>
    <w:charset w:val="00"/>
    <w:family w:val="swiss"/>
    <w:notTrueType/>
    <w:pitch w:val="default"/>
    <w:sig w:usb0="00000003" w:usb1="00000000" w:usb2="00000000" w:usb3="00000000" w:csb0="00000001" w:csb1="00000000"/>
  </w:font>
  <w:font w:name="AdvPS8E9A">
    <w:panose1 w:val="00000000000000000000"/>
    <w:charset w:val="00"/>
    <w:family w:val="swiss"/>
    <w:notTrueType/>
    <w:pitch w:val="default"/>
    <w:sig w:usb0="00000003" w:usb1="00000000" w:usb2="00000000" w:usb3="00000000" w:csb0="00000001" w:csb1="00000000"/>
  </w:font>
  <w:font w:name="AdvTimes">
    <w:altName w:val="Arial Unicode MS"/>
    <w:charset w:val="01"/>
    <w:family w:val="roman"/>
    <w:pitch w:val="variable"/>
  </w:font>
  <w:font w:name="AdvTREBU-B">
    <w:panose1 w:val="00000000000000000000"/>
    <w:charset w:val="00"/>
    <w:family w:val="roman"/>
    <w:notTrueType/>
    <w:pitch w:val="default"/>
    <w:sig w:usb0="00000003" w:usb1="00000000" w:usb2="00000000" w:usb3="00000000" w:csb0="00000001" w:csb1="00000000"/>
  </w:font>
  <w:font w:name="RealpagePLA3">
    <w:altName w:val="Calibri"/>
    <w:panose1 w:val="00000000000000000000"/>
    <w:charset w:val="00"/>
    <w:family w:val="swiss"/>
    <w:notTrueType/>
    <w:pitch w:val="default"/>
    <w:sig w:usb0="00000003" w:usb1="00000000" w:usb2="00000000" w:usb3="00000000" w:csb0="00000001" w:csb1="00000000"/>
  </w:font>
  <w:font w:name="RealpagePLA3-Italic">
    <w:altName w:val="Calibri"/>
    <w:panose1 w:val="00000000000000000000"/>
    <w:charset w:val="00"/>
    <w:family w:val="swiss"/>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SabonLTSt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59945"/>
      <w:docPartObj>
        <w:docPartGallery w:val="Page Numbers (Bottom of Page)"/>
        <w:docPartUnique/>
      </w:docPartObj>
    </w:sdtPr>
    <w:sdtEndPr>
      <w:rPr>
        <w:noProof/>
      </w:rPr>
    </w:sdtEndPr>
    <w:sdtContent>
      <w:p w14:paraId="668B18E2" w14:textId="08AB466C" w:rsidR="00876070" w:rsidRDefault="00876070">
        <w:pPr>
          <w:pStyle w:val="Footer"/>
          <w:jc w:val="right"/>
        </w:pPr>
        <w:r>
          <w:fldChar w:fldCharType="begin"/>
        </w:r>
        <w:r>
          <w:instrText xml:space="preserve"> PAGE   \* MERGEFORMAT </w:instrText>
        </w:r>
        <w:r>
          <w:fldChar w:fldCharType="separate"/>
        </w:r>
        <w:r w:rsidR="00AA62F0">
          <w:rPr>
            <w:noProof/>
          </w:rPr>
          <w:t>38</w:t>
        </w:r>
        <w:r>
          <w:rPr>
            <w:noProof/>
          </w:rPr>
          <w:fldChar w:fldCharType="end"/>
        </w:r>
      </w:p>
    </w:sdtContent>
  </w:sdt>
  <w:p w14:paraId="740FD732" w14:textId="77777777" w:rsidR="00876070" w:rsidRDefault="0087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09B07" w14:textId="77777777" w:rsidR="00876070" w:rsidRDefault="00876070" w:rsidP="00AF2C92">
      <w:r>
        <w:separator/>
      </w:r>
    </w:p>
  </w:footnote>
  <w:footnote w:type="continuationSeparator" w:id="0">
    <w:p w14:paraId="6255CB95" w14:textId="77777777" w:rsidR="00876070" w:rsidRDefault="00876070" w:rsidP="00AF2C92">
      <w:r>
        <w:continuationSeparator/>
      </w:r>
    </w:p>
  </w:footnote>
  <w:footnote w:id="1">
    <w:p w14:paraId="0D5AFB9A" w14:textId="77777777" w:rsidR="00876070" w:rsidRDefault="00876070" w:rsidP="00034D91">
      <w:pPr>
        <w:pStyle w:val="Footnotes"/>
      </w:pPr>
      <w:r>
        <w:rPr>
          <w:rStyle w:val="FootnoteReference"/>
        </w:rPr>
        <w:footnoteRef/>
      </w:r>
      <w:r>
        <w:t xml:space="preserve"> Threshold concepts (Meyer and Land 2005) represent those points of understanding that must be gained before a learner can transition into further knowledge. </w:t>
      </w:r>
    </w:p>
  </w:footnote>
  <w:footnote w:id="2">
    <w:p w14:paraId="76730DCC" w14:textId="77777777" w:rsidR="00876070" w:rsidRDefault="00876070" w:rsidP="0018595A">
      <w:pPr>
        <w:pStyle w:val="Footnotes"/>
      </w:pPr>
      <w:r>
        <w:rPr>
          <w:rStyle w:val="FootnoteReference"/>
        </w:rPr>
        <w:footnoteRef/>
      </w:r>
      <w:r>
        <w:t xml:space="preserve"> </w:t>
      </w:r>
      <w:hyperlink r:id="rId1" w:history="1">
        <w:r w:rsidRPr="002E7AF1">
          <w:rPr>
            <w:rStyle w:val="Hyperlink"/>
          </w:rPr>
          <w:t>http://teflpedia.com/</w:t>
        </w:r>
      </w:hyperlink>
      <w:r>
        <w:t xml:space="preserve"> ‘A wiki for the English-teaching community to share knowledge’</w:t>
      </w:r>
    </w:p>
    <w:p w14:paraId="36E5368F" w14:textId="77777777" w:rsidR="00876070" w:rsidRDefault="0087607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4B6B89"/>
    <w:multiLevelType w:val="hybridMultilevel"/>
    <w:tmpl w:val="662E8B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13"/>
    <w:rsid w:val="00001899"/>
    <w:rsid w:val="00001F31"/>
    <w:rsid w:val="00003278"/>
    <w:rsid w:val="000049AD"/>
    <w:rsid w:val="0000681B"/>
    <w:rsid w:val="000133C0"/>
    <w:rsid w:val="00014C4E"/>
    <w:rsid w:val="00017107"/>
    <w:rsid w:val="000202E2"/>
    <w:rsid w:val="00022441"/>
    <w:rsid w:val="0002261E"/>
    <w:rsid w:val="00023710"/>
    <w:rsid w:val="00024839"/>
    <w:rsid w:val="00026871"/>
    <w:rsid w:val="00027544"/>
    <w:rsid w:val="00033F3C"/>
    <w:rsid w:val="00034D91"/>
    <w:rsid w:val="00037A98"/>
    <w:rsid w:val="000427FB"/>
    <w:rsid w:val="0004455E"/>
    <w:rsid w:val="00047CB5"/>
    <w:rsid w:val="00051FAA"/>
    <w:rsid w:val="000572A9"/>
    <w:rsid w:val="00061325"/>
    <w:rsid w:val="000643FC"/>
    <w:rsid w:val="000733AC"/>
    <w:rsid w:val="00074B81"/>
    <w:rsid w:val="00074D22"/>
    <w:rsid w:val="00075081"/>
    <w:rsid w:val="0007528A"/>
    <w:rsid w:val="000811AB"/>
    <w:rsid w:val="00083C5F"/>
    <w:rsid w:val="0009172C"/>
    <w:rsid w:val="00092D64"/>
    <w:rsid w:val="000930EC"/>
    <w:rsid w:val="00095E61"/>
    <w:rsid w:val="000966C1"/>
    <w:rsid w:val="000970AC"/>
    <w:rsid w:val="000A1167"/>
    <w:rsid w:val="000A4428"/>
    <w:rsid w:val="000A6D40"/>
    <w:rsid w:val="000A7BC3"/>
    <w:rsid w:val="000B0A7E"/>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1AA"/>
    <w:rsid w:val="000F5BE0"/>
    <w:rsid w:val="00100587"/>
    <w:rsid w:val="0010284E"/>
    <w:rsid w:val="00103122"/>
    <w:rsid w:val="0010336A"/>
    <w:rsid w:val="00103616"/>
    <w:rsid w:val="001043CF"/>
    <w:rsid w:val="001050F1"/>
    <w:rsid w:val="00105AEA"/>
    <w:rsid w:val="00106DAF"/>
    <w:rsid w:val="00114ABE"/>
    <w:rsid w:val="00116023"/>
    <w:rsid w:val="00123588"/>
    <w:rsid w:val="00134A51"/>
    <w:rsid w:val="00136F18"/>
    <w:rsid w:val="00140727"/>
    <w:rsid w:val="00160628"/>
    <w:rsid w:val="00161344"/>
    <w:rsid w:val="00162195"/>
    <w:rsid w:val="0016322A"/>
    <w:rsid w:val="00165A21"/>
    <w:rsid w:val="001705CE"/>
    <w:rsid w:val="0017714B"/>
    <w:rsid w:val="001804DF"/>
    <w:rsid w:val="00181BDC"/>
    <w:rsid w:val="00181DB0"/>
    <w:rsid w:val="001829E3"/>
    <w:rsid w:val="0018595A"/>
    <w:rsid w:val="001924C0"/>
    <w:rsid w:val="001938EA"/>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3A8A"/>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0A55"/>
    <w:rsid w:val="00242B0D"/>
    <w:rsid w:val="002467C6"/>
    <w:rsid w:val="0024692A"/>
    <w:rsid w:val="00252BBA"/>
    <w:rsid w:val="00253123"/>
    <w:rsid w:val="00264001"/>
    <w:rsid w:val="00266354"/>
    <w:rsid w:val="00267A18"/>
    <w:rsid w:val="00273462"/>
    <w:rsid w:val="0027395B"/>
    <w:rsid w:val="00274CB3"/>
    <w:rsid w:val="00275854"/>
    <w:rsid w:val="00283B41"/>
    <w:rsid w:val="00285F28"/>
    <w:rsid w:val="00286398"/>
    <w:rsid w:val="002A3C42"/>
    <w:rsid w:val="002A5D75"/>
    <w:rsid w:val="002A6AB9"/>
    <w:rsid w:val="002B1B1A"/>
    <w:rsid w:val="002B402C"/>
    <w:rsid w:val="002B7228"/>
    <w:rsid w:val="002C46B7"/>
    <w:rsid w:val="002C53EE"/>
    <w:rsid w:val="002D24F7"/>
    <w:rsid w:val="002D2799"/>
    <w:rsid w:val="002D2CD7"/>
    <w:rsid w:val="002D4DDC"/>
    <w:rsid w:val="002D4F75"/>
    <w:rsid w:val="002D6493"/>
    <w:rsid w:val="002D7AB6"/>
    <w:rsid w:val="002E06D0"/>
    <w:rsid w:val="002E2BAB"/>
    <w:rsid w:val="002E3C27"/>
    <w:rsid w:val="002E403A"/>
    <w:rsid w:val="002E7F3A"/>
    <w:rsid w:val="002F3D9E"/>
    <w:rsid w:val="002F4EDB"/>
    <w:rsid w:val="002F6054"/>
    <w:rsid w:val="00310E13"/>
    <w:rsid w:val="00314DC7"/>
    <w:rsid w:val="00315713"/>
    <w:rsid w:val="0031686C"/>
    <w:rsid w:val="00316AC3"/>
    <w:rsid w:val="00316FE0"/>
    <w:rsid w:val="003204D2"/>
    <w:rsid w:val="00320C54"/>
    <w:rsid w:val="0032605E"/>
    <w:rsid w:val="003275D1"/>
    <w:rsid w:val="00330170"/>
    <w:rsid w:val="00330B2A"/>
    <w:rsid w:val="00331E17"/>
    <w:rsid w:val="00333063"/>
    <w:rsid w:val="003408E3"/>
    <w:rsid w:val="00342532"/>
    <w:rsid w:val="00343480"/>
    <w:rsid w:val="00345E89"/>
    <w:rsid w:val="003522A1"/>
    <w:rsid w:val="0035254B"/>
    <w:rsid w:val="00353555"/>
    <w:rsid w:val="003536BF"/>
    <w:rsid w:val="003565D4"/>
    <w:rsid w:val="003607FB"/>
    <w:rsid w:val="00360FD5"/>
    <w:rsid w:val="0036340D"/>
    <w:rsid w:val="003634A5"/>
    <w:rsid w:val="00366868"/>
    <w:rsid w:val="00367506"/>
    <w:rsid w:val="00370085"/>
    <w:rsid w:val="003744A7"/>
    <w:rsid w:val="00376235"/>
    <w:rsid w:val="00381FB6"/>
    <w:rsid w:val="003836D3"/>
    <w:rsid w:val="00383A52"/>
    <w:rsid w:val="00387219"/>
    <w:rsid w:val="00391652"/>
    <w:rsid w:val="00392EDD"/>
    <w:rsid w:val="0039507F"/>
    <w:rsid w:val="003A1260"/>
    <w:rsid w:val="003A295F"/>
    <w:rsid w:val="003A41DD"/>
    <w:rsid w:val="003A7033"/>
    <w:rsid w:val="003B47FE"/>
    <w:rsid w:val="003B5673"/>
    <w:rsid w:val="003B57B8"/>
    <w:rsid w:val="003B6287"/>
    <w:rsid w:val="003B62C9"/>
    <w:rsid w:val="003C7176"/>
    <w:rsid w:val="003D0929"/>
    <w:rsid w:val="003D4729"/>
    <w:rsid w:val="003D7DD6"/>
    <w:rsid w:val="003E5AAF"/>
    <w:rsid w:val="003E600D"/>
    <w:rsid w:val="003E64DF"/>
    <w:rsid w:val="003E6A5D"/>
    <w:rsid w:val="003F193A"/>
    <w:rsid w:val="003F4207"/>
    <w:rsid w:val="003F5C46"/>
    <w:rsid w:val="003F7C1A"/>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19A8"/>
    <w:rsid w:val="00463228"/>
    <w:rsid w:val="00463782"/>
    <w:rsid w:val="004667E0"/>
    <w:rsid w:val="0046760E"/>
    <w:rsid w:val="00470E10"/>
    <w:rsid w:val="00477A97"/>
    <w:rsid w:val="00481343"/>
    <w:rsid w:val="0048549E"/>
    <w:rsid w:val="00485DCD"/>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4937"/>
    <w:rsid w:val="004D5514"/>
    <w:rsid w:val="004D56C3"/>
    <w:rsid w:val="004E0338"/>
    <w:rsid w:val="004E0D1C"/>
    <w:rsid w:val="004E4FF3"/>
    <w:rsid w:val="004E56A8"/>
    <w:rsid w:val="004F3B55"/>
    <w:rsid w:val="004F428E"/>
    <w:rsid w:val="004F4E46"/>
    <w:rsid w:val="004F6B7D"/>
    <w:rsid w:val="005015F6"/>
    <w:rsid w:val="005030C4"/>
    <w:rsid w:val="005031C5"/>
    <w:rsid w:val="00504FDC"/>
    <w:rsid w:val="005120CC"/>
    <w:rsid w:val="005128B1"/>
    <w:rsid w:val="00512B7B"/>
    <w:rsid w:val="00514EA1"/>
    <w:rsid w:val="0051798B"/>
    <w:rsid w:val="00520184"/>
    <w:rsid w:val="00521F5A"/>
    <w:rsid w:val="00525E06"/>
    <w:rsid w:val="00526454"/>
    <w:rsid w:val="00531823"/>
    <w:rsid w:val="0053347E"/>
    <w:rsid w:val="00534ECC"/>
    <w:rsid w:val="0053720D"/>
    <w:rsid w:val="00540EF5"/>
    <w:rsid w:val="00541BF3"/>
    <w:rsid w:val="00541CD3"/>
    <w:rsid w:val="005476FA"/>
    <w:rsid w:val="0055595E"/>
    <w:rsid w:val="00557988"/>
    <w:rsid w:val="00562C49"/>
    <w:rsid w:val="00562DEF"/>
    <w:rsid w:val="0056321A"/>
    <w:rsid w:val="00563A35"/>
    <w:rsid w:val="00566596"/>
    <w:rsid w:val="005671D1"/>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973"/>
    <w:rsid w:val="005D4A38"/>
    <w:rsid w:val="005D7D04"/>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216"/>
    <w:rsid w:val="0061550C"/>
    <w:rsid w:val="00615B0A"/>
    <w:rsid w:val="006168CF"/>
    <w:rsid w:val="0062011B"/>
    <w:rsid w:val="00626DE0"/>
    <w:rsid w:val="00630901"/>
    <w:rsid w:val="00631F8E"/>
    <w:rsid w:val="0063381A"/>
    <w:rsid w:val="00636EE9"/>
    <w:rsid w:val="00640950"/>
    <w:rsid w:val="00641AE7"/>
    <w:rsid w:val="00642629"/>
    <w:rsid w:val="0064782B"/>
    <w:rsid w:val="0065293D"/>
    <w:rsid w:val="00653EFC"/>
    <w:rsid w:val="00654021"/>
    <w:rsid w:val="0066097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2CC"/>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6ECE"/>
    <w:rsid w:val="007177FC"/>
    <w:rsid w:val="00720C5E"/>
    <w:rsid w:val="00721701"/>
    <w:rsid w:val="00725B5B"/>
    <w:rsid w:val="00731835"/>
    <w:rsid w:val="007341F8"/>
    <w:rsid w:val="00734372"/>
    <w:rsid w:val="00734EB8"/>
    <w:rsid w:val="00735F8B"/>
    <w:rsid w:val="0074090B"/>
    <w:rsid w:val="00742D1F"/>
    <w:rsid w:val="00743EBA"/>
    <w:rsid w:val="00744C8E"/>
    <w:rsid w:val="0074707E"/>
    <w:rsid w:val="00747C6E"/>
    <w:rsid w:val="007516DC"/>
    <w:rsid w:val="00752E58"/>
    <w:rsid w:val="00754B80"/>
    <w:rsid w:val="00761918"/>
    <w:rsid w:val="00762F03"/>
    <w:rsid w:val="0076413B"/>
    <w:rsid w:val="007648AE"/>
    <w:rsid w:val="00764BF8"/>
    <w:rsid w:val="0076514D"/>
    <w:rsid w:val="00773D59"/>
    <w:rsid w:val="0078010D"/>
    <w:rsid w:val="00781003"/>
    <w:rsid w:val="00784219"/>
    <w:rsid w:val="007911FD"/>
    <w:rsid w:val="00793930"/>
    <w:rsid w:val="00793DD1"/>
    <w:rsid w:val="00794FEC"/>
    <w:rsid w:val="007A003E"/>
    <w:rsid w:val="007A1965"/>
    <w:rsid w:val="007A1EDB"/>
    <w:rsid w:val="007A2ED1"/>
    <w:rsid w:val="007A4BE6"/>
    <w:rsid w:val="007B0DC6"/>
    <w:rsid w:val="007B1094"/>
    <w:rsid w:val="007B10B2"/>
    <w:rsid w:val="007B1762"/>
    <w:rsid w:val="007B3320"/>
    <w:rsid w:val="007C2B35"/>
    <w:rsid w:val="007C301F"/>
    <w:rsid w:val="007C4540"/>
    <w:rsid w:val="007C65AF"/>
    <w:rsid w:val="007D135D"/>
    <w:rsid w:val="007D5E34"/>
    <w:rsid w:val="007D730F"/>
    <w:rsid w:val="007D7530"/>
    <w:rsid w:val="007D7CD8"/>
    <w:rsid w:val="007E3AA7"/>
    <w:rsid w:val="007F737D"/>
    <w:rsid w:val="0080308E"/>
    <w:rsid w:val="00804603"/>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7A8"/>
    <w:rsid w:val="00864B2E"/>
    <w:rsid w:val="00865963"/>
    <w:rsid w:val="00867EFB"/>
    <w:rsid w:val="00871C1D"/>
    <w:rsid w:val="0087450E"/>
    <w:rsid w:val="00875A82"/>
    <w:rsid w:val="00876070"/>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2A96"/>
    <w:rsid w:val="00913D4E"/>
    <w:rsid w:val="009170BE"/>
    <w:rsid w:val="00920B55"/>
    <w:rsid w:val="009262C9"/>
    <w:rsid w:val="00930EB9"/>
    <w:rsid w:val="00933DC7"/>
    <w:rsid w:val="009418F4"/>
    <w:rsid w:val="00942BBC"/>
    <w:rsid w:val="00944180"/>
    <w:rsid w:val="00944AA0"/>
    <w:rsid w:val="00947DA2"/>
    <w:rsid w:val="00951177"/>
    <w:rsid w:val="009512A8"/>
    <w:rsid w:val="00960AC4"/>
    <w:rsid w:val="009673E8"/>
    <w:rsid w:val="00974DB8"/>
    <w:rsid w:val="009801E2"/>
    <w:rsid w:val="00980661"/>
    <w:rsid w:val="0098093B"/>
    <w:rsid w:val="009864D8"/>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4B6C"/>
    <w:rsid w:val="009C5A15"/>
    <w:rsid w:val="009C6FE2"/>
    <w:rsid w:val="009C7674"/>
    <w:rsid w:val="009D004A"/>
    <w:rsid w:val="009D5880"/>
    <w:rsid w:val="009E1FD4"/>
    <w:rsid w:val="009E3B07"/>
    <w:rsid w:val="009E51D1"/>
    <w:rsid w:val="009E5531"/>
    <w:rsid w:val="009F171E"/>
    <w:rsid w:val="009F3591"/>
    <w:rsid w:val="009F3D2F"/>
    <w:rsid w:val="009F7052"/>
    <w:rsid w:val="00A02668"/>
    <w:rsid w:val="00A02801"/>
    <w:rsid w:val="00A06A39"/>
    <w:rsid w:val="00A07F58"/>
    <w:rsid w:val="00A131CB"/>
    <w:rsid w:val="00A14847"/>
    <w:rsid w:val="00A15300"/>
    <w:rsid w:val="00A16D6D"/>
    <w:rsid w:val="00A21383"/>
    <w:rsid w:val="00A2199F"/>
    <w:rsid w:val="00A21B31"/>
    <w:rsid w:val="00A2352B"/>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6713"/>
    <w:rsid w:val="00A71361"/>
    <w:rsid w:val="00A744C7"/>
    <w:rsid w:val="00A746E2"/>
    <w:rsid w:val="00A81FF2"/>
    <w:rsid w:val="00A83904"/>
    <w:rsid w:val="00A90A79"/>
    <w:rsid w:val="00A92790"/>
    <w:rsid w:val="00A96B30"/>
    <w:rsid w:val="00AA442D"/>
    <w:rsid w:val="00AA59B5"/>
    <w:rsid w:val="00AA62F0"/>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4119"/>
    <w:rsid w:val="00AE6A21"/>
    <w:rsid w:val="00AF0FDF"/>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3E1"/>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66C4"/>
    <w:rsid w:val="00C30A2A"/>
    <w:rsid w:val="00C33993"/>
    <w:rsid w:val="00C4069E"/>
    <w:rsid w:val="00C41ADC"/>
    <w:rsid w:val="00C44149"/>
    <w:rsid w:val="00C44410"/>
    <w:rsid w:val="00C44A15"/>
    <w:rsid w:val="00C45034"/>
    <w:rsid w:val="00C4630A"/>
    <w:rsid w:val="00C51D96"/>
    <w:rsid w:val="00C523F0"/>
    <w:rsid w:val="00C526D2"/>
    <w:rsid w:val="00C53A91"/>
    <w:rsid w:val="00C5794E"/>
    <w:rsid w:val="00C60968"/>
    <w:rsid w:val="00C63D39"/>
    <w:rsid w:val="00C63EDD"/>
    <w:rsid w:val="00C65B36"/>
    <w:rsid w:val="00C7292E"/>
    <w:rsid w:val="00C741C2"/>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52FA"/>
    <w:rsid w:val="00CC658C"/>
    <w:rsid w:val="00CC67BF"/>
    <w:rsid w:val="00CD0843"/>
    <w:rsid w:val="00CD4E31"/>
    <w:rsid w:val="00CD5A78"/>
    <w:rsid w:val="00CD7345"/>
    <w:rsid w:val="00CE372E"/>
    <w:rsid w:val="00CF0A1B"/>
    <w:rsid w:val="00CF19F6"/>
    <w:rsid w:val="00CF2F4F"/>
    <w:rsid w:val="00CF536D"/>
    <w:rsid w:val="00D02E9D"/>
    <w:rsid w:val="00D10CB8"/>
    <w:rsid w:val="00D12276"/>
    <w:rsid w:val="00D12806"/>
    <w:rsid w:val="00D12D44"/>
    <w:rsid w:val="00D15018"/>
    <w:rsid w:val="00D158AC"/>
    <w:rsid w:val="00D1694C"/>
    <w:rsid w:val="00D20F5E"/>
    <w:rsid w:val="00D23B76"/>
    <w:rsid w:val="00D24B4A"/>
    <w:rsid w:val="00D32B4C"/>
    <w:rsid w:val="00D379A3"/>
    <w:rsid w:val="00D45FF3"/>
    <w:rsid w:val="00D512CF"/>
    <w:rsid w:val="00D51364"/>
    <w:rsid w:val="00D528B9"/>
    <w:rsid w:val="00D53186"/>
    <w:rsid w:val="00D5487D"/>
    <w:rsid w:val="00D55F9B"/>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1DAB"/>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2BCA"/>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13F"/>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C7C5D"/>
    <w:rsid w:val="00ED1DE9"/>
    <w:rsid w:val="00ED23D4"/>
    <w:rsid w:val="00ED5E0B"/>
    <w:rsid w:val="00EE37B6"/>
    <w:rsid w:val="00EF0F45"/>
    <w:rsid w:val="00EF5FC7"/>
    <w:rsid w:val="00EF7463"/>
    <w:rsid w:val="00EF7971"/>
    <w:rsid w:val="00F002EF"/>
    <w:rsid w:val="00F01EE9"/>
    <w:rsid w:val="00F04900"/>
    <w:rsid w:val="00F065A4"/>
    <w:rsid w:val="00F126B9"/>
    <w:rsid w:val="00F12715"/>
    <w:rsid w:val="00F144D5"/>
    <w:rsid w:val="00F146F0"/>
    <w:rsid w:val="00F15039"/>
    <w:rsid w:val="00F20FF3"/>
    <w:rsid w:val="00F2190B"/>
    <w:rsid w:val="00F2227C"/>
    <w:rsid w:val="00F228B5"/>
    <w:rsid w:val="00F2389C"/>
    <w:rsid w:val="00F25C67"/>
    <w:rsid w:val="00F30DFF"/>
    <w:rsid w:val="00F32B80"/>
    <w:rsid w:val="00F340EB"/>
    <w:rsid w:val="00F35285"/>
    <w:rsid w:val="00F43B9D"/>
    <w:rsid w:val="00F44D5E"/>
    <w:rsid w:val="00F53A35"/>
    <w:rsid w:val="00F54683"/>
    <w:rsid w:val="00F55A3D"/>
    <w:rsid w:val="00F56BE5"/>
    <w:rsid w:val="00F5744B"/>
    <w:rsid w:val="00F600E7"/>
    <w:rsid w:val="00F61209"/>
    <w:rsid w:val="00F6259E"/>
    <w:rsid w:val="00F65DD4"/>
    <w:rsid w:val="00F672B2"/>
    <w:rsid w:val="00F809F6"/>
    <w:rsid w:val="00F81467"/>
    <w:rsid w:val="00F83973"/>
    <w:rsid w:val="00F87FA3"/>
    <w:rsid w:val="00F93D8C"/>
    <w:rsid w:val="00FA1E4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55597"/>
  <w14:defaultImageDpi w14:val="330"/>
  <w15:docId w15:val="{8FE12681-C37E-4DC1-9CF3-BD6527EB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CC52FA"/>
    <w:rPr>
      <w:rFonts w:cs="Times New Roman"/>
      <w:color w:val="10147E"/>
      <w:u w:val="none"/>
      <w:effect w:val="none"/>
      <w:shd w:val="clear" w:color="auto" w:fill="auto"/>
    </w:rPr>
  </w:style>
  <w:style w:type="paragraph" w:styleId="ListParagraph">
    <w:name w:val="List Paragraph"/>
    <w:basedOn w:val="Normal"/>
    <w:uiPriority w:val="34"/>
    <w:qFormat/>
    <w:rsid w:val="0053347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qsvolumeno">
    <w:name w:val="fqsvolumeno"/>
    <w:basedOn w:val="DefaultParagraphFont"/>
    <w:rsid w:val="0018595A"/>
    <w:rPr>
      <w:rFonts w:cs="Times New Roman"/>
    </w:rPr>
  </w:style>
  <w:style w:type="character" w:customStyle="1" w:styleId="fqsissueno">
    <w:name w:val="fqsissueno"/>
    <w:basedOn w:val="DefaultParagraphFont"/>
    <w:rsid w:val="0018595A"/>
    <w:rPr>
      <w:rFonts w:cs="Times New Roman"/>
    </w:rPr>
  </w:style>
  <w:style w:type="character" w:customStyle="1" w:styleId="fqsarticleno">
    <w:name w:val="fqsarticleno"/>
    <w:basedOn w:val="DefaultParagraphFont"/>
    <w:rsid w:val="0018595A"/>
    <w:rPr>
      <w:rFonts w:cs="Times New Roman"/>
    </w:rPr>
  </w:style>
  <w:style w:type="character" w:customStyle="1" w:styleId="nlmyear">
    <w:name w:val="nlm_year"/>
    <w:basedOn w:val="DefaultParagraphFont"/>
    <w:rsid w:val="0018595A"/>
  </w:style>
  <w:style w:type="character" w:customStyle="1" w:styleId="nlmpublisher-loc">
    <w:name w:val="nlm_publisher-loc"/>
    <w:basedOn w:val="DefaultParagraphFont"/>
    <w:rsid w:val="0018595A"/>
  </w:style>
  <w:style w:type="character" w:customStyle="1" w:styleId="nlmpublisher-name">
    <w:name w:val="nlm_publisher-name"/>
    <w:basedOn w:val="DefaultParagraphFont"/>
    <w:rsid w:val="0018595A"/>
  </w:style>
  <w:style w:type="character" w:customStyle="1" w:styleId="ref-overlay2">
    <w:name w:val="ref-overlay2"/>
    <w:basedOn w:val="DefaultParagraphFont"/>
    <w:rsid w:val="0018595A"/>
    <w:rPr>
      <w:shd w:val="clear" w:color="auto" w:fill="FFFFFF"/>
    </w:rPr>
  </w:style>
  <w:style w:type="character" w:customStyle="1" w:styleId="hlfld-contribauthor">
    <w:name w:val="hlfld-contribauthor"/>
    <w:basedOn w:val="DefaultParagraphFont"/>
    <w:rsid w:val="0018595A"/>
  </w:style>
  <w:style w:type="character" w:customStyle="1" w:styleId="nlmgiven-names">
    <w:name w:val="nlm_given-names"/>
    <w:basedOn w:val="DefaultParagraphFont"/>
    <w:rsid w:val="0018595A"/>
  </w:style>
  <w:style w:type="character" w:customStyle="1" w:styleId="nlmedition">
    <w:name w:val="nlm_edition"/>
    <w:basedOn w:val="DefaultParagraphFont"/>
    <w:rsid w:val="0018595A"/>
  </w:style>
  <w:style w:type="character" w:customStyle="1" w:styleId="nlmarticle-title">
    <w:name w:val="nlm_article-title"/>
    <w:basedOn w:val="DefaultParagraphFont"/>
    <w:rsid w:val="0018595A"/>
  </w:style>
  <w:style w:type="character" w:styleId="CommentReference">
    <w:name w:val="annotation reference"/>
    <w:basedOn w:val="DefaultParagraphFont"/>
    <w:semiHidden/>
    <w:unhideWhenUsed/>
    <w:rsid w:val="00C741C2"/>
    <w:rPr>
      <w:sz w:val="16"/>
      <w:szCs w:val="16"/>
    </w:rPr>
  </w:style>
  <w:style w:type="paragraph" w:styleId="CommentText">
    <w:name w:val="annotation text"/>
    <w:basedOn w:val="Normal"/>
    <w:link w:val="CommentTextChar"/>
    <w:unhideWhenUsed/>
    <w:rsid w:val="00C741C2"/>
    <w:pPr>
      <w:spacing w:line="240" w:lineRule="auto"/>
    </w:pPr>
    <w:rPr>
      <w:sz w:val="20"/>
      <w:szCs w:val="20"/>
    </w:rPr>
  </w:style>
  <w:style w:type="character" w:customStyle="1" w:styleId="CommentTextChar">
    <w:name w:val="Comment Text Char"/>
    <w:basedOn w:val="DefaultParagraphFont"/>
    <w:link w:val="CommentText"/>
    <w:rsid w:val="00C741C2"/>
  </w:style>
  <w:style w:type="paragraph" w:styleId="CommentSubject">
    <w:name w:val="annotation subject"/>
    <w:basedOn w:val="CommentText"/>
    <w:next w:val="CommentText"/>
    <w:link w:val="CommentSubjectChar"/>
    <w:semiHidden/>
    <w:unhideWhenUsed/>
    <w:rsid w:val="00C741C2"/>
    <w:rPr>
      <w:b/>
      <w:bCs/>
    </w:rPr>
  </w:style>
  <w:style w:type="character" w:customStyle="1" w:styleId="CommentSubjectChar">
    <w:name w:val="Comment Subject Char"/>
    <w:basedOn w:val="CommentTextChar"/>
    <w:link w:val="CommentSubject"/>
    <w:semiHidden/>
    <w:rsid w:val="00C741C2"/>
    <w:rPr>
      <w:b/>
      <w:bCs/>
    </w:rPr>
  </w:style>
  <w:style w:type="paragraph" w:styleId="BalloonText">
    <w:name w:val="Balloon Text"/>
    <w:basedOn w:val="Normal"/>
    <w:link w:val="BalloonTextChar"/>
    <w:semiHidden/>
    <w:unhideWhenUsed/>
    <w:rsid w:val="00C74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41C2"/>
    <w:rPr>
      <w:rFonts w:ascii="Segoe UI" w:hAnsi="Segoe UI" w:cs="Segoe UI"/>
      <w:sz w:val="18"/>
      <w:szCs w:val="18"/>
    </w:rPr>
  </w:style>
  <w:style w:type="paragraph" w:styleId="Revision">
    <w:name w:val="Revision"/>
    <w:hidden/>
    <w:semiHidden/>
    <w:rsid w:val="007B10B2"/>
    <w:rPr>
      <w:sz w:val="24"/>
      <w:szCs w:val="24"/>
    </w:rPr>
  </w:style>
  <w:style w:type="character" w:customStyle="1" w:styleId="ilfuvd">
    <w:name w:val="ilfuvd"/>
    <w:basedOn w:val="DefaultParagraphFont"/>
    <w:rsid w:val="00D32B4C"/>
  </w:style>
  <w:style w:type="table" w:styleId="TableGrid">
    <w:name w:val="Table Grid"/>
    <w:basedOn w:val="TableNormal"/>
    <w:uiPriority w:val="59"/>
    <w:rsid w:val="00520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Research+Methods+Pedagogy" TargetMode="External"/><Relationship Id="rId13" Type="http://schemas.openxmlformats.org/officeDocument/2006/relationships/hyperlink" Target="http://nbn-resolving.de/urn:nbn:de:0114-fqs0001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dl.org/materials/contrib/1999/goodyear/index.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d.org/ASCD/pdf/journals/ed_lead/el_197503_fosh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o.sagepub.com/view/sage-encyc-qualitative-research-methods/n472.x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rints.ncrm.ac.uk/37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eflped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430D-AD15-48A7-BC16-5994111D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5</TotalTime>
  <Pages>38</Pages>
  <Words>10481</Words>
  <Characters>59743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70084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Nind M.A.</dc:creator>
  <cp:lastModifiedBy>Nind M.A.</cp:lastModifiedBy>
  <cp:revision>3</cp:revision>
  <cp:lastPrinted>2019-02-15T11:57:00Z</cp:lastPrinted>
  <dcterms:created xsi:type="dcterms:W3CDTF">2019-03-07T17:28:00Z</dcterms:created>
  <dcterms:modified xsi:type="dcterms:W3CDTF">2019-03-07T17:34:00Z</dcterms:modified>
</cp:coreProperties>
</file>