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333FF" w14:textId="422D760B" w:rsidR="002831E5" w:rsidRDefault="002831E5" w:rsidP="00A275BB">
      <w:pPr>
        <w:spacing w:line="480" w:lineRule="auto"/>
        <w:rPr>
          <w:rFonts w:asciiTheme="majorBidi" w:hAnsiTheme="majorBidi" w:cstheme="majorBidi"/>
          <w:b/>
          <w:bCs/>
          <w:sz w:val="24"/>
          <w:szCs w:val="24"/>
        </w:rPr>
      </w:pPr>
      <w:bookmarkStart w:id="0" w:name="_GoBack"/>
      <w:bookmarkEnd w:id="0"/>
      <w:r w:rsidRPr="00EF7113">
        <w:rPr>
          <w:rFonts w:asciiTheme="majorBidi" w:hAnsiTheme="majorBidi" w:cstheme="majorBidi"/>
          <w:b/>
          <w:bCs/>
          <w:sz w:val="24"/>
          <w:szCs w:val="24"/>
        </w:rPr>
        <w:t>The Politics of Institutionalizing Preventative Health</w:t>
      </w:r>
      <w:r w:rsidR="00996C6C">
        <w:rPr>
          <w:rStyle w:val="FootnoteReference"/>
          <w:rFonts w:asciiTheme="majorBidi" w:hAnsiTheme="majorBidi" w:cstheme="majorBidi"/>
          <w:b/>
          <w:bCs/>
          <w:sz w:val="24"/>
          <w:szCs w:val="24"/>
        </w:rPr>
        <w:footnoteReference w:id="1"/>
      </w:r>
    </w:p>
    <w:p w14:paraId="64B00DBE" w14:textId="6BA4CF32" w:rsidR="002831E5" w:rsidRPr="00996C6C" w:rsidRDefault="00996C6C" w:rsidP="00996C6C">
      <w:pPr>
        <w:spacing w:after="40" w:line="360" w:lineRule="auto"/>
        <w:rPr>
          <w:rFonts w:asciiTheme="majorBidi" w:hAnsiTheme="majorBidi" w:cstheme="majorBidi"/>
          <w:sz w:val="24"/>
          <w:szCs w:val="24"/>
        </w:rPr>
      </w:pPr>
      <w:r w:rsidRPr="00996C6C">
        <w:rPr>
          <w:rFonts w:asciiTheme="majorBidi" w:hAnsiTheme="majorBidi" w:cstheme="majorBidi"/>
          <w:sz w:val="24"/>
          <w:szCs w:val="24"/>
        </w:rPr>
        <w:t>John Boswell, University of Southampton</w:t>
      </w:r>
    </w:p>
    <w:p w14:paraId="236065C4" w14:textId="12BBFC03" w:rsidR="00996C6C" w:rsidRPr="00996C6C" w:rsidRDefault="00996C6C" w:rsidP="00996C6C">
      <w:pPr>
        <w:spacing w:after="40" w:line="360" w:lineRule="auto"/>
        <w:rPr>
          <w:rFonts w:asciiTheme="majorBidi" w:hAnsiTheme="majorBidi" w:cstheme="majorBidi"/>
          <w:sz w:val="24"/>
          <w:szCs w:val="24"/>
        </w:rPr>
      </w:pPr>
      <w:r w:rsidRPr="00996C6C">
        <w:rPr>
          <w:rFonts w:asciiTheme="majorBidi" w:hAnsiTheme="majorBidi" w:cstheme="majorBidi"/>
          <w:sz w:val="24"/>
          <w:szCs w:val="24"/>
        </w:rPr>
        <w:t>Paul Cairney, University of Stirling</w:t>
      </w:r>
    </w:p>
    <w:p w14:paraId="2CAD9F3C" w14:textId="63DB1263" w:rsidR="00996C6C" w:rsidRPr="00996C6C" w:rsidRDefault="00996C6C" w:rsidP="00996C6C">
      <w:pPr>
        <w:spacing w:after="40" w:line="360" w:lineRule="auto"/>
        <w:rPr>
          <w:rFonts w:asciiTheme="majorBidi" w:hAnsiTheme="majorBidi" w:cstheme="majorBidi"/>
          <w:sz w:val="24"/>
          <w:szCs w:val="24"/>
        </w:rPr>
      </w:pPr>
      <w:r w:rsidRPr="00996C6C">
        <w:rPr>
          <w:rFonts w:asciiTheme="majorBidi" w:hAnsiTheme="majorBidi" w:cstheme="majorBidi"/>
          <w:sz w:val="24"/>
          <w:szCs w:val="24"/>
        </w:rPr>
        <w:t>Emily St Denny, University of Stirling</w:t>
      </w:r>
    </w:p>
    <w:p w14:paraId="4F90631B" w14:textId="77777777" w:rsidR="00996C6C" w:rsidRDefault="00996C6C" w:rsidP="00A275BB">
      <w:pPr>
        <w:spacing w:line="480" w:lineRule="auto"/>
        <w:rPr>
          <w:rFonts w:asciiTheme="majorBidi" w:hAnsiTheme="majorBidi" w:cstheme="majorBidi"/>
          <w:b/>
          <w:bCs/>
          <w:sz w:val="24"/>
          <w:szCs w:val="24"/>
        </w:rPr>
      </w:pPr>
    </w:p>
    <w:p w14:paraId="35D17F0E" w14:textId="77777777" w:rsidR="002831E5" w:rsidRPr="00EF7113" w:rsidRDefault="002831E5" w:rsidP="00A275BB">
      <w:pPr>
        <w:spacing w:line="480" w:lineRule="auto"/>
        <w:rPr>
          <w:rFonts w:asciiTheme="majorBidi" w:hAnsiTheme="majorBidi" w:cstheme="majorBidi"/>
          <w:b/>
          <w:bCs/>
          <w:sz w:val="24"/>
          <w:szCs w:val="24"/>
        </w:rPr>
      </w:pPr>
      <w:r w:rsidRPr="00EF7113">
        <w:rPr>
          <w:rFonts w:asciiTheme="majorBidi" w:hAnsiTheme="majorBidi" w:cstheme="majorBidi"/>
          <w:b/>
          <w:bCs/>
          <w:sz w:val="24"/>
          <w:szCs w:val="24"/>
        </w:rPr>
        <w:t>Abstract</w:t>
      </w:r>
    </w:p>
    <w:p w14:paraId="688AF478" w14:textId="7136EE7A" w:rsidR="002831E5" w:rsidRDefault="002831E5" w:rsidP="00996C6C">
      <w:pPr>
        <w:spacing w:line="480" w:lineRule="auto"/>
        <w:rPr>
          <w:rFonts w:asciiTheme="majorBidi" w:hAnsiTheme="majorBidi" w:cstheme="majorBidi"/>
          <w:b/>
          <w:bCs/>
          <w:sz w:val="24"/>
          <w:szCs w:val="24"/>
        </w:rPr>
      </w:pPr>
      <w:r w:rsidRPr="00EF7113">
        <w:rPr>
          <w:rFonts w:asciiTheme="majorBidi" w:hAnsiTheme="majorBidi" w:cstheme="majorBidi"/>
          <w:sz w:val="24"/>
          <w:szCs w:val="24"/>
        </w:rPr>
        <w:t>Prevention is an attractive idea to policymakers in theory, particularly in health where the burden of spending and care is increasingly taken up by complex and chronic conditions associated with lifestyle choices. However, prevention in general, and preventative health in particular, has proven hard to implement in practice. In this paper, we look to one tangible legacy of the recent rise of the prevention agenda</w:t>
      </w:r>
      <w:r w:rsidR="00545FDD">
        <w:rPr>
          <w:rFonts w:asciiTheme="majorBidi" w:hAnsiTheme="majorBidi" w:cstheme="majorBidi"/>
          <w:sz w:val="24"/>
          <w:szCs w:val="24"/>
        </w:rPr>
        <w:t xml:space="preserve">: </w:t>
      </w:r>
      <w:r w:rsidRPr="00EF7113">
        <w:rPr>
          <w:rFonts w:asciiTheme="majorBidi" w:hAnsiTheme="majorBidi" w:cstheme="majorBidi"/>
          <w:sz w:val="24"/>
          <w:szCs w:val="24"/>
        </w:rPr>
        <w:t xml:space="preserve">agencies </w:t>
      </w:r>
      <w:r>
        <w:rPr>
          <w:rFonts w:asciiTheme="majorBidi" w:hAnsiTheme="majorBidi" w:cstheme="majorBidi"/>
          <w:sz w:val="24"/>
          <w:szCs w:val="24"/>
        </w:rPr>
        <w:t>with responsibility for</w:t>
      </w:r>
      <w:r w:rsidRPr="00EF7113">
        <w:rPr>
          <w:rFonts w:asciiTheme="majorBidi" w:hAnsiTheme="majorBidi" w:cstheme="majorBidi"/>
          <w:sz w:val="24"/>
          <w:szCs w:val="24"/>
        </w:rPr>
        <w:t xml:space="preserve"> preventative health policy. </w:t>
      </w:r>
      <w:r w:rsidR="00DC0A9F">
        <w:rPr>
          <w:rFonts w:asciiTheme="majorBidi" w:hAnsiTheme="majorBidi" w:cstheme="majorBidi"/>
          <w:sz w:val="24"/>
          <w:szCs w:val="24"/>
        </w:rPr>
        <w:t xml:space="preserve">We ask how this form of institutionalizing preventative health happens in practice, and what consequences it has for the advancement of the prevention agenda. </w:t>
      </w:r>
      <w:r w:rsidRPr="00EF7113">
        <w:rPr>
          <w:rFonts w:asciiTheme="majorBidi" w:hAnsiTheme="majorBidi" w:cstheme="majorBidi"/>
          <w:sz w:val="24"/>
          <w:szCs w:val="24"/>
        </w:rPr>
        <w:t xml:space="preserve"> We draw on qualitative data to compare the trajectories of newly formed agencies in Australia, New Zealand and England. </w:t>
      </w:r>
      <w:r w:rsidR="00545FDD">
        <w:rPr>
          <w:rFonts w:asciiTheme="majorBidi" w:hAnsiTheme="majorBidi" w:cstheme="majorBidi"/>
          <w:sz w:val="24"/>
          <w:szCs w:val="24"/>
        </w:rPr>
        <w:t>We find</w:t>
      </w:r>
      <w:r w:rsidRPr="00EF7113">
        <w:rPr>
          <w:rFonts w:asciiTheme="majorBidi" w:hAnsiTheme="majorBidi" w:cstheme="majorBidi"/>
          <w:sz w:val="24"/>
          <w:szCs w:val="24"/>
        </w:rPr>
        <w:t xml:space="preserve"> that building and maintaining legitimacy for such agencies may come at the expense of quick progress or radical action in service of the prevention agenda.</w:t>
      </w:r>
    </w:p>
    <w:p w14:paraId="58EA6F88" w14:textId="19454031" w:rsidR="002831E5" w:rsidRDefault="002831E5" w:rsidP="00A275BB">
      <w:pPr>
        <w:spacing w:line="480" w:lineRule="auto"/>
        <w:rPr>
          <w:rFonts w:asciiTheme="majorBidi" w:hAnsiTheme="majorBidi" w:cstheme="majorBidi"/>
          <w:b/>
          <w:bCs/>
          <w:sz w:val="24"/>
          <w:szCs w:val="24"/>
        </w:rPr>
      </w:pPr>
      <w:r>
        <w:rPr>
          <w:rFonts w:asciiTheme="majorBidi" w:hAnsiTheme="majorBidi" w:cstheme="majorBidi"/>
          <w:b/>
          <w:bCs/>
          <w:sz w:val="24"/>
          <w:szCs w:val="24"/>
        </w:rPr>
        <w:t>Key words</w:t>
      </w:r>
    </w:p>
    <w:p w14:paraId="34C589D3" w14:textId="7EF98DD2" w:rsidR="002831E5" w:rsidRPr="002831E5" w:rsidRDefault="002831E5" w:rsidP="00A275BB">
      <w:pPr>
        <w:spacing w:line="480" w:lineRule="auto"/>
        <w:rPr>
          <w:rFonts w:asciiTheme="majorBidi" w:hAnsiTheme="majorBidi" w:cstheme="majorBidi"/>
          <w:sz w:val="24"/>
          <w:szCs w:val="24"/>
        </w:rPr>
      </w:pPr>
      <w:r>
        <w:rPr>
          <w:rFonts w:asciiTheme="majorBidi" w:hAnsiTheme="majorBidi" w:cstheme="majorBidi"/>
          <w:sz w:val="24"/>
          <w:szCs w:val="24"/>
        </w:rPr>
        <w:t xml:space="preserve">Prevention; public health; institutionalization; agencies; governance. </w:t>
      </w:r>
    </w:p>
    <w:p w14:paraId="510C1E12" w14:textId="77777777" w:rsidR="002831E5" w:rsidRDefault="002831E5" w:rsidP="00A275BB">
      <w:pPr>
        <w:spacing w:line="480" w:lineRule="auto"/>
        <w:rPr>
          <w:rFonts w:asciiTheme="majorBidi" w:hAnsiTheme="majorBidi" w:cstheme="majorBidi"/>
          <w:b/>
          <w:bCs/>
          <w:sz w:val="24"/>
          <w:szCs w:val="24"/>
        </w:rPr>
      </w:pPr>
    </w:p>
    <w:p w14:paraId="7D91E8F5" w14:textId="77777777" w:rsidR="002831E5" w:rsidRDefault="002831E5" w:rsidP="00A275BB">
      <w:pPr>
        <w:spacing w:line="480" w:lineRule="auto"/>
        <w:rPr>
          <w:rFonts w:asciiTheme="majorBidi" w:hAnsiTheme="majorBidi" w:cstheme="majorBidi"/>
          <w:b/>
          <w:bCs/>
          <w:sz w:val="24"/>
          <w:szCs w:val="24"/>
        </w:rPr>
      </w:pPr>
      <w:r>
        <w:rPr>
          <w:rFonts w:asciiTheme="majorBidi" w:hAnsiTheme="majorBidi" w:cstheme="majorBidi"/>
          <w:b/>
          <w:bCs/>
          <w:sz w:val="24"/>
          <w:szCs w:val="24"/>
        </w:rPr>
        <w:br w:type="page"/>
      </w:r>
    </w:p>
    <w:p w14:paraId="28D71EAF" w14:textId="2FFFA60C" w:rsidR="00F714C5" w:rsidRPr="00F714C5" w:rsidRDefault="00F714C5" w:rsidP="00A275BB">
      <w:pPr>
        <w:spacing w:line="480" w:lineRule="auto"/>
        <w:rPr>
          <w:rFonts w:asciiTheme="majorBidi" w:hAnsiTheme="majorBidi" w:cstheme="majorBidi"/>
          <w:b/>
          <w:bCs/>
          <w:sz w:val="24"/>
          <w:szCs w:val="24"/>
        </w:rPr>
      </w:pPr>
      <w:r w:rsidRPr="00F714C5">
        <w:rPr>
          <w:rFonts w:asciiTheme="majorBidi" w:hAnsiTheme="majorBidi" w:cstheme="majorBidi"/>
          <w:b/>
          <w:bCs/>
          <w:sz w:val="24"/>
          <w:szCs w:val="24"/>
        </w:rPr>
        <w:lastRenderedPageBreak/>
        <w:t>Introduction</w:t>
      </w:r>
    </w:p>
    <w:p w14:paraId="113B447E" w14:textId="5BD8C921" w:rsidR="000F68B0" w:rsidRPr="00EF7113" w:rsidRDefault="00DC0A9F" w:rsidP="00A275BB">
      <w:pPr>
        <w:spacing w:line="480" w:lineRule="auto"/>
        <w:rPr>
          <w:rFonts w:asciiTheme="majorBidi" w:hAnsiTheme="majorBidi" w:cstheme="majorBidi"/>
          <w:sz w:val="24"/>
          <w:szCs w:val="24"/>
        </w:rPr>
      </w:pPr>
      <w:r>
        <w:rPr>
          <w:rFonts w:asciiTheme="majorBidi" w:hAnsiTheme="majorBidi" w:cstheme="majorBidi"/>
          <w:sz w:val="24"/>
          <w:szCs w:val="24"/>
        </w:rPr>
        <w:t>A</w:t>
      </w:r>
      <w:r w:rsidRPr="00EF7113">
        <w:rPr>
          <w:rFonts w:asciiTheme="majorBidi" w:hAnsiTheme="majorBidi" w:cstheme="majorBidi"/>
          <w:sz w:val="24"/>
          <w:szCs w:val="24"/>
        </w:rPr>
        <w:t xml:space="preserve">dvocates of preventative health are fond of using </w:t>
      </w:r>
      <w:r>
        <w:rPr>
          <w:rFonts w:asciiTheme="majorBidi" w:hAnsiTheme="majorBidi" w:cstheme="majorBidi"/>
          <w:sz w:val="24"/>
          <w:szCs w:val="24"/>
        </w:rPr>
        <w:t>t</w:t>
      </w:r>
      <w:r w:rsidR="000F68B0" w:rsidRPr="00EF7113">
        <w:rPr>
          <w:rFonts w:asciiTheme="majorBidi" w:hAnsiTheme="majorBidi" w:cstheme="majorBidi"/>
          <w:sz w:val="24"/>
          <w:szCs w:val="24"/>
        </w:rPr>
        <w:t>he metaphor of the ambulance at the bottom of the cliff</w:t>
      </w:r>
      <w:r w:rsidR="00CE19EB">
        <w:rPr>
          <w:rFonts w:asciiTheme="majorBidi" w:hAnsiTheme="majorBidi" w:cstheme="majorBidi"/>
          <w:sz w:val="24"/>
          <w:szCs w:val="24"/>
        </w:rPr>
        <w:t xml:space="preserve"> to describe the overwhelming </w:t>
      </w:r>
      <w:r w:rsidR="00CE19EB" w:rsidRPr="00EF7113">
        <w:rPr>
          <w:rFonts w:asciiTheme="majorBidi" w:hAnsiTheme="majorBidi" w:cstheme="majorBidi"/>
          <w:sz w:val="24"/>
          <w:szCs w:val="24"/>
        </w:rPr>
        <w:t>political attention and government fun</w:t>
      </w:r>
      <w:r w:rsidR="00CE19EB">
        <w:rPr>
          <w:rFonts w:asciiTheme="majorBidi" w:hAnsiTheme="majorBidi" w:cstheme="majorBidi"/>
          <w:sz w:val="24"/>
          <w:szCs w:val="24"/>
        </w:rPr>
        <w:t>ding devoted to acute health services. They argue that</w:t>
      </w:r>
      <w:r w:rsidR="000F68B0" w:rsidRPr="00EF7113">
        <w:rPr>
          <w:rFonts w:asciiTheme="majorBidi" w:hAnsiTheme="majorBidi" w:cstheme="majorBidi"/>
          <w:sz w:val="24"/>
          <w:szCs w:val="24"/>
        </w:rPr>
        <w:t xml:space="preserve"> sho</w:t>
      </w:r>
      <w:r w:rsidR="00616CC7">
        <w:rPr>
          <w:rFonts w:asciiTheme="majorBidi" w:hAnsiTheme="majorBidi" w:cstheme="majorBidi"/>
          <w:sz w:val="24"/>
          <w:szCs w:val="24"/>
        </w:rPr>
        <w:t>r</w:t>
      </w:r>
      <w:r w:rsidR="000F68B0" w:rsidRPr="00EF7113">
        <w:rPr>
          <w:rFonts w:asciiTheme="majorBidi" w:hAnsiTheme="majorBidi" w:cstheme="majorBidi"/>
          <w:sz w:val="24"/>
          <w:szCs w:val="24"/>
        </w:rPr>
        <w:t xml:space="preserve">t-term political priorities and </w:t>
      </w:r>
      <w:r w:rsidR="00545FDD">
        <w:rPr>
          <w:rFonts w:asciiTheme="majorBidi" w:hAnsiTheme="majorBidi" w:cstheme="majorBidi"/>
          <w:sz w:val="24"/>
          <w:szCs w:val="24"/>
        </w:rPr>
        <w:t>‘</w:t>
      </w:r>
      <w:r w:rsidR="000F68B0" w:rsidRPr="00EF7113">
        <w:rPr>
          <w:rFonts w:asciiTheme="majorBidi" w:hAnsiTheme="majorBidi" w:cstheme="majorBidi"/>
          <w:sz w:val="24"/>
          <w:szCs w:val="24"/>
        </w:rPr>
        <w:t>siloed</w:t>
      </w:r>
      <w:r w:rsidR="00545FDD">
        <w:rPr>
          <w:rFonts w:asciiTheme="majorBidi" w:hAnsiTheme="majorBidi" w:cstheme="majorBidi"/>
          <w:sz w:val="24"/>
          <w:szCs w:val="24"/>
        </w:rPr>
        <w:t>’</w:t>
      </w:r>
      <w:r w:rsidR="000F68B0" w:rsidRPr="00EF7113">
        <w:rPr>
          <w:rFonts w:asciiTheme="majorBidi" w:hAnsiTheme="majorBidi" w:cstheme="majorBidi"/>
          <w:sz w:val="24"/>
          <w:szCs w:val="24"/>
        </w:rPr>
        <w:t xml:space="preserve"> governance structures perpetuate the dominant vision of healthcare as providing a ‘sickness service’ rather than a ‘</w:t>
      </w:r>
      <w:r w:rsidR="00616CC7">
        <w:rPr>
          <w:rFonts w:asciiTheme="majorBidi" w:hAnsiTheme="majorBidi" w:cstheme="majorBidi"/>
          <w:sz w:val="24"/>
          <w:szCs w:val="24"/>
        </w:rPr>
        <w:t xml:space="preserve">wellness service’. </w:t>
      </w:r>
      <w:r w:rsidR="009D4E18">
        <w:rPr>
          <w:rFonts w:asciiTheme="majorBidi" w:hAnsiTheme="majorBidi" w:cstheme="majorBidi"/>
          <w:sz w:val="24"/>
          <w:szCs w:val="24"/>
        </w:rPr>
        <w:t xml:space="preserve">They </w:t>
      </w:r>
      <w:r w:rsidR="00CE19EB">
        <w:rPr>
          <w:rFonts w:asciiTheme="majorBidi" w:hAnsiTheme="majorBidi" w:cstheme="majorBidi"/>
          <w:sz w:val="24"/>
          <w:szCs w:val="24"/>
        </w:rPr>
        <w:t>point instead to</w:t>
      </w:r>
      <w:r w:rsidR="009D4E18">
        <w:rPr>
          <w:rFonts w:asciiTheme="majorBidi" w:hAnsiTheme="majorBidi" w:cstheme="majorBidi"/>
          <w:sz w:val="24"/>
          <w:szCs w:val="24"/>
        </w:rPr>
        <w:t xml:space="preserve"> the</w:t>
      </w:r>
      <w:r w:rsidR="000F68B0" w:rsidRPr="00EF7113">
        <w:rPr>
          <w:rFonts w:asciiTheme="majorBidi" w:hAnsiTheme="majorBidi" w:cstheme="majorBidi"/>
          <w:sz w:val="24"/>
          <w:szCs w:val="24"/>
        </w:rPr>
        <w:t xml:space="preserve"> ris</w:t>
      </w:r>
      <w:r w:rsidR="009D4E18">
        <w:rPr>
          <w:rFonts w:asciiTheme="majorBidi" w:hAnsiTheme="majorBidi" w:cstheme="majorBidi"/>
          <w:sz w:val="24"/>
          <w:szCs w:val="24"/>
        </w:rPr>
        <w:t>ing burden</w:t>
      </w:r>
      <w:r w:rsidR="000F68B0" w:rsidRPr="00EF7113">
        <w:rPr>
          <w:rFonts w:asciiTheme="majorBidi" w:hAnsiTheme="majorBidi" w:cstheme="majorBidi"/>
          <w:sz w:val="24"/>
          <w:szCs w:val="24"/>
        </w:rPr>
        <w:t xml:space="preserve"> of non-communicable disease</w:t>
      </w:r>
      <w:r w:rsidR="009D4E18">
        <w:rPr>
          <w:rFonts w:asciiTheme="majorBidi" w:hAnsiTheme="majorBidi" w:cstheme="majorBidi"/>
          <w:sz w:val="24"/>
          <w:szCs w:val="24"/>
        </w:rPr>
        <w:t>s (NCDs)</w:t>
      </w:r>
      <w:r w:rsidR="000F68B0" w:rsidRPr="00EF7113">
        <w:rPr>
          <w:rFonts w:asciiTheme="majorBidi" w:hAnsiTheme="majorBidi" w:cstheme="majorBidi"/>
          <w:sz w:val="24"/>
          <w:szCs w:val="24"/>
        </w:rPr>
        <w:t xml:space="preserve"> on healthcare systems</w:t>
      </w:r>
      <w:r>
        <w:rPr>
          <w:rFonts w:asciiTheme="majorBidi" w:hAnsiTheme="majorBidi" w:cstheme="majorBidi"/>
          <w:sz w:val="24"/>
          <w:szCs w:val="24"/>
        </w:rPr>
        <w:t xml:space="preserve">, </w:t>
      </w:r>
      <w:r w:rsidR="009D4E18">
        <w:rPr>
          <w:rFonts w:asciiTheme="majorBidi" w:hAnsiTheme="majorBidi" w:cstheme="majorBidi"/>
          <w:sz w:val="24"/>
          <w:szCs w:val="24"/>
        </w:rPr>
        <w:t>and</w:t>
      </w:r>
      <w:r w:rsidR="000F68B0" w:rsidRPr="00EF7113">
        <w:rPr>
          <w:rFonts w:asciiTheme="majorBidi" w:hAnsiTheme="majorBidi" w:cstheme="majorBidi"/>
          <w:sz w:val="24"/>
          <w:szCs w:val="24"/>
        </w:rPr>
        <w:t xml:space="preserve"> call for greater attention towards a range </w:t>
      </w:r>
      <w:r w:rsidR="002840E9" w:rsidRPr="00EF7113">
        <w:rPr>
          <w:rFonts w:asciiTheme="majorBidi" w:hAnsiTheme="majorBidi" w:cstheme="majorBidi"/>
          <w:sz w:val="24"/>
          <w:szCs w:val="24"/>
        </w:rPr>
        <w:t xml:space="preserve">of </w:t>
      </w:r>
      <w:r w:rsidR="000F68B0" w:rsidRPr="00EF7113">
        <w:rPr>
          <w:rFonts w:asciiTheme="majorBidi" w:hAnsiTheme="majorBidi" w:cstheme="majorBidi"/>
          <w:sz w:val="24"/>
          <w:szCs w:val="24"/>
        </w:rPr>
        <w:t xml:space="preserve">measures </w:t>
      </w:r>
      <w:r w:rsidR="00616CC7">
        <w:rPr>
          <w:rFonts w:asciiTheme="majorBidi" w:hAnsiTheme="majorBidi" w:cstheme="majorBidi"/>
          <w:sz w:val="24"/>
          <w:szCs w:val="24"/>
        </w:rPr>
        <w:t>to</w:t>
      </w:r>
      <w:r w:rsidR="000F68B0" w:rsidRPr="00EF7113">
        <w:rPr>
          <w:rFonts w:asciiTheme="majorBidi" w:hAnsiTheme="majorBidi" w:cstheme="majorBidi"/>
          <w:sz w:val="24"/>
          <w:szCs w:val="24"/>
        </w:rPr>
        <w:t xml:space="preserve"> rope off the top of the cliff before the problem arises rather than </w:t>
      </w:r>
      <w:r w:rsidR="00754E80">
        <w:rPr>
          <w:rFonts w:asciiTheme="majorBidi" w:hAnsiTheme="majorBidi" w:cstheme="majorBidi"/>
          <w:sz w:val="24"/>
          <w:szCs w:val="24"/>
        </w:rPr>
        <w:t>parking</w:t>
      </w:r>
      <w:r w:rsidR="000F68B0" w:rsidRPr="00EF7113">
        <w:rPr>
          <w:rFonts w:asciiTheme="majorBidi" w:hAnsiTheme="majorBidi" w:cstheme="majorBidi"/>
          <w:sz w:val="24"/>
          <w:szCs w:val="24"/>
        </w:rPr>
        <w:t xml:space="preserve"> an ambulance at the bottom when it is all but too late.</w:t>
      </w:r>
    </w:p>
    <w:p w14:paraId="5847A68D" w14:textId="094A84F7" w:rsidR="00A0024B" w:rsidRDefault="00AA30AF" w:rsidP="00A275BB">
      <w:pPr>
        <w:spacing w:line="480" w:lineRule="auto"/>
        <w:rPr>
          <w:rFonts w:asciiTheme="majorBidi" w:hAnsiTheme="majorBidi" w:cstheme="majorBidi"/>
          <w:sz w:val="24"/>
          <w:szCs w:val="24"/>
        </w:rPr>
      </w:pPr>
      <w:r>
        <w:rPr>
          <w:rFonts w:asciiTheme="majorBidi" w:hAnsiTheme="majorBidi" w:cstheme="majorBidi"/>
          <w:sz w:val="24"/>
          <w:szCs w:val="24"/>
        </w:rPr>
        <w:t xml:space="preserve">But </w:t>
      </w:r>
      <w:r w:rsidRPr="00206413">
        <w:rPr>
          <w:rFonts w:asciiTheme="majorBidi" w:hAnsiTheme="majorBidi" w:cstheme="majorBidi"/>
          <w:i/>
          <w:iCs/>
          <w:sz w:val="24"/>
          <w:szCs w:val="24"/>
        </w:rPr>
        <w:t xml:space="preserve">institutionalizing </w:t>
      </w:r>
      <w:r>
        <w:rPr>
          <w:rFonts w:asciiTheme="majorBidi" w:hAnsiTheme="majorBidi" w:cstheme="majorBidi"/>
          <w:sz w:val="24"/>
          <w:szCs w:val="24"/>
        </w:rPr>
        <w:t>prevention, by turni</w:t>
      </w:r>
      <w:r w:rsidR="00A0024B">
        <w:rPr>
          <w:rFonts w:asciiTheme="majorBidi" w:hAnsiTheme="majorBidi" w:cstheme="majorBidi"/>
          <w:sz w:val="24"/>
          <w:szCs w:val="24"/>
        </w:rPr>
        <w:t>ng this</w:t>
      </w:r>
      <w:r>
        <w:rPr>
          <w:rFonts w:asciiTheme="majorBidi" w:hAnsiTheme="majorBidi" w:cstheme="majorBidi"/>
          <w:sz w:val="24"/>
          <w:szCs w:val="24"/>
        </w:rPr>
        <w:t xml:space="preserve"> persuasive logic into </w:t>
      </w:r>
      <w:r w:rsidR="001302EC">
        <w:rPr>
          <w:rFonts w:asciiTheme="majorBidi" w:hAnsiTheme="majorBidi" w:cstheme="majorBidi"/>
          <w:sz w:val="24"/>
          <w:szCs w:val="24"/>
        </w:rPr>
        <w:t>policymaking rules and</w:t>
      </w:r>
      <w:r>
        <w:rPr>
          <w:rFonts w:asciiTheme="majorBidi" w:hAnsiTheme="majorBidi" w:cstheme="majorBidi"/>
          <w:sz w:val="24"/>
          <w:szCs w:val="24"/>
        </w:rPr>
        <w:t xml:space="preserve"> action, has proven</w:t>
      </w:r>
      <w:r w:rsidR="00B018B9">
        <w:rPr>
          <w:rFonts w:asciiTheme="majorBidi" w:hAnsiTheme="majorBidi" w:cstheme="majorBidi"/>
          <w:sz w:val="24"/>
          <w:szCs w:val="24"/>
        </w:rPr>
        <w:t xml:space="preserve"> very</w:t>
      </w:r>
      <w:r>
        <w:rPr>
          <w:rFonts w:asciiTheme="majorBidi" w:hAnsiTheme="majorBidi" w:cstheme="majorBidi"/>
          <w:sz w:val="24"/>
          <w:szCs w:val="24"/>
        </w:rPr>
        <w:t xml:space="preserve"> difficult in practice. </w:t>
      </w:r>
      <w:r w:rsidR="00A0024B">
        <w:rPr>
          <w:rFonts w:asciiTheme="majorBidi" w:hAnsiTheme="majorBidi" w:cstheme="majorBidi"/>
          <w:sz w:val="24"/>
          <w:szCs w:val="24"/>
        </w:rPr>
        <w:t xml:space="preserve">From calls for fundamental reform to include ‘health-in-all policies’ through to more modest proposals for targeted action on </w:t>
      </w:r>
      <w:r w:rsidR="00C83BAA">
        <w:rPr>
          <w:rFonts w:asciiTheme="majorBidi" w:hAnsiTheme="majorBidi" w:cstheme="majorBidi"/>
          <w:sz w:val="24"/>
          <w:szCs w:val="24"/>
        </w:rPr>
        <w:t xml:space="preserve">issues like </w:t>
      </w:r>
      <w:r w:rsidR="00A0024B">
        <w:rPr>
          <w:rFonts w:asciiTheme="majorBidi" w:hAnsiTheme="majorBidi" w:cstheme="majorBidi"/>
          <w:sz w:val="24"/>
          <w:szCs w:val="24"/>
        </w:rPr>
        <w:t>product reformulation</w:t>
      </w:r>
      <w:r w:rsidR="0000295C">
        <w:rPr>
          <w:rFonts w:asciiTheme="majorBidi" w:hAnsiTheme="majorBidi" w:cstheme="majorBidi"/>
          <w:sz w:val="24"/>
          <w:szCs w:val="24"/>
        </w:rPr>
        <w:t>, ‘sin’</w:t>
      </w:r>
      <w:r w:rsidR="007C541C">
        <w:rPr>
          <w:rFonts w:asciiTheme="majorBidi" w:hAnsiTheme="majorBidi" w:cstheme="majorBidi"/>
          <w:sz w:val="24"/>
          <w:szCs w:val="24"/>
        </w:rPr>
        <w:t xml:space="preserve"> </w:t>
      </w:r>
      <w:r w:rsidR="00A0024B">
        <w:rPr>
          <w:rFonts w:asciiTheme="majorBidi" w:hAnsiTheme="majorBidi" w:cstheme="majorBidi"/>
          <w:sz w:val="24"/>
          <w:szCs w:val="24"/>
        </w:rPr>
        <w:t>taxes</w:t>
      </w:r>
      <w:r w:rsidR="00CE19EB">
        <w:rPr>
          <w:rFonts w:asciiTheme="majorBidi" w:hAnsiTheme="majorBidi" w:cstheme="majorBidi"/>
          <w:sz w:val="24"/>
          <w:szCs w:val="24"/>
        </w:rPr>
        <w:t>,</w:t>
      </w:r>
      <w:r w:rsidR="0000295C">
        <w:rPr>
          <w:rFonts w:asciiTheme="majorBidi" w:hAnsiTheme="majorBidi" w:cstheme="majorBidi"/>
          <w:sz w:val="24"/>
          <w:szCs w:val="24"/>
        </w:rPr>
        <w:t xml:space="preserve"> or</w:t>
      </w:r>
      <w:r w:rsidR="00A0024B">
        <w:rPr>
          <w:rFonts w:asciiTheme="majorBidi" w:hAnsiTheme="majorBidi" w:cstheme="majorBidi"/>
          <w:sz w:val="24"/>
          <w:szCs w:val="24"/>
        </w:rPr>
        <w:t xml:space="preserve"> regulation of advertising and</w:t>
      </w:r>
      <w:r w:rsidR="00C83BAA">
        <w:rPr>
          <w:rFonts w:asciiTheme="majorBidi" w:hAnsiTheme="majorBidi" w:cstheme="majorBidi"/>
          <w:sz w:val="24"/>
          <w:szCs w:val="24"/>
        </w:rPr>
        <w:t xml:space="preserve"> marketing</w:t>
      </w:r>
      <w:r w:rsidR="00A0024B">
        <w:rPr>
          <w:rFonts w:asciiTheme="majorBidi" w:hAnsiTheme="majorBidi" w:cstheme="majorBidi"/>
          <w:sz w:val="24"/>
          <w:szCs w:val="24"/>
        </w:rPr>
        <w:t>, change has been slow, limited, piecemeal, and more often thwarted altogether. C</w:t>
      </w:r>
      <w:r w:rsidR="0034639C">
        <w:rPr>
          <w:rFonts w:asciiTheme="majorBidi" w:hAnsiTheme="majorBidi" w:cstheme="majorBidi"/>
          <w:sz w:val="24"/>
          <w:szCs w:val="24"/>
        </w:rPr>
        <w:t xml:space="preserve">ross-national studies of </w:t>
      </w:r>
      <w:r w:rsidR="00DC0A9F">
        <w:rPr>
          <w:rFonts w:asciiTheme="majorBidi" w:hAnsiTheme="majorBidi" w:cstheme="majorBidi"/>
          <w:sz w:val="24"/>
          <w:szCs w:val="24"/>
        </w:rPr>
        <w:t>progress</w:t>
      </w:r>
      <w:r w:rsidR="00A0024B">
        <w:rPr>
          <w:rFonts w:asciiTheme="majorBidi" w:hAnsiTheme="majorBidi" w:cstheme="majorBidi"/>
          <w:sz w:val="24"/>
          <w:szCs w:val="24"/>
        </w:rPr>
        <w:t xml:space="preserve"> on this agenda</w:t>
      </w:r>
      <w:r w:rsidR="00DC0A9F">
        <w:rPr>
          <w:rFonts w:asciiTheme="majorBidi" w:hAnsiTheme="majorBidi" w:cstheme="majorBidi"/>
          <w:sz w:val="24"/>
          <w:szCs w:val="24"/>
        </w:rPr>
        <w:t xml:space="preserve"> </w:t>
      </w:r>
      <w:r w:rsidR="0034639C">
        <w:rPr>
          <w:rFonts w:asciiTheme="majorBidi" w:hAnsiTheme="majorBidi" w:cstheme="majorBidi"/>
          <w:sz w:val="24"/>
          <w:szCs w:val="24"/>
        </w:rPr>
        <w:t xml:space="preserve">suggest that such efforts </w:t>
      </w:r>
      <w:r>
        <w:rPr>
          <w:rFonts w:asciiTheme="majorBidi" w:hAnsiTheme="majorBidi" w:cstheme="majorBidi"/>
          <w:sz w:val="24"/>
          <w:szCs w:val="24"/>
        </w:rPr>
        <w:t>continue to be</w:t>
      </w:r>
      <w:r w:rsidR="00DC0A9F" w:rsidRPr="00DC0A9F">
        <w:rPr>
          <w:rFonts w:asciiTheme="majorBidi" w:hAnsiTheme="majorBidi" w:cstheme="majorBidi"/>
          <w:sz w:val="24"/>
          <w:szCs w:val="24"/>
        </w:rPr>
        <w:t xml:space="preserve"> hampered by a lack of </w:t>
      </w:r>
      <w:r w:rsidR="004A0F55">
        <w:rPr>
          <w:rFonts w:asciiTheme="majorBidi" w:hAnsiTheme="majorBidi" w:cstheme="majorBidi"/>
          <w:sz w:val="24"/>
          <w:szCs w:val="24"/>
        </w:rPr>
        <w:t xml:space="preserve">clarity, </w:t>
      </w:r>
      <w:r w:rsidR="0034639C">
        <w:rPr>
          <w:rFonts w:asciiTheme="majorBidi" w:hAnsiTheme="majorBidi" w:cstheme="majorBidi"/>
          <w:sz w:val="24"/>
          <w:szCs w:val="24"/>
        </w:rPr>
        <w:t xml:space="preserve">funding, </w:t>
      </w:r>
      <w:r w:rsidR="00DC0A9F" w:rsidRPr="00DC0A9F">
        <w:rPr>
          <w:rFonts w:asciiTheme="majorBidi" w:hAnsiTheme="majorBidi" w:cstheme="majorBidi"/>
          <w:sz w:val="24"/>
          <w:szCs w:val="24"/>
        </w:rPr>
        <w:t>leadership and</w:t>
      </w:r>
      <w:r w:rsidR="0034639C">
        <w:rPr>
          <w:rFonts w:asciiTheme="majorBidi" w:hAnsiTheme="majorBidi" w:cstheme="majorBidi"/>
          <w:sz w:val="24"/>
          <w:szCs w:val="24"/>
        </w:rPr>
        <w:t>/or</w:t>
      </w:r>
      <w:r w:rsidR="00DC0A9F" w:rsidRPr="00DC0A9F">
        <w:rPr>
          <w:rFonts w:asciiTheme="majorBidi" w:hAnsiTheme="majorBidi" w:cstheme="majorBidi"/>
          <w:sz w:val="24"/>
          <w:szCs w:val="24"/>
        </w:rPr>
        <w:t xml:space="preserve"> </w:t>
      </w:r>
      <w:r w:rsidR="0034639C">
        <w:rPr>
          <w:rFonts w:asciiTheme="majorBidi" w:hAnsiTheme="majorBidi" w:cstheme="majorBidi"/>
          <w:sz w:val="24"/>
          <w:szCs w:val="24"/>
        </w:rPr>
        <w:t>‘ownership’ and accountability</w:t>
      </w:r>
      <w:r w:rsidR="00DC0A9F">
        <w:rPr>
          <w:rFonts w:asciiTheme="majorBidi" w:hAnsiTheme="majorBidi" w:cstheme="majorBidi"/>
          <w:sz w:val="24"/>
          <w:szCs w:val="24"/>
        </w:rPr>
        <w:t xml:space="preserve"> (</w:t>
      </w:r>
      <w:r w:rsidR="0034639C" w:rsidRPr="0034639C">
        <w:rPr>
          <w:rFonts w:asciiTheme="majorBidi" w:hAnsiTheme="majorBidi" w:cstheme="majorBidi"/>
          <w:sz w:val="24"/>
          <w:szCs w:val="24"/>
        </w:rPr>
        <w:t>Guglielmin</w:t>
      </w:r>
      <w:r w:rsidR="0034639C">
        <w:rPr>
          <w:rFonts w:asciiTheme="majorBidi" w:hAnsiTheme="majorBidi" w:cstheme="majorBidi"/>
          <w:sz w:val="24"/>
          <w:szCs w:val="24"/>
        </w:rPr>
        <w:t xml:space="preserve"> et al, 2018</w:t>
      </w:r>
      <w:r w:rsidR="00DC0A9F">
        <w:rPr>
          <w:rFonts w:asciiTheme="majorBidi" w:hAnsiTheme="majorBidi" w:cstheme="majorBidi"/>
          <w:sz w:val="24"/>
          <w:szCs w:val="24"/>
        </w:rPr>
        <w:t>)</w:t>
      </w:r>
      <w:r w:rsidR="00DC0A9F" w:rsidRPr="00DC0A9F">
        <w:rPr>
          <w:rFonts w:asciiTheme="majorBidi" w:hAnsiTheme="majorBidi" w:cstheme="majorBidi"/>
          <w:sz w:val="24"/>
          <w:szCs w:val="24"/>
        </w:rPr>
        <w:t xml:space="preserve">. </w:t>
      </w:r>
    </w:p>
    <w:p w14:paraId="03E25C00" w14:textId="7499FF0A" w:rsidR="007C541C" w:rsidRDefault="00A0024B" w:rsidP="00A275BB">
      <w:pPr>
        <w:spacing w:line="480" w:lineRule="auto"/>
        <w:rPr>
          <w:rFonts w:asciiTheme="majorBidi" w:hAnsiTheme="majorBidi" w:cstheme="majorBidi"/>
          <w:sz w:val="24"/>
          <w:szCs w:val="24"/>
        </w:rPr>
      </w:pPr>
      <w:r>
        <w:rPr>
          <w:rFonts w:asciiTheme="majorBidi" w:hAnsiTheme="majorBidi" w:cstheme="majorBidi"/>
          <w:sz w:val="24"/>
          <w:szCs w:val="24"/>
        </w:rPr>
        <w:t>T</w:t>
      </w:r>
      <w:r w:rsidR="00B018B9">
        <w:rPr>
          <w:rFonts w:asciiTheme="majorBidi" w:hAnsiTheme="majorBidi" w:cstheme="majorBidi"/>
          <w:sz w:val="24"/>
          <w:szCs w:val="24"/>
        </w:rPr>
        <w:t xml:space="preserve">o address this shortfall, </w:t>
      </w:r>
      <w:r w:rsidR="00CE19EB">
        <w:rPr>
          <w:rFonts w:asciiTheme="majorBidi" w:hAnsiTheme="majorBidi" w:cstheme="majorBidi"/>
          <w:sz w:val="24"/>
          <w:szCs w:val="24"/>
        </w:rPr>
        <w:t>there have been growing calls to embed prevention within the institutional architecture of government itself.</w:t>
      </w:r>
      <w:r w:rsidR="00BA1016">
        <w:rPr>
          <w:rFonts w:asciiTheme="majorBidi" w:hAnsiTheme="majorBidi" w:cstheme="majorBidi"/>
          <w:sz w:val="24"/>
          <w:szCs w:val="24"/>
        </w:rPr>
        <w:t xml:space="preserve"> </w:t>
      </w:r>
      <w:r w:rsidR="00CE19EB">
        <w:rPr>
          <w:rFonts w:asciiTheme="majorBidi" w:hAnsiTheme="majorBidi" w:cstheme="majorBidi"/>
          <w:sz w:val="24"/>
          <w:szCs w:val="24"/>
        </w:rPr>
        <w:t xml:space="preserve">In practice, advocacy has coalesced especially around the idea of establishing </w:t>
      </w:r>
      <w:r w:rsidR="00BA1016">
        <w:rPr>
          <w:rFonts w:asciiTheme="majorBidi" w:hAnsiTheme="majorBidi" w:cstheme="majorBidi"/>
          <w:sz w:val="24"/>
          <w:szCs w:val="24"/>
        </w:rPr>
        <w:t xml:space="preserve">executive agencies </w:t>
      </w:r>
      <w:r w:rsidR="001302EC">
        <w:rPr>
          <w:rFonts w:asciiTheme="majorBidi" w:hAnsiTheme="majorBidi" w:cstheme="majorBidi"/>
          <w:sz w:val="24"/>
          <w:szCs w:val="24"/>
        </w:rPr>
        <w:t xml:space="preserve">- bodies with operational autonomy from government departments and direct access to the executive - </w:t>
      </w:r>
      <w:r w:rsidR="00BA1016">
        <w:rPr>
          <w:rFonts w:asciiTheme="majorBidi" w:hAnsiTheme="majorBidi" w:cstheme="majorBidi"/>
          <w:sz w:val="24"/>
          <w:szCs w:val="24"/>
        </w:rPr>
        <w:t>with responsi</w:t>
      </w:r>
      <w:r w:rsidR="00B018B9">
        <w:rPr>
          <w:rFonts w:asciiTheme="majorBidi" w:hAnsiTheme="majorBidi" w:cstheme="majorBidi"/>
          <w:sz w:val="24"/>
          <w:szCs w:val="24"/>
        </w:rPr>
        <w:t>bility for preventative health</w:t>
      </w:r>
      <w:r w:rsidR="007C541C">
        <w:rPr>
          <w:rFonts w:asciiTheme="majorBidi" w:hAnsiTheme="majorBidi" w:cstheme="majorBidi"/>
          <w:sz w:val="24"/>
          <w:szCs w:val="24"/>
        </w:rPr>
        <w:t>. The hope is that these agencies can act as vehicles to</w:t>
      </w:r>
      <w:r w:rsidR="00CE19EB">
        <w:rPr>
          <w:rFonts w:asciiTheme="majorBidi" w:hAnsiTheme="majorBidi" w:cstheme="majorBidi"/>
          <w:sz w:val="24"/>
          <w:szCs w:val="24"/>
        </w:rPr>
        <w:t xml:space="preserve"> coordinate resources, provide leadership </w:t>
      </w:r>
      <w:r w:rsidR="007C541C">
        <w:rPr>
          <w:rFonts w:asciiTheme="majorBidi" w:hAnsiTheme="majorBidi" w:cstheme="majorBidi"/>
          <w:sz w:val="24"/>
          <w:szCs w:val="24"/>
        </w:rPr>
        <w:t>and momentum</w:t>
      </w:r>
      <w:r w:rsidR="00CE19EB">
        <w:rPr>
          <w:rFonts w:asciiTheme="majorBidi" w:hAnsiTheme="majorBidi" w:cstheme="majorBidi"/>
          <w:sz w:val="24"/>
          <w:szCs w:val="24"/>
        </w:rPr>
        <w:t>, and in</w:t>
      </w:r>
      <w:r w:rsidR="007C541C">
        <w:rPr>
          <w:rFonts w:asciiTheme="majorBidi" w:hAnsiTheme="majorBidi" w:cstheme="majorBidi"/>
          <w:sz w:val="24"/>
          <w:szCs w:val="24"/>
        </w:rPr>
        <w:t>fluence decision-makers from</w:t>
      </w:r>
      <w:r w:rsidR="00CE19EB">
        <w:rPr>
          <w:rFonts w:asciiTheme="majorBidi" w:hAnsiTheme="majorBidi" w:cstheme="majorBidi"/>
          <w:sz w:val="24"/>
          <w:szCs w:val="24"/>
        </w:rPr>
        <w:t xml:space="preserve"> inside</w:t>
      </w:r>
      <w:r w:rsidR="007C541C">
        <w:rPr>
          <w:rFonts w:asciiTheme="majorBidi" w:hAnsiTheme="majorBidi" w:cstheme="majorBidi"/>
          <w:sz w:val="24"/>
          <w:szCs w:val="24"/>
        </w:rPr>
        <w:t xml:space="preserve"> government, lifting the cause of preventative health above politics-as-usual and enabling meaningful policy change</w:t>
      </w:r>
      <w:r w:rsidR="00CE19EB">
        <w:rPr>
          <w:rFonts w:asciiTheme="majorBidi" w:hAnsiTheme="majorBidi" w:cstheme="majorBidi"/>
          <w:sz w:val="24"/>
          <w:szCs w:val="24"/>
        </w:rPr>
        <w:t xml:space="preserve"> </w:t>
      </w:r>
      <w:r w:rsidR="007C541C">
        <w:rPr>
          <w:rFonts w:asciiTheme="majorBidi" w:hAnsiTheme="majorBidi" w:cstheme="majorBidi"/>
          <w:sz w:val="24"/>
          <w:szCs w:val="24"/>
        </w:rPr>
        <w:t xml:space="preserve">in the long term </w:t>
      </w:r>
      <w:r w:rsidR="00CE19EB">
        <w:rPr>
          <w:rFonts w:asciiTheme="majorBidi" w:hAnsiTheme="majorBidi" w:cstheme="majorBidi"/>
          <w:sz w:val="24"/>
          <w:szCs w:val="24"/>
        </w:rPr>
        <w:t>(Moody et al. 2008; WHO 2014).</w:t>
      </w:r>
      <w:r w:rsidR="00DC0A9F">
        <w:rPr>
          <w:rFonts w:asciiTheme="majorBidi" w:hAnsiTheme="majorBidi" w:cstheme="majorBidi"/>
          <w:sz w:val="24"/>
          <w:szCs w:val="24"/>
        </w:rPr>
        <w:t xml:space="preserve"> </w:t>
      </w:r>
    </w:p>
    <w:p w14:paraId="77D9DBBF" w14:textId="0B2DAA0B" w:rsidR="000F68B0" w:rsidRPr="00EF7113" w:rsidRDefault="00CE19EB" w:rsidP="00A275BB">
      <w:pPr>
        <w:spacing w:line="480" w:lineRule="auto"/>
        <w:rPr>
          <w:rFonts w:asciiTheme="majorBidi" w:hAnsiTheme="majorBidi" w:cstheme="majorBidi"/>
          <w:sz w:val="24"/>
          <w:szCs w:val="24"/>
        </w:rPr>
      </w:pPr>
      <w:r>
        <w:rPr>
          <w:rFonts w:asciiTheme="majorBidi" w:hAnsiTheme="majorBidi" w:cstheme="majorBidi"/>
          <w:sz w:val="24"/>
          <w:szCs w:val="24"/>
        </w:rPr>
        <w:lastRenderedPageBreak/>
        <w:t>In recent times, this approach to institutionalizing pr</w:t>
      </w:r>
      <w:r w:rsidR="00405A2E">
        <w:rPr>
          <w:rFonts w:asciiTheme="majorBidi" w:hAnsiTheme="majorBidi" w:cstheme="majorBidi"/>
          <w:sz w:val="24"/>
          <w:szCs w:val="24"/>
        </w:rPr>
        <w:t>eventative health has been relatively successful. But is the proliferation of agencies really such a boon for the prevention agenda in health?</w:t>
      </w:r>
      <w:r w:rsidR="007C541C">
        <w:rPr>
          <w:rFonts w:asciiTheme="majorBidi" w:hAnsiTheme="majorBidi" w:cstheme="majorBidi"/>
          <w:sz w:val="24"/>
          <w:szCs w:val="24"/>
        </w:rPr>
        <w:t xml:space="preserve"> </w:t>
      </w:r>
      <w:r w:rsidR="00405A2E">
        <w:rPr>
          <w:rFonts w:asciiTheme="majorBidi" w:hAnsiTheme="majorBidi" w:cstheme="majorBidi"/>
          <w:sz w:val="24"/>
          <w:szCs w:val="24"/>
        </w:rPr>
        <w:t>Are agencies the effective</w:t>
      </w:r>
      <w:r w:rsidR="007C541C">
        <w:rPr>
          <w:rFonts w:asciiTheme="majorBidi" w:hAnsiTheme="majorBidi" w:cstheme="majorBidi"/>
          <w:sz w:val="24"/>
          <w:szCs w:val="24"/>
        </w:rPr>
        <w:t xml:space="preserve"> vehicles</w:t>
      </w:r>
      <w:r w:rsidR="00405A2E">
        <w:rPr>
          <w:rFonts w:asciiTheme="majorBidi" w:hAnsiTheme="majorBidi" w:cstheme="majorBidi"/>
          <w:sz w:val="24"/>
          <w:szCs w:val="24"/>
        </w:rPr>
        <w:t xml:space="preserve"> for driving</w:t>
      </w:r>
      <w:r w:rsidR="007C541C">
        <w:rPr>
          <w:rFonts w:asciiTheme="majorBidi" w:hAnsiTheme="majorBidi" w:cstheme="majorBidi"/>
          <w:sz w:val="24"/>
          <w:szCs w:val="24"/>
        </w:rPr>
        <w:t xml:space="preserve"> significant, long-term policy change</w:t>
      </w:r>
      <w:r w:rsidR="00405A2E">
        <w:rPr>
          <w:rFonts w:asciiTheme="majorBidi" w:hAnsiTheme="majorBidi" w:cstheme="majorBidi"/>
          <w:sz w:val="24"/>
          <w:szCs w:val="24"/>
        </w:rPr>
        <w:t xml:space="preserve"> that their advocates hope for</w:t>
      </w:r>
      <w:r w:rsidR="007C541C">
        <w:rPr>
          <w:rFonts w:asciiTheme="majorBidi" w:hAnsiTheme="majorBidi" w:cstheme="majorBidi"/>
          <w:sz w:val="24"/>
          <w:szCs w:val="24"/>
        </w:rPr>
        <w:t>?</w:t>
      </w:r>
      <w:r w:rsidR="005273BB" w:rsidRPr="00EF7113">
        <w:rPr>
          <w:rFonts w:asciiTheme="majorBidi" w:hAnsiTheme="majorBidi" w:cstheme="majorBidi"/>
          <w:sz w:val="24"/>
          <w:szCs w:val="24"/>
        </w:rPr>
        <w:t xml:space="preserve"> Some thoughtful research in public health </w:t>
      </w:r>
      <w:r w:rsidR="005273BB" w:rsidRPr="00206413">
        <w:rPr>
          <w:rFonts w:asciiTheme="majorBidi" w:hAnsiTheme="majorBidi" w:cstheme="majorBidi"/>
          <w:sz w:val="24"/>
          <w:szCs w:val="24"/>
        </w:rPr>
        <w:t>begins</w:t>
      </w:r>
      <w:r w:rsidR="005273BB" w:rsidRPr="00EF7113">
        <w:rPr>
          <w:rFonts w:asciiTheme="majorBidi" w:hAnsiTheme="majorBidi" w:cstheme="majorBidi"/>
          <w:sz w:val="24"/>
          <w:szCs w:val="24"/>
        </w:rPr>
        <w:t xml:space="preserve"> to </w:t>
      </w:r>
      <w:r w:rsidR="00B8673D" w:rsidRPr="00EF7113">
        <w:rPr>
          <w:rFonts w:asciiTheme="majorBidi" w:hAnsiTheme="majorBidi" w:cstheme="majorBidi"/>
          <w:sz w:val="24"/>
          <w:szCs w:val="24"/>
        </w:rPr>
        <w:t>unpack some of the</w:t>
      </w:r>
      <w:r w:rsidR="007C541C">
        <w:rPr>
          <w:rFonts w:asciiTheme="majorBidi" w:hAnsiTheme="majorBidi" w:cstheme="majorBidi"/>
          <w:sz w:val="24"/>
          <w:szCs w:val="24"/>
        </w:rPr>
        <w:t xml:space="preserve"> trade-offs and challenges these agencies face in practice</w:t>
      </w:r>
      <w:r w:rsidR="00B8673D" w:rsidRPr="00EF7113">
        <w:rPr>
          <w:rFonts w:asciiTheme="majorBidi" w:hAnsiTheme="majorBidi" w:cstheme="majorBidi"/>
          <w:sz w:val="24"/>
          <w:szCs w:val="24"/>
        </w:rPr>
        <w:t xml:space="preserve"> (</w:t>
      </w:r>
      <w:r w:rsidR="005273BB" w:rsidRPr="00EF7113">
        <w:rPr>
          <w:rFonts w:asciiTheme="majorBidi" w:hAnsiTheme="majorBidi" w:cstheme="majorBidi"/>
          <w:sz w:val="24"/>
          <w:szCs w:val="24"/>
        </w:rPr>
        <w:t>Schang et al. 2011)</w:t>
      </w:r>
      <w:r w:rsidR="000F68B0" w:rsidRPr="00EF7113">
        <w:rPr>
          <w:rFonts w:asciiTheme="majorBidi" w:hAnsiTheme="majorBidi" w:cstheme="majorBidi"/>
          <w:sz w:val="24"/>
          <w:szCs w:val="24"/>
        </w:rPr>
        <w:t xml:space="preserve">. </w:t>
      </w:r>
      <w:r w:rsidR="003C4321">
        <w:rPr>
          <w:rFonts w:asciiTheme="majorBidi" w:hAnsiTheme="majorBidi" w:cstheme="majorBidi"/>
          <w:sz w:val="24"/>
          <w:szCs w:val="24"/>
        </w:rPr>
        <w:t>D</w:t>
      </w:r>
      <w:r w:rsidR="005273BB" w:rsidRPr="00EF7113">
        <w:rPr>
          <w:rFonts w:asciiTheme="majorBidi" w:hAnsiTheme="majorBidi" w:cstheme="majorBidi"/>
          <w:sz w:val="24"/>
          <w:szCs w:val="24"/>
        </w:rPr>
        <w:t>elving deeper into t</w:t>
      </w:r>
      <w:r w:rsidR="000F68B0" w:rsidRPr="00EF7113">
        <w:rPr>
          <w:rFonts w:asciiTheme="majorBidi" w:hAnsiTheme="majorBidi" w:cstheme="majorBidi"/>
          <w:sz w:val="24"/>
          <w:szCs w:val="24"/>
        </w:rPr>
        <w:t>he policy and ad</w:t>
      </w:r>
      <w:r w:rsidR="005273BB" w:rsidRPr="00EF7113">
        <w:rPr>
          <w:rFonts w:asciiTheme="majorBidi" w:hAnsiTheme="majorBidi" w:cstheme="majorBidi"/>
          <w:sz w:val="24"/>
          <w:szCs w:val="24"/>
        </w:rPr>
        <w:t>ministration literature reveals that</w:t>
      </w:r>
      <w:r w:rsidR="00865C13">
        <w:rPr>
          <w:rFonts w:asciiTheme="majorBidi" w:hAnsiTheme="majorBidi" w:cstheme="majorBidi"/>
          <w:sz w:val="24"/>
          <w:szCs w:val="24"/>
        </w:rPr>
        <w:t xml:space="preserve"> </w:t>
      </w:r>
      <w:r w:rsidR="000F68B0" w:rsidRPr="00EF7113">
        <w:rPr>
          <w:rFonts w:asciiTheme="majorBidi" w:hAnsiTheme="majorBidi" w:cstheme="majorBidi"/>
          <w:sz w:val="24"/>
          <w:szCs w:val="24"/>
        </w:rPr>
        <w:t>agencies</w:t>
      </w:r>
      <w:r w:rsidR="00FC2E5B">
        <w:rPr>
          <w:rFonts w:asciiTheme="majorBidi" w:hAnsiTheme="majorBidi" w:cstheme="majorBidi"/>
          <w:sz w:val="24"/>
          <w:szCs w:val="24"/>
        </w:rPr>
        <w:t xml:space="preserve"> in general</w:t>
      </w:r>
      <w:r w:rsidR="000F68B0" w:rsidRPr="00EF7113">
        <w:rPr>
          <w:rFonts w:asciiTheme="majorBidi" w:hAnsiTheme="majorBidi" w:cstheme="majorBidi"/>
          <w:sz w:val="24"/>
          <w:szCs w:val="24"/>
        </w:rPr>
        <w:t xml:space="preserve"> are typically fragile</w:t>
      </w:r>
      <w:r w:rsidR="001D6E1D" w:rsidRPr="00EF7113">
        <w:rPr>
          <w:rFonts w:asciiTheme="majorBidi" w:hAnsiTheme="majorBidi" w:cstheme="majorBidi"/>
          <w:sz w:val="24"/>
          <w:szCs w:val="24"/>
        </w:rPr>
        <w:t xml:space="preserve"> (James et al. 2015; Boin et al. 2010</w:t>
      </w:r>
      <w:r w:rsidR="005273BB" w:rsidRPr="00EF7113">
        <w:rPr>
          <w:rFonts w:asciiTheme="majorBidi" w:hAnsiTheme="majorBidi" w:cstheme="majorBidi"/>
          <w:sz w:val="24"/>
          <w:szCs w:val="24"/>
        </w:rPr>
        <w:t>)</w:t>
      </w:r>
      <w:r w:rsidR="00561B89" w:rsidRPr="00EF7113">
        <w:rPr>
          <w:rFonts w:asciiTheme="majorBidi" w:hAnsiTheme="majorBidi" w:cstheme="majorBidi"/>
          <w:sz w:val="24"/>
          <w:szCs w:val="24"/>
        </w:rPr>
        <w:t xml:space="preserve">. </w:t>
      </w:r>
      <w:r w:rsidR="000A619D">
        <w:rPr>
          <w:rFonts w:asciiTheme="majorBidi" w:hAnsiTheme="majorBidi" w:cstheme="majorBidi"/>
          <w:sz w:val="24"/>
          <w:szCs w:val="24"/>
        </w:rPr>
        <w:t>M</w:t>
      </w:r>
      <w:r w:rsidR="000F68B0" w:rsidRPr="00EF7113">
        <w:rPr>
          <w:rFonts w:asciiTheme="majorBidi" w:hAnsiTheme="majorBidi" w:cstheme="majorBidi"/>
          <w:sz w:val="24"/>
          <w:szCs w:val="24"/>
        </w:rPr>
        <w:t>ost fail in t</w:t>
      </w:r>
      <w:r w:rsidR="005273BB" w:rsidRPr="00EF7113">
        <w:rPr>
          <w:rFonts w:asciiTheme="majorBidi" w:hAnsiTheme="majorBidi" w:cstheme="majorBidi"/>
          <w:sz w:val="24"/>
          <w:szCs w:val="24"/>
        </w:rPr>
        <w:t>he short to medium-</w:t>
      </w:r>
      <w:r w:rsidR="000F68B0" w:rsidRPr="00EF7113">
        <w:rPr>
          <w:rFonts w:asciiTheme="majorBidi" w:hAnsiTheme="majorBidi" w:cstheme="majorBidi"/>
          <w:sz w:val="24"/>
          <w:szCs w:val="24"/>
        </w:rPr>
        <w:t xml:space="preserve">term, and even </w:t>
      </w:r>
      <w:r w:rsidR="005273BB" w:rsidRPr="00EF7113">
        <w:rPr>
          <w:rFonts w:asciiTheme="majorBidi" w:hAnsiTheme="majorBidi" w:cstheme="majorBidi"/>
          <w:sz w:val="24"/>
          <w:szCs w:val="24"/>
        </w:rPr>
        <w:t>those which succeed in the long-</w:t>
      </w:r>
      <w:r w:rsidR="000F68B0" w:rsidRPr="00EF7113">
        <w:rPr>
          <w:rFonts w:asciiTheme="majorBidi" w:hAnsiTheme="majorBidi" w:cstheme="majorBidi"/>
          <w:sz w:val="24"/>
          <w:szCs w:val="24"/>
        </w:rPr>
        <w:t xml:space="preserve">term can be subject to swingeing cuts </w:t>
      </w:r>
      <w:r w:rsidR="005273BB" w:rsidRPr="00EF7113">
        <w:rPr>
          <w:rFonts w:asciiTheme="majorBidi" w:hAnsiTheme="majorBidi" w:cstheme="majorBidi"/>
          <w:sz w:val="24"/>
          <w:szCs w:val="24"/>
        </w:rPr>
        <w:t>(</w:t>
      </w:r>
      <w:r w:rsidR="001D41BF" w:rsidRPr="00EF7113">
        <w:rPr>
          <w:rFonts w:asciiTheme="majorBidi" w:hAnsiTheme="majorBidi" w:cstheme="majorBidi"/>
          <w:sz w:val="24"/>
          <w:szCs w:val="24"/>
        </w:rPr>
        <w:t>Dommett and Skelcher 2014; O’Leary 2015</w:t>
      </w:r>
      <w:r w:rsidR="005273BB" w:rsidRPr="00EF7113">
        <w:rPr>
          <w:rFonts w:asciiTheme="majorBidi" w:hAnsiTheme="majorBidi" w:cstheme="majorBidi"/>
          <w:sz w:val="24"/>
          <w:szCs w:val="24"/>
        </w:rPr>
        <w:t>)</w:t>
      </w:r>
      <w:r w:rsidR="000F68B0" w:rsidRPr="00EF7113">
        <w:rPr>
          <w:rFonts w:asciiTheme="majorBidi" w:hAnsiTheme="majorBidi" w:cstheme="majorBidi"/>
          <w:sz w:val="24"/>
          <w:szCs w:val="24"/>
        </w:rPr>
        <w:t xml:space="preserve">. </w:t>
      </w:r>
      <w:r w:rsidR="001302EC">
        <w:rPr>
          <w:rFonts w:asciiTheme="majorBidi" w:hAnsiTheme="majorBidi" w:cstheme="majorBidi"/>
          <w:sz w:val="24"/>
          <w:szCs w:val="24"/>
        </w:rPr>
        <w:t>A</w:t>
      </w:r>
      <w:r w:rsidR="000F68B0" w:rsidRPr="00EF7113">
        <w:rPr>
          <w:rFonts w:asciiTheme="majorBidi" w:hAnsiTheme="majorBidi" w:cstheme="majorBidi"/>
          <w:sz w:val="24"/>
          <w:szCs w:val="24"/>
        </w:rPr>
        <w:t>gencies</w:t>
      </w:r>
      <w:r w:rsidR="0000295C">
        <w:rPr>
          <w:rFonts w:asciiTheme="majorBidi" w:hAnsiTheme="majorBidi" w:cstheme="majorBidi"/>
          <w:sz w:val="24"/>
          <w:szCs w:val="24"/>
        </w:rPr>
        <w:t xml:space="preserve"> should not be </w:t>
      </w:r>
      <w:r w:rsidR="001302EC">
        <w:rPr>
          <w:rFonts w:asciiTheme="majorBidi" w:hAnsiTheme="majorBidi" w:cstheme="majorBidi"/>
          <w:sz w:val="24"/>
          <w:szCs w:val="24"/>
        </w:rPr>
        <w:t>treated</w:t>
      </w:r>
      <w:r w:rsidR="0000295C">
        <w:rPr>
          <w:rFonts w:asciiTheme="majorBidi" w:hAnsiTheme="majorBidi" w:cstheme="majorBidi"/>
          <w:sz w:val="24"/>
          <w:szCs w:val="24"/>
        </w:rPr>
        <w:t xml:space="preserve"> as a</w:t>
      </w:r>
      <w:r w:rsidR="001B0D9A">
        <w:rPr>
          <w:rFonts w:asciiTheme="majorBidi" w:hAnsiTheme="majorBidi" w:cstheme="majorBidi"/>
          <w:sz w:val="24"/>
          <w:szCs w:val="24"/>
        </w:rPr>
        <w:t xml:space="preserve"> simple fix</w:t>
      </w:r>
      <w:r w:rsidR="000F68B0" w:rsidRPr="00EF7113">
        <w:rPr>
          <w:rFonts w:asciiTheme="majorBidi" w:hAnsiTheme="majorBidi" w:cstheme="majorBidi"/>
          <w:sz w:val="24"/>
          <w:szCs w:val="24"/>
        </w:rPr>
        <w:t xml:space="preserve">. </w:t>
      </w:r>
    </w:p>
    <w:p w14:paraId="7BD031F5" w14:textId="04BB057E" w:rsidR="000F68B0" w:rsidRPr="00EF7113" w:rsidRDefault="003C4321" w:rsidP="00A275BB">
      <w:pPr>
        <w:spacing w:line="480" w:lineRule="auto"/>
        <w:rPr>
          <w:rFonts w:asciiTheme="majorBidi" w:hAnsiTheme="majorBidi" w:cstheme="majorBidi"/>
          <w:sz w:val="24"/>
          <w:szCs w:val="24"/>
        </w:rPr>
      </w:pPr>
      <w:r>
        <w:rPr>
          <w:rFonts w:asciiTheme="majorBidi" w:hAnsiTheme="majorBidi" w:cstheme="majorBidi"/>
          <w:sz w:val="24"/>
          <w:szCs w:val="24"/>
        </w:rPr>
        <w:t>W</w:t>
      </w:r>
      <w:r w:rsidR="000F68B0" w:rsidRPr="00EF7113">
        <w:rPr>
          <w:rFonts w:asciiTheme="majorBidi" w:hAnsiTheme="majorBidi" w:cstheme="majorBidi"/>
          <w:sz w:val="24"/>
          <w:szCs w:val="24"/>
        </w:rPr>
        <w:t xml:space="preserve">e investigate recent efforts </w:t>
      </w:r>
      <w:r w:rsidR="00DC0A9F">
        <w:rPr>
          <w:rFonts w:asciiTheme="majorBidi" w:hAnsiTheme="majorBidi" w:cstheme="majorBidi"/>
          <w:sz w:val="24"/>
          <w:szCs w:val="24"/>
        </w:rPr>
        <w:t>to institutionalize preventative health via dedicated agencies</w:t>
      </w:r>
      <w:r w:rsidR="000F68B0" w:rsidRPr="00EF7113">
        <w:rPr>
          <w:rFonts w:asciiTheme="majorBidi" w:hAnsiTheme="majorBidi" w:cstheme="majorBidi"/>
          <w:sz w:val="24"/>
          <w:szCs w:val="24"/>
        </w:rPr>
        <w:t>.</w:t>
      </w:r>
      <w:r w:rsidR="00DC0A9F">
        <w:rPr>
          <w:rFonts w:asciiTheme="majorBidi" w:hAnsiTheme="majorBidi" w:cstheme="majorBidi"/>
          <w:sz w:val="24"/>
          <w:szCs w:val="24"/>
        </w:rPr>
        <w:t xml:space="preserve"> We ask how this form of institutionalization happens in practice, and what consequences it has for the advancement of the prevention agenda.</w:t>
      </w:r>
      <w:r w:rsidR="000F68B0" w:rsidRPr="00EF7113">
        <w:rPr>
          <w:rFonts w:asciiTheme="majorBidi" w:hAnsiTheme="majorBidi" w:cstheme="majorBidi"/>
          <w:sz w:val="24"/>
          <w:szCs w:val="24"/>
        </w:rPr>
        <w:t xml:space="preserve"> We conduct a comparative case analysis that tracks the birth, life and (in one case) death of new agencies</w:t>
      </w:r>
      <w:r w:rsidR="00DF516C">
        <w:rPr>
          <w:rFonts w:asciiTheme="majorBidi" w:hAnsiTheme="majorBidi" w:cstheme="majorBidi"/>
          <w:sz w:val="24"/>
          <w:szCs w:val="24"/>
        </w:rPr>
        <w:t xml:space="preserve"> with responsibility for preventative health</w:t>
      </w:r>
      <w:r w:rsidR="000F68B0" w:rsidRPr="00EF7113">
        <w:rPr>
          <w:rFonts w:asciiTheme="majorBidi" w:hAnsiTheme="majorBidi" w:cstheme="majorBidi"/>
          <w:sz w:val="24"/>
          <w:szCs w:val="24"/>
        </w:rPr>
        <w:t xml:space="preserve"> in Australia, New Zealand and England. Drawing on</w:t>
      </w:r>
      <w:r w:rsidR="000A619D">
        <w:rPr>
          <w:rFonts w:asciiTheme="majorBidi" w:hAnsiTheme="majorBidi" w:cstheme="majorBidi"/>
          <w:sz w:val="24"/>
          <w:szCs w:val="24"/>
        </w:rPr>
        <w:t xml:space="preserve"> policy documents and</w:t>
      </w:r>
      <w:r w:rsidR="000F68B0" w:rsidRPr="00EF7113">
        <w:rPr>
          <w:rFonts w:asciiTheme="majorBidi" w:hAnsiTheme="majorBidi" w:cstheme="majorBidi"/>
          <w:sz w:val="24"/>
          <w:szCs w:val="24"/>
        </w:rPr>
        <w:t xml:space="preserve"> semi-structured interviews with 25 </w:t>
      </w:r>
      <w:r w:rsidR="000A619D">
        <w:rPr>
          <w:rFonts w:asciiTheme="majorBidi" w:hAnsiTheme="majorBidi" w:cstheme="majorBidi"/>
          <w:sz w:val="24"/>
          <w:szCs w:val="24"/>
        </w:rPr>
        <w:t>officials and stakeholders</w:t>
      </w:r>
      <w:r w:rsidR="000F68B0" w:rsidRPr="00EF7113">
        <w:rPr>
          <w:rFonts w:asciiTheme="majorBidi" w:hAnsiTheme="majorBidi" w:cstheme="majorBidi"/>
          <w:sz w:val="24"/>
          <w:szCs w:val="24"/>
        </w:rPr>
        <w:t xml:space="preserve">, we explain the different failings of the Australian National Preventive Health Agency (ANPHA) and New Zealand’s Health Promotion Association (HPA), and the </w:t>
      </w:r>
      <w:r w:rsidR="000F68B0" w:rsidRPr="00EF7113">
        <w:rPr>
          <w:rFonts w:asciiTheme="majorBidi" w:hAnsiTheme="majorBidi" w:cstheme="majorBidi"/>
          <w:i/>
          <w:iCs/>
          <w:sz w:val="24"/>
          <w:szCs w:val="24"/>
        </w:rPr>
        <w:t>relative</w:t>
      </w:r>
      <w:r w:rsidR="000F68B0" w:rsidRPr="00EF7113">
        <w:rPr>
          <w:rFonts w:asciiTheme="majorBidi" w:hAnsiTheme="majorBidi" w:cstheme="majorBidi"/>
          <w:sz w:val="24"/>
          <w:szCs w:val="24"/>
        </w:rPr>
        <w:t xml:space="preserve"> </w:t>
      </w:r>
      <w:r w:rsidR="000A619D">
        <w:rPr>
          <w:rFonts w:asciiTheme="majorBidi" w:hAnsiTheme="majorBidi" w:cstheme="majorBidi"/>
          <w:sz w:val="24"/>
          <w:szCs w:val="24"/>
        </w:rPr>
        <w:t>success</w:t>
      </w:r>
      <w:r w:rsidR="000F68B0" w:rsidRPr="00EF7113">
        <w:rPr>
          <w:rFonts w:asciiTheme="majorBidi" w:hAnsiTheme="majorBidi" w:cstheme="majorBidi"/>
          <w:sz w:val="24"/>
          <w:szCs w:val="24"/>
        </w:rPr>
        <w:t xml:space="preserve"> of Public Health England (PHE). </w:t>
      </w:r>
      <w:r w:rsidR="0067630E">
        <w:rPr>
          <w:rFonts w:asciiTheme="majorBidi" w:hAnsiTheme="majorBidi" w:cstheme="majorBidi"/>
          <w:sz w:val="24"/>
          <w:szCs w:val="24"/>
        </w:rPr>
        <w:t>W</w:t>
      </w:r>
      <w:r w:rsidR="000F68B0" w:rsidRPr="00EF7113">
        <w:rPr>
          <w:rFonts w:asciiTheme="majorBidi" w:hAnsiTheme="majorBidi" w:cstheme="majorBidi"/>
          <w:sz w:val="24"/>
          <w:szCs w:val="24"/>
        </w:rPr>
        <w:t>e show that an agency is far from a silver bullet for the prevention cause. Instead, we identify the key dilemmas that the advocates and archit</w:t>
      </w:r>
      <w:r w:rsidR="00D13776">
        <w:rPr>
          <w:rFonts w:asciiTheme="majorBidi" w:hAnsiTheme="majorBidi" w:cstheme="majorBidi"/>
          <w:sz w:val="24"/>
          <w:szCs w:val="24"/>
        </w:rPr>
        <w:t xml:space="preserve">ects of these new bodies face: </w:t>
      </w:r>
      <w:r w:rsidR="000F68B0" w:rsidRPr="00EF7113">
        <w:rPr>
          <w:rFonts w:asciiTheme="majorBidi" w:hAnsiTheme="majorBidi" w:cstheme="majorBidi"/>
          <w:sz w:val="24"/>
          <w:szCs w:val="24"/>
        </w:rPr>
        <w:t xml:space="preserve">whether to court or avoid conflict with </w:t>
      </w:r>
      <w:r w:rsidR="000A619D">
        <w:rPr>
          <w:rFonts w:asciiTheme="majorBidi" w:hAnsiTheme="majorBidi" w:cstheme="majorBidi"/>
          <w:sz w:val="24"/>
          <w:szCs w:val="24"/>
        </w:rPr>
        <w:t>key</w:t>
      </w:r>
      <w:r w:rsidR="000F68B0" w:rsidRPr="00EF7113">
        <w:rPr>
          <w:rFonts w:asciiTheme="majorBidi" w:hAnsiTheme="majorBidi" w:cstheme="majorBidi"/>
          <w:sz w:val="24"/>
          <w:szCs w:val="24"/>
        </w:rPr>
        <w:t xml:space="preserve"> stakeholders, </w:t>
      </w:r>
      <w:r w:rsidR="000A619D">
        <w:rPr>
          <w:rFonts w:asciiTheme="majorBidi" w:hAnsiTheme="majorBidi" w:cstheme="majorBidi"/>
          <w:sz w:val="24"/>
          <w:szCs w:val="24"/>
        </w:rPr>
        <w:t>how</w:t>
      </w:r>
      <w:r w:rsidR="000F68B0" w:rsidRPr="00EF7113">
        <w:rPr>
          <w:rFonts w:asciiTheme="majorBidi" w:hAnsiTheme="majorBidi" w:cstheme="majorBidi"/>
          <w:sz w:val="24"/>
          <w:szCs w:val="24"/>
        </w:rPr>
        <w:t xml:space="preserve"> to shape the remit of agency activities and responsibilities in contested policy terrain, and how to establish long-term credib</w:t>
      </w:r>
      <w:r w:rsidR="000A619D">
        <w:rPr>
          <w:rFonts w:asciiTheme="majorBidi" w:hAnsiTheme="majorBidi" w:cstheme="majorBidi"/>
          <w:sz w:val="24"/>
          <w:szCs w:val="24"/>
        </w:rPr>
        <w:t xml:space="preserve">ility. </w:t>
      </w:r>
      <w:r w:rsidR="000F68B0" w:rsidRPr="00EF7113">
        <w:rPr>
          <w:rFonts w:asciiTheme="majorBidi" w:hAnsiTheme="majorBidi" w:cstheme="majorBidi"/>
          <w:sz w:val="24"/>
          <w:szCs w:val="24"/>
        </w:rPr>
        <w:t xml:space="preserve">Our account of the distinct trajectories of these three agencies highlights key lessons for the public health community: </w:t>
      </w:r>
    </w:p>
    <w:p w14:paraId="7D1982B4" w14:textId="0EF12371" w:rsidR="000F68B0" w:rsidRPr="00EF7113" w:rsidRDefault="000F68B0"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 xml:space="preserve">a) creating agencies cannot </w:t>
      </w:r>
      <w:r w:rsidRPr="00EF7113">
        <w:rPr>
          <w:rFonts w:asciiTheme="majorBidi" w:hAnsiTheme="majorBidi" w:cstheme="majorBidi"/>
          <w:i/>
          <w:iCs/>
          <w:sz w:val="24"/>
          <w:szCs w:val="24"/>
        </w:rPr>
        <w:t>solve</w:t>
      </w:r>
      <w:r w:rsidRPr="00EF7113">
        <w:rPr>
          <w:rFonts w:asciiTheme="majorBidi" w:hAnsiTheme="majorBidi" w:cstheme="majorBidi"/>
          <w:sz w:val="24"/>
          <w:szCs w:val="24"/>
        </w:rPr>
        <w:t xml:space="preserve"> the prevention </w:t>
      </w:r>
      <w:r w:rsidR="00D13776">
        <w:rPr>
          <w:rFonts w:asciiTheme="majorBidi" w:hAnsiTheme="majorBidi" w:cstheme="majorBidi"/>
          <w:sz w:val="24"/>
          <w:szCs w:val="24"/>
        </w:rPr>
        <w:t>problem</w:t>
      </w:r>
      <w:r w:rsidR="00DC0A9F">
        <w:rPr>
          <w:rFonts w:asciiTheme="majorBidi" w:hAnsiTheme="majorBidi" w:cstheme="majorBidi"/>
          <w:sz w:val="24"/>
          <w:szCs w:val="24"/>
        </w:rPr>
        <w:t>, as the viability of agencies depends on a complex configuration of factors which shift over time</w:t>
      </w:r>
      <w:r w:rsidRPr="00EF7113">
        <w:rPr>
          <w:rFonts w:asciiTheme="majorBidi" w:hAnsiTheme="majorBidi" w:cstheme="majorBidi"/>
          <w:sz w:val="24"/>
          <w:szCs w:val="24"/>
        </w:rPr>
        <w:t xml:space="preserve">; </w:t>
      </w:r>
    </w:p>
    <w:p w14:paraId="56B83996" w14:textId="322C6C6D" w:rsidR="000F68B0" w:rsidRPr="00EF7113" w:rsidRDefault="000F68B0"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lastRenderedPageBreak/>
        <w:t>b) such agencies may actually serve this agenda bette</w:t>
      </w:r>
      <w:r w:rsidR="005C0A15" w:rsidRPr="00EF7113">
        <w:rPr>
          <w:rFonts w:asciiTheme="majorBidi" w:hAnsiTheme="majorBidi" w:cstheme="majorBidi"/>
          <w:sz w:val="24"/>
          <w:szCs w:val="24"/>
        </w:rPr>
        <w:t>r by emphasising technical</w:t>
      </w:r>
      <w:r w:rsidRPr="00EF7113">
        <w:rPr>
          <w:rFonts w:asciiTheme="majorBidi" w:hAnsiTheme="majorBidi" w:cstheme="majorBidi"/>
          <w:sz w:val="24"/>
          <w:szCs w:val="24"/>
        </w:rPr>
        <w:t xml:space="preserve"> public health programmes and sneaking prevention in the back door rather than by offering </w:t>
      </w:r>
      <w:r w:rsidR="005273BB" w:rsidRPr="00EF7113">
        <w:rPr>
          <w:rFonts w:asciiTheme="majorBidi" w:hAnsiTheme="majorBidi" w:cstheme="majorBidi"/>
          <w:sz w:val="24"/>
          <w:szCs w:val="24"/>
        </w:rPr>
        <w:t xml:space="preserve">the </w:t>
      </w:r>
      <w:r w:rsidRPr="00EF7113">
        <w:rPr>
          <w:rFonts w:asciiTheme="majorBidi" w:hAnsiTheme="majorBidi" w:cstheme="majorBidi"/>
          <w:sz w:val="24"/>
          <w:szCs w:val="24"/>
        </w:rPr>
        <w:t>bold advocacy</w:t>
      </w:r>
      <w:r w:rsidR="005273BB" w:rsidRPr="00EF7113">
        <w:rPr>
          <w:rFonts w:asciiTheme="majorBidi" w:hAnsiTheme="majorBidi" w:cstheme="majorBidi"/>
          <w:sz w:val="24"/>
          <w:szCs w:val="24"/>
        </w:rPr>
        <w:t xml:space="preserve"> many envisage</w:t>
      </w:r>
      <w:r w:rsidRPr="00EF7113">
        <w:rPr>
          <w:rFonts w:asciiTheme="majorBidi" w:hAnsiTheme="majorBidi" w:cstheme="majorBidi"/>
          <w:sz w:val="24"/>
          <w:szCs w:val="24"/>
        </w:rPr>
        <w:t xml:space="preserve">; and </w:t>
      </w:r>
    </w:p>
    <w:p w14:paraId="7486159E" w14:textId="4BC4A0A3" w:rsidR="000F68B0" w:rsidRPr="00EF7113" w:rsidRDefault="000F68B0"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c) building and maintaining widespread legitimacy for such agencies</w:t>
      </w:r>
      <w:r w:rsidR="00E752F1">
        <w:rPr>
          <w:rFonts w:asciiTheme="majorBidi" w:hAnsiTheme="majorBidi" w:cstheme="majorBidi"/>
          <w:sz w:val="24"/>
          <w:szCs w:val="24"/>
        </w:rPr>
        <w:t>,</w:t>
      </w:r>
      <w:r w:rsidRPr="00EF7113">
        <w:rPr>
          <w:rFonts w:asciiTheme="majorBidi" w:hAnsiTheme="majorBidi" w:cstheme="majorBidi"/>
          <w:sz w:val="24"/>
          <w:szCs w:val="24"/>
        </w:rPr>
        <w:t xml:space="preserve"> and the</w:t>
      </w:r>
      <w:r w:rsidR="001302EC">
        <w:rPr>
          <w:rFonts w:asciiTheme="majorBidi" w:hAnsiTheme="majorBidi" w:cstheme="majorBidi"/>
          <w:sz w:val="24"/>
          <w:szCs w:val="24"/>
        </w:rPr>
        <w:t>ir</w:t>
      </w:r>
      <w:r w:rsidRPr="00EF7113">
        <w:rPr>
          <w:rFonts w:asciiTheme="majorBidi" w:hAnsiTheme="majorBidi" w:cstheme="majorBidi"/>
          <w:sz w:val="24"/>
          <w:szCs w:val="24"/>
        </w:rPr>
        <w:t xml:space="preserve"> work</w:t>
      </w:r>
      <w:r w:rsidR="001302EC">
        <w:rPr>
          <w:rFonts w:asciiTheme="majorBidi" w:hAnsiTheme="majorBidi" w:cstheme="majorBidi"/>
          <w:sz w:val="24"/>
          <w:szCs w:val="24"/>
        </w:rPr>
        <w:t>,</w:t>
      </w:r>
      <w:r w:rsidRPr="00EF7113">
        <w:rPr>
          <w:rFonts w:asciiTheme="majorBidi" w:hAnsiTheme="majorBidi" w:cstheme="majorBidi"/>
          <w:sz w:val="24"/>
          <w:szCs w:val="24"/>
        </w:rPr>
        <w:t xml:space="preserve"> may come at the expense of quick progress or radical action</w:t>
      </w:r>
      <w:r w:rsidR="00865C13">
        <w:rPr>
          <w:rFonts w:asciiTheme="majorBidi" w:hAnsiTheme="majorBidi" w:cstheme="majorBidi"/>
          <w:sz w:val="24"/>
          <w:szCs w:val="24"/>
        </w:rPr>
        <w:t>.</w:t>
      </w:r>
    </w:p>
    <w:p w14:paraId="61A2ED99" w14:textId="71E115D9" w:rsidR="002831E5" w:rsidRDefault="000F68B0"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The paper proceeds in five sections. The first provides a critical review of the prevention agenda, focused on the institutionali</w:t>
      </w:r>
      <w:r w:rsidR="00405A2E">
        <w:rPr>
          <w:rFonts w:asciiTheme="majorBidi" w:hAnsiTheme="majorBidi" w:cstheme="majorBidi"/>
          <w:sz w:val="24"/>
          <w:szCs w:val="24"/>
        </w:rPr>
        <w:t>sation of</w:t>
      </w:r>
      <w:r w:rsidRPr="00EF7113">
        <w:rPr>
          <w:rFonts w:asciiTheme="majorBidi" w:hAnsiTheme="majorBidi" w:cstheme="majorBidi"/>
          <w:sz w:val="24"/>
          <w:szCs w:val="24"/>
        </w:rPr>
        <w:t xml:space="preserve"> preventative health</w:t>
      </w:r>
      <w:r w:rsidR="00865C13">
        <w:rPr>
          <w:rFonts w:asciiTheme="majorBidi" w:hAnsiTheme="majorBidi" w:cstheme="majorBidi"/>
          <w:sz w:val="24"/>
          <w:szCs w:val="24"/>
        </w:rPr>
        <w:t xml:space="preserve"> through </w:t>
      </w:r>
      <w:r w:rsidR="00405A2E">
        <w:rPr>
          <w:rFonts w:asciiTheme="majorBidi" w:hAnsiTheme="majorBidi" w:cstheme="majorBidi"/>
          <w:sz w:val="24"/>
          <w:szCs w:val="24"/>
        </w:rPr>
        <w:t xml:space="preserve">dedicated </w:t>
      </w:r>
      <w:r w:rsidR="00865C13">
        <w:rPr>
          <w:rFonts w:asciiTheme="majorBidi" w:hAnsiTheme="majorBidi" w:cstheme="majorBidi"/>
          <w:sz w:val="24"/>
          <w:szCs w:val="24"/>
        </w:rPr>
        <w:t>agenci</w:t>
      </w:r>
      <w:r w:rsidR="00405A2E">
        <w:rPr>
          <w:rFonts w:asciiTheme="majorBidi" w:hAnsiTheme="majorBidi" w:cstheme="majorBidi"/>
          <w:sz w:val="24"/>
          <w:szCs w:val="24"/>
        </w:rPr>
        <w:t>es</w:t>
      </w:r>
      <w:r w:rsidRPr="00EF7113">
        <w:rPr>
          <w:rFonts w:asciiTheme="majorBidi" w:hAnsiTheme="majorBidi" w:cstheme="majorBidi"/>
          <w:sz w:val="24"/>
          <w:szCs w:val="24"/>
        </w:rPr>
        <w:t xml:space="preserve">. The second </w:t>
      </w:r>
      <w:r w:rsidR="001302EC">
        <w:rPr>
          <w:rFonts w:asciiTheme="majorBidi" w:hAnsiTheme="majorBidi" w:cstheme="majorBidi"/>
          <w:sz w:val="24"/>
          <w:szCs w:val="24"/>
        </w:rPr>
        <w:t>synth</w:t>
      </w:r>
      <w:r w:rsidR="001B0D9A">
        <w:rPr>
          <w:rFonts w:asciiTheme="majorBidi" w:hAnsiTheme="majorBidi" w:cstheme="majorBidi"/>
          <w:sz w:val="24"/>
          <w:szCs w:val="24"/>
        </w:rPr>
        <w:t>e</w:t>
      </w:r>
      <w:r w:rsidR="001302EC">
        <w:rPr>
          <w:rFonts w:asciiTheme="majorBidi" w:hAnsiTheme="majorBidi" w:cstheme="majorBidi"/>
          <w:sz w:val="24"/>
          <w:szCs w:val="24"/>
        </w:rPr>
        <w:t>sises</w:t>
      </w:r>
      <w:r w:rsidRPr="00EF7113">
        <w:rPr>
          <w:rFonts w:asciiTheme="majorBidi" w:hAnsiTheme="majorBidi" w:cstheme="majorBidi"/>
          <w:sz w:val="24"/>
          <w:szCs w:val="24"/>
        </w:rPr>
        <w:t xml:space="preserve"> the policy and administration scholarship on the challenges and successes of agencies to develop an analytical framework for the case studies. The third </w:t>
      </w:r>
      <w:r w:rsidR="001302EC">
        <w:rPr>
          <w:rFonts w:asciiTheme="majorBidi" w:hAnsiTheme="majorBidi" w:cstheme="majorBidi"/>
          <w:sz w:val="24"/>
          <w:szCs w:val="24"/>
        </w:rPr>
        <w:t>explains</w:t>
      </w:r>
      <w:r w:rsidR="001302EC" w:rsidRPr="00EF7113">
        <w:rPr>
          <w:rFonts w:asciiTheme="majorBidi" w:hAnsiTheme="majorBidi" w:cstheme="majorBidi"/>
          <w:sz w:val="24"/>
          <w:szCs w:val="24"/>
        </w:rPr>
        <w:t xml:space="preserve"> </w:t>
      </w:r>
      <w:r w:rsidRPr="00EF7113">
        <w:rPr>
          <w:rFonts w:asciiTheme="majorBidi" w:hAnsiTheme="majorBidi" w:cstheme="majorBidi"/>
          <w:sz w:val="24"/>
          <w:szCs w:val="24"/>
        </w:rPr>
        <w:t>the case selection and data collection. The fourth presents the three cases, and clarifies the affinities and discrepancies across them. The fifth draws together these findings to identify the key implications for the prevention agenda in health.</w:t>
      </w:r>
    </w:p>
    <w:p w14:paraId="65522422" w14:textId="77777777" w:rsidR="001B0D9A" w:rsidRDefault="001B0D9A" w:rsidP="00A275BB">
      <w:pPr>
        <w:spacing w:line="480" w:lineRule="auto"/>
        <w:rPr>
          <w:rFonts w:asciiTheme="majorBidi" w:hAnsiTheme="majorBidi" w:cstheme="majorBidi"/>
          <w:b/>
          <w:bCs/>
          <w:sz w:val="24"/>
          <w:szCs w:val="24"/>
        </w:rPr>
      </w:pPr>
    </w:p>
    <w:p w14:paraId="1E355F82" w14:textId="2297060E" w:rsidR="009578AF" w:rsidRPr="00EF7113" w:rsidRDefault="00806776" w:rsidP="00A275BB">
      <w:pPr>
        <w:spacing w:line="480" w:lineRule="auto"/>
        <w:rPr>
          <w:rFonts w:asciiTheme="majorBidi" w:hAnsiTheme="majorBidi" w:cstheme="majorBidi"/>
          <w:b/>
          <w:bCs/>
          <w:sz w:val="24"/>
          <w:szCs w:val="24"/>
        </w:rPr>
      </w:pPr>
      <w:r>
        <w:rPr>
          <w:rFonts w:asciiTheme="majorBidi" w:hAnsiTheme="majorBidi" w:cstheme="majorBidi"/>
          <w:b/>
          <w:bCs/>
          <w:sz w:val="24"/>
          <w:szCs w:val="24"/>
        </w:rPr>
        <w:t>Institutionalising p</w:t>
      </w:r>
      <w:r w:rsidR="000F68B0" w:rsidRPr="00EF7113">
        <w:rPr>
          <w:rFonts w:asciiTheme="majorBidi" w:hAnsiTheme="majorBidi" w:cstheme="majorBidi"/>
          <w:b/>
          <w:bCs/>
          <w:sz w:val="24"/>
          <w:szCs w:val="24"/>
        </w:rPr>
        <w:t xml:space="preserve">revention: </w:t>
      </w:r>
      <w:r w:rsidR="00025000">
        <w:rPr>
          <w:rFonts w:asciiTheme="majorBidi" w:hAnsiTheme="majorBidi" w:cstheme="majorBidi"/>
          <w:b/>
          <w:bCs/>
          <w:sz w:val="24"/>
          <w:szCs w:val="24"/>
        </w:rPr>
        <w:t>The long and difficult journey f</w:t>
      </w:r>
      <w:r w:rsidR="004168CF">
        <w:rPr>
          <w:rFonts w:asciiTheme="majorBidi" w:hAnsiTheme="majorBidi" w:cstheme="majorBidi"/>
          <w:b/>
          <w:bCs/>
          <w:sz w:val="24"/>
          <w:szCs w:val="24"/>
        </w:rPr>
        <w:t>rom ideas to action</w:t>
      </w:r>
    </w:p>
    <w:p w14:paraId="5F298654" w14:textId="0DACCBD4" w:rsidR="00130A20" w:rsidRDefault="009578AF"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Prevention </w:t>
      </w:r>
      <w:r w:rsidR="00130A20">
        <w:rPr>
          <w:rFonts w:asciiTheme="majorBidi" w:hAnsiTheme="majorBidi" w:cstheme="majorBidi"/>
          <w:sz w:val="24"/>
          <w:szCs w:val="24"/>
        </w:rPr>
        <w:t>is part of</w:t>
      </w:r>
      <w:r w:rsidR="00130A20" w:rsidRPr="00EF7113">
        <w:rPr>
          <w:rFonts w:asciiTheme="majorBidi" w:hAnsiTheme="majorBidi" w:cstheme="majorBidi"/>
          <w:sz w:val="24"/>
          <w:szCs w:val="24"/>
        </w:rPr>
        <w:t xml:space="preserve"> </w:t>
      </w:r>
      <w:r w:rsidRPr="00EF7113">
        <w:rPr>
          <w:rFonts w:asciiTheme="majorBidi" w:hAnsiTheme="majorBidi" w:cstheme="majorBidi"/>
          <w:sz w:val="24"/>
          <w:szCs w:val="24"/>
        </w:rPr>
        <w:t>a</w:t>
      </w:r>
      <w:r w:rsidR="00130A20">
        <w:rPr>
          <w:rFonts w:asciiTheme="majorBidi" w:hAnsiTheme="majorBidi" w:cstheme="majorBidi"/>
          <w:sz w:val="24"/>
          <w:szCs w:val="24"/>
        </w:rPr>
        <w:t>n</w:t>
      </w:r>
      <w:r w:rsidRPr="00EF7113">
        <w:rPr>
          <w:rFonts w:asciiTheme="majorBidi" w:hAnsiTheme="majorBidi" w:cstheme="majorBidi"/>
          <w:sz w:val="24"/>
          <w:szCs w:val="24"/>
        </w:rPr>
        <w:t xml:space="preserve"> intuitively appealing slogan: </w:t>
      </w:r>
      <w:r w:rsidR="00130A20">
        <w:rPr>
          <w:rFonts w:asciiTheme="majorBidi" w:hAnsiTheme="majorBidi" w:cstheme="majorBidi"/>
          <w:sz w:val="24"/>
          <w:szCs w:val="24"/>
        </w:rPr>
        <w:t>intervening early</w:t>
      </w:r>
      <w:r w:rsidRPr="00EF7113">
        <w:rPr>
          <w:rFonts w:asciiTheme="majorBidi" w:hAnsiTheme="majorBidi" w:cstheme="majorBidi"/>
          <w:sz w:val="24"/>
          <w:szCs w:val="24"/>
        </w:rPr>
        <w:t xml:space="preserve"> to stop bad outcomes from arising is better than fix</w:t>
      </w:r>
      <w:r w:rsidR="009929E0">
        <w:rPr>
          <w:rFonts w:asciiTheme="majorBidi" w:hAnsiTheme="majorBidi" w:cstheme="majorBidi"/>
          <w:sz w:val="24"/>
          <w:szCs w:val="24"/>
        </w:rPr>
        <w:t xml:space="preserve">ing them when they have emerged, </w:t>
      </w:r>
      <w:r w:rsidR="00130A20">
        <w:rPr>
          <w:rFonts w:asciiTheme="majorBidi" w:hAnsiTheme="majorBidi" w:cstheme="majorBidi"/>
          <w:sz w:val="24"/>
          <w:szCs w:val="24"/>
        </w:rPr>
        <w:t>particularly if</w:t>
      </w:r>
      <w:r w:rsidR="00130A20" w:rsidRPr="00EF7113">
        <w:rPr>
          <w:rFonts w:asciiTheme="majorBidi" w:hAnsiTheme="majorBidi" w:cstheme="majorBidi"/>
          <w:sz w:val="24"/>
          <w:szCs w:val="24"/>
        </w:rPr>
        <w:t xml:space="preserve"> </w:t>
      </w:r>
      <w:r w:rsidRPr="00EF7113">
        <w:rPr>
          <w:rFonts w:asciiTheme="majorBidi" w:hAnsiTheme="majorBidi" w:cstheme="majorBidi"/>
          <w:sz w:val="24"/>
          <w:szCs w:val="24"/>
        </w:rPr>
        <w:t xml:space="preserve">it saves lives and money. </w:t>
      </w:r>
      <w:r w:rsidR="00DC0A9F">
        <w:rPr>
          <w:rFonts w:asciiTheme="majorBidi" w:hAnsiTheme="majorBidi" w:cstheme="majorBidi"/>
          <w:sz w:val="24"/>
          <w:szCs w:val="24"/>
        </w:rPr>
        <w:t xml:space="preserve"> </w:t>
      </w:r>
      <w:r w:rsidR="00130A20">
        <w:rPr>
          <w:rFonts w:asciiTheme="majorBidi" w:hAnsiTheme="majorBidi" w:cstheme="majorBidi"/>
          <w:sz w:val="24"/>
          <w:szCs w:val="24"/>
        </w:rPr>
        <w:t xml:space="preserve">However, ‘prevention is better than cure’ remains an idiom </w:t>
      </w:r>
      <w:r w:rsidR="001B0D9A">
        <w:rPr>
          <w:rFonts w:asciiTheme="majorBidi" w:hAnsiTheme="majorBidi" w:cstheme="majorBidi"/>
          <w:sz w:val="24"/>
          <w:szCs w:val="24"/>
        </w:rPr>
        <w:t xml:space="preserve">and vague ambition </w:t>
      </w:r>
      <w:r w:rsidR="00130A20">
        <w:rPr>
          <w:rFonts w:asciiTheme="majorBidi" w:hAnsiTheme="majorBidi" w:cstheme="majorBidi"/>
          <w:sz w:val="24"/>
          <w:szCs w:val="24"/>
        </w:rPr>
        <w:t>u</w:t>
      </w:r>
      <w:r w:rsidRPr="00EF7113">
        <w:rPr>
          <w:rFonts w:asciiTheme="majorBidi" w:hAnsiTheme="majorBidi" w:cstheme="majorBidi"/>
          <w:sz w:val="24"/>
          <w:szCs w:val="24"/>
        </w:rPr>
        <w:t xml:space="preserve">ntil policymakers </w:t>
      </w:r>
      <w:r w:rsidR="00130A20">
        <w:rPr>
          <w:rFonts w:asciiTheme="majorBidi" w:hAnsiTheme="majorBidi" w:cstheme="majorBidi"/>
          <w:sz w:val="24"/>
          <w:szCs w:val="24"/>
        </w:rPr>
        <w:t xml:space="preserve">cooperate to </w:t>
      </w:r>
      <w:r w:rsidRPr="00EF7113">
        <w:rPr>
          <w:rFonts w:asciiTheme="majorBidi" w:hAnsiTheme="majorBidi" w:cstheme="majorBidi"/>
          <w:sz w:val="24"/>
          <w:szCs w:val="24"/>
        </w:rPr>
        <w:t xml:space="preserve">turn it into </w:t>
      </w:r>
      <w:r w:rsidR="00E457E6">
        <w:rPr>
          <w:rFonts w:asciiTheme="majorBidi" w:hAnsiTheme="majorBidi" w:cstheme="majorBidi"/>
          <w:sz w:val="24"/>
          <w:szCs w:val="24"/>
        </w:rPr>
        <w:t xml:space="preserve">specific </w:t>
      </w:r>
      <w:r w:rsidRPr="00EF7113">
        <w:rPr>
          <w:rFonts w:asciiTheme="majorBidi" w:hAnsiTheme="majorBidi" w:cstheme="majorBidi"/>
          <w:sz w:val="24"/>
          <w:szCs w:val="24"/>
        </w:rPr>
        <w:t xml:space="preserve">policies </w:t>
      </w:r>
      <w:r w:rsidR="00E457E6">
        <w:rPr>
          <w:rFonts w:asciiTheme="majorBidi" w:hAnsiTheme="majorBidi" w:cstheme="majorBidi"/>
          <w:sz w:val="24"/>
          <w:szCs w:val="24"/>
        </w:rPr>
        <w:t>and</w:t>
      </w:r>
      <w:r w:rsidR="00E457E6" w:rsidRPr="00EF7113">
        <w:rPr>
          <w:rFonts w:asciiTheme="majorBidi" w:hAnsiTheme="majorBidi" w:cstheme="majorBidi"/>
          <w:sz w:val="24"/>
          <w:szCs w:val="24"/>
        </w:rPr>
        <w:t xml:space="preserve"> </w:t>
      </w:r>
      <w:r w:rsidRPr="00EF7113">
        <w:rPr>
          <w:rFonts w:asciiTheme="majorBidi" w:hAnsiTheme="majorBidi" w:cstheme="majorBidi"/>
          <w:sz w:val="24"/>
          <w:szCs w:val="24"/>
        </w:rPr>
        <w:t xml:space="preserve">policymaking practices. </w:t>
      </w:r>
      <w:r w:rsidR="00E457E6">
        <w:rPr>
          <w:rFonts w:asciiTheme="majorBidi" w:hAnsiTheme="majorBidi" w:cstheme="majorBidi"/>
          <w:sz w:val="24"/>
          <w:szCs w:val="24"/>
        </w:rPr>
        <w:t>To do so, t</w:t>
      </w:r>
      <w:r w:rsidR="00130A20">
        <w:rPr>
          <w:rFonts w:asciiTheme="majorBidi" w:hAnsiTheme="majorBidi" w:cstheme="majorBidi"/>
          <w:sz w:val="24"/>
          <w:szCs w:val="24"/>
        </w:rPr>
        <w:t xml:space="preserve">hey must make choices </w:t>
      </w:r>
      <w:r w:rsidR="00647C7B">
        <w:rPr>
          <w:rFonts w:asciiTheme="majorBidi" w:hAnsiTheme="majorBidi" w:cstheme="majorBidi"/>
          <w:sz w:val="24"/>
          <w:szCs w:val="24"/>
        </w:rPr>
        <w:t>regarding</w:t>
      </w:r>
      <w:r w:rsidR="00130A20">
        <w:rPr>
          <w:rFonts w:asciiTheme="majorBidi" w:hAnsiTheme="majorBidi" w:cstheme="majorBidi"/>
          <w:sz w:val="24"/>
          <w:szCs w:val="24"/>
        </w:rPr>
        <w:t xml:space="preserve">: </w:t>
      </w:r>
      <w:r w:rsidR="00130A20" w:rsidRPr="00206413">
        <w:rPr>
          <w:rFonts w:asciiTheme="majorBidi" w:hAnsiTheme="majorBidi" w:cstheme="majorBidi"/>
          <w:i/>
          <w:sz w:val="24"/>
          <w:szCs w:val="24"/>
        </w:rPr>
        <w:t>how to define the problem</w:t>
      </w:r>
      <w:r w:rsidR="00130A20">
        <w:rPr>
          <w:rFonts w:asciiTheme="majorBidi" w:hAnsiTheme="majorBidi" w:cstheme="majorBidi"/>
          <w:sz w:val="24"/>
          <w:szCs w:val="24"/>
        </w:rPr>
        <w:t xml:space="preserve"> (such as in relation to </w:t>
      </w:r>
      <w:r w:rsidR="00405503">
        <w:rPr>
          <w:rFonts w:asciiTheme="majorBidi" w:hAnsiTheme="majorBidi" w:cstheme="majorBidi"/>
          <w:sz w:val="24"/>
          <w:szCs w:val="24"/>
        </w:rPr>
        <w:t>costs or</w:t>
      </w:r>
      <w:r w:rsidR="00130A20">
        <w:rPr>
          <w:rFonts w:asciiTheme="majorBidi" w:hAnsiTheme="majorBidi" w:cstheme="majorBidi"/>
          <w:sz w:val="24"/>
          <w:szCs w:val="24"/>
        </w:rPr>
        <w:t xml:space="preserve"> inequalities)</w:t>
      </w:r>
      <w:r w:rsidR="00647C7B">
        <w:rPr>
          <w:rFonts w:asciiTheme="majorBidi" w:hAnsiTheme="majorBidi" w:cstheme="majorBidi"/>
          <w:sz w:val="24"/>
          <w:szCs w:val="24"/>
        </w:rPr>
        <w:t xml:space="preserve">; </w:t>
      </w:r>
      <w:r w:rsidR="00647C7B" w:rsidRPr="00206413">
        <w:rPr>
          <w:rFonts w:asciiTheme="majorBidi" w:hAnsiTheme="majorBidi" w:cstheme="majorBidi"/>
          <w:i/>
          <w:sz w:val="24"/>
          <w:szCs w:val="24"/>
        </w:rPr>
        <w:t xml:space="preserve">which </w:t>
      </w:r>
      <w:r w:rsidR="004B6586">
        <w:rPr>
          <w:rFonts w:asciiTheme="majorBidi" w:hAnsiTheme="majorBidi" w:cstheme="majorBidi"/>
          <w:i/>
          <w:sz w:val="24"/>
          <w:szCs w:val="24"/>
        </w:rPr>
        <w:t>interventions</w:t>
      </w:r>
      <w:r w:rsidR="00647C7B" w:rsidRPr="00206413">
        <w:rPr>
          <w:rFonts w:asciiTheme="majorBidi" w:hAnsiTheme="majorBidi" w:cstheme="majorBidi"/>
          <w:i/>
          <w:sz w:val="24"/>
          <w:szCs w:val="24"/>
        </w:rPr>
        <w:t xml:space="preserve"> to support</w:t>
      </w:r>
      <w:r w:rsidR="00647C7B">
        <w:rPr>
          <w:rFonts w:asciiTheme="majorBidi" w:hAnsiTheme="majorBidi" w:cstheme="majorBidi"/>
          <w:sz w:val="24"/>
          <w:szCs w:val="24"/>
        </w:rPr>
        <w:t xml:space="preserve"> (such as </w:t>
      </w:r>
      <w:r w:rsidR="004B6586">
        <w:rPr>
          <w:rFonts w:asciiTheme="majorBidi" w:hAnsiTheme="majorBidi" w:cstheme="majorBidi"/>
          <w:sz w:val="24"/>
          <w:szCs w:val="24"/>
        </w:rPr>
        <w:t>by redistributing income, encouraging behavioural change, or regulating</w:t>
      </w:r>
      <w:r w:rsidR="00647C7B">
        <w:rPr>
          <w:rFonts w:asciiTheme="majorBidi" w:hAnsiTheme="majorBidi" w:cstheme="majorBidi"/>
          <w:sz w:val="24"/>
          <w:szCs w:val="24"/>
        </w:rPr>
        <w:t xml:space="preserve"> </w:t>
      </w:r>
      <w:r w:rsidR="004B6586">
        <w:rPr>
          <w:rFonts w:asciiTheme="majorBidi" w:hAnsiTheme="majorBidi" w:cstheme="majorBidi"/>
          <w:sz w:val="24"/>
          <w:szCs w:val="24"/>
        </w:rPr>
        <w:t>individual behaviour</w:t>
      </w:r>
      <w:r w:rsidR="00647C7B">
        <w:rPr>
          <w:rFonts w:asciiTheme="majorBidi" w:hAnsiTheme="majorBidi" w:cstheme="majorBidi"/>
          <w:sz w:val="24"/>
          <w:szCs w:val="24"/>
        </w:rPr>
        <w:t xml:space="preserve">); </w:t>
      </w:r>
      <w:r w:rsidR="00647C7B" w:rsidRPr="00206413">
        <w:rPr>
          <w:rFonts w:asciiTheme="majorBidi" w:hAnsiTheme="majorBidi" w:cstheme="majorBidi"/>
          <w:i/>
          <w:sz w:val="24"/>
          <w:szCs w:val="24"/>
        </w:rPr>
        <w:t>when to intervene</w:t>
      </w:r>
      <w:r w:rsidR="004B6586">
        <w:rPr>
          <w:rFonts w:asciiTheme="majorBidi" w:hAnsiTheme="majorBidi" w:cstheme="majorBidi"/>
          <w:i/>
          <w:sz w:val="24"/>
          <w:szCs w:val="24"/>
        </w:rPr>
        <w:t xml:space="preserve"> in people’s lives</w:t>
      </w:r>
      <w:r w:rsidR="00647C7B">
        <w:rPr>
          <w:rFonts w:asciiTheme="majorBidi" w:hAnsiTheme="majorBidi" w:cstheme="majorBidi"/>
          <w:sz w:val="24"/>
          <w:szCs w:val="24"/>
        </w:rPr>
        <w:t xml:space="preserve"> (focusing on the whole population, high risk, or already affected groups); and, </w:t>
      </w:r>
      <w:r w:rsidR="00647C7B" w:rsidRPr="00206413">
        <w:rPr>
          <w:rFonts w:asciiTheme="majorBidi" w:hAnsiTheme="majorBidi" w:cstheme="majorBidi"/>
          <w:i/>
          <w:sz w:val="24"/>
          <w:szCs w:val="24"/>
        </w:rPr>
        <w:t>how to connect prevention to complementary aims</w:t>
      </w:r>
      <w:r w:rsidR="00647C7B">
        <w:rPr>
          <w:rFonts w:asciiTheme="majorBidi" w:hAnsiTheme="majorBidi" w:cstheme="majorBidi"/>
          <w:sz w:val="24"/>
          <w:szCs w:val="24"/>
        </w:rPr>
        <w:t xml:space="preserve"> such as ‘evidence based policymaking’, </w:t>
      </w:r>
      <w:r w:rsidR="00647C7B">
        <w:rPr>
          <w:rFonts w:asciiTheme="majorBidi" w:hAnsiTheme="majorBidi" w:cstheme="majorBidi"/>
          <w:sz w:val="24"/>
          <w:szCs w:val="24"/>
        </w:rPr>
        <w:lastRenderedPageBreak/>
        <w:t>‘joined up government’ and local or service-user driven services</w:t>
      </w:r>
      <w:r w:rsidR="00405503">
        <w:rPr>
          <w:rFonts w:asciiTheme="majorBidi" w:hAnsiTheme="majorBidi" w:cstheme="majorBidi"/>
          <w:sz w:val="24"/>
          <w:szCs w:val="24"/>
        </w:rPr>
        <w:t xml:space="preserve"> (Cairney and St Denny, 2019)</w:t>
      </w:r>
      <w:r w:rsidR="00647C7B">
        <w:rPr>
          <w:rFonts w:asciiTheme="majorBidi" w:hAnsiTheme="majorBidi" w:cstheme="majorBidi"/>
          <w:sz w:val="24"/>
          <w:szCs w:val="24"/>
        </w:rPr>
        <w:t xml:space="preserve">. </w:t>
      </w:r>
      <w:r w:rsidR="00405503">
        <w:rPr>
          <w:rFonts w:asciiTheme="majorBidi" w:hAnsiTheme="majorBidi" w:cstheme="majorBidi"/>
          <w:sz w:val="24"/>
          <w:szCs w:val="24"/>
        </w:rPr>
        <w:t xml:space="preserve">During this process, contentious choice </w:t>
      </w:r>
      <w:r w:rsidR="00851ACC">
        <w:rPr>
          <w:rFonts w:asciiTheme="majorBidi" w:hAnsiTheme="majorBidi" w:cstheme="majorBidi"/>
          <w:sz w:val="24"/>
          <w:szCs w:val="24"/>
        </w:rPr>
        <w:t>undermine</w:t>
      </w:r>
      <w:r w:rsidR="001302EC">
        <w:rPr>
          <w:rFonts w:asciiTheme="majorBidi" w:hAnsiTheme="majorBidi" w:cstheme="majorBidi"/>
          <w:sz w:val="24"/>
          <w:szCs w:val="24"/>
        </w:rPr>
        <w:t>s</w:t>
      </w:r>
      <w:r w:rsidR="00405503">
        <w:rPr>
          <w:rFonts w:asciiTheme="majorBidi" w:hAnsiTheme="majorBidi" w:cstheme="majorBidi"/>
          <w:sz w:val="24"/>
          <w:szCs w:val="24"/>
        </w:rPr>
        <w:t xml:space="preserve"> superficial consensus (Billis, 1981: 367).</w:t>
      </w:r>
      <w:r w:rsidR="00CC352A">
        <w:rPr>
          <w:rFonts w:asciiTheme="majorBidi" w:hAnsiTheme="majorBidi" w:cstheme="majorBidi"/>
          <w:sz w:val="24"/>
          <w:szCs w:val="24"/>
        </w:rPr>
        <w:t xml:space="preserve"> Although prevention advocates may see prevention ‘ecologically’, as a large collection of actions that interact to become greater than the sum of their parts</w:t>
      </w:r>
      <w:r w:rsidR="00C83BAA">
        <w:rPr>
          <w:rFonts w:asciiTheme="majorBidi" w:hAnsiTheme="majorBidi" w:cstheme="majorBidi"/>
          <w:sz w:val="24"/>
          <w:szCs w:val="24"/>
        </w:rPr>
        <w:t xml:space="preserve"> (McLeroy et al. 1988; Stokols 1996</w:t>
      </w:r>
      <w:r w:rsidR="00DF516C">
        <w:rPr>
          <w:rFonts w:asciiTheme="majorBidi" w:hAnsiTheme="majorBidi" w:cstheme="majorBidi"/>
          <w:sz w:val="24"/>
          <w:szCs w:val="24"/>
        </w:rPr>
        <w:t>)</w:t>
      </w:r>
      <w:r w:rsidR="00CC352A">
        <w:rPr>
          <w:rFonts w:asciiTheme="majorBidi" w:hAnsiTheme="majorBidi" w:cstheme="majorBidi"/>
          <w:sz w:val="24"/>
          <w:szCs w:val="24"/>
        </w:rPr>
        <w:t xml:space="preserve">, policymakers are under pressure to make and defend specific choices. </w:t>
      </w:r>
    </w:p>
    <w:p w14:paraId="5A414DDC" w14:textId="0F3A79AC" w:rsidR="00DC0A9F" w:rsidRDefault="00405503" w:rsidP="00A275BB">
      <w:pPr>
        <w:spacing w:line="480" w:lineRule="auto"/>
        <w:rPr>
          <w:rFonts w:asciiTheme="majorBidi" w:hAnsiTheme="majorBidi" w:cstheme="majorBidi"/>
          <w:sz w:val="24"/>
          <w:szCs w:val="24"/>
        </w:rPr>
      </w:pPr>
      <w:r>
        <w:rPr>
          <w:rFonts w:asciiTheme="majorBidi" w:hAnsiTheme="majorBidi" w:cstheme="majorBidi"/>
          <w:sz w:val="24"/>
          <w:szCs w:val="24"/>
        </w:rPr>
        <w:t>In that context, Cairney and St Denny (2019)</w:t>
      </w:r>
      <w:r w:rsidR="009578AF" w:rsidRPr="00EF7113">
        <w:rPr>
          <w:rFonts w:asciiTheme="majorBidi" w:hAnsiTheme="majorBidi" w:cstheme="majorBidi"/>
          <w:sz w:val="24"/>
          <w:szCs w:val="24"/>
        </w:rPr>
        <w:t xml:space="preserve"> identify commonly described obstacles to prevention, which can be summed up in the following narrative. Policymakers do not realise the scale of their task until they start to define prevention in practice, to produce strategies and detailed objectives. In doing so, they encounter major trade-offs between </w:t>
      </w:r>
      <w:r w:rsidR="00EB3E11" w:rsidRPr="00EF7113">
        <w:rPr>
          <w:rFonts w:asciiTheme="majorBidi" w:hAnsiTheme="majorBidi" w:cstheme="majorBidi"/>
          <w:sz w:val="24"/>
          <w:szCs w:val="24"/>
        </w:rPr>
        <w:t>long-term</w:t>
      </w:r>
      <w:r w:rsidR="009578AF" w:rsidRPr="00EF7113">
        <w:rPr>
          <w:rFonts w:asciiTheme="majorBidi" w:hAnsiTheme="majorBidi" w:cstheme="majorBidi"/>
          <w:sz w:val="24"/>
          <w:szCs w:val="24"/>
        </w:rPr>
        <w:t xml:space="preserve"> preventive aims and their short</w:t>
      </w:r>
      <w:r w:rsidR="00473314">
        <w:rPr>
          <w:rFonts w:asciiTheme="majorBidi" w:hAnsiTheme="majorBidi" w:cstheme="majorBidi"/>
          <w:sz w:val="24"/>
          <w:szCs w:val="24"/>
        </w:rPr>
        <w:t>-</w:t>
      </w:r>
      <w:r w:rsidR="009578AF" w:rsidRPr="00EF7113">
        <w:rPr>
          <w:rFonts w:asciiTheme="majorBidi" w:hAnsiTheme="majorBidi" w:cstheme="majorBidi"/>
          <w:sz w:val="24"/>
          <w:szCs w:val="24"/>
        </w:rPr>
        <w:t xml:space="preserve">term objectives, such as to remain popular by demonstrating their competence to govern reactive public services. They devote most resources, such as attention, staffing, spending, and performance management to reactive services. </w:t>
      </w:r>
      <w:r w:rsidR="00DF516C">
        <w:rPr>
          <w:rFonts w:asciiTheme="majorBidi" w:hAnsiTheme="majorBidi" w:cstheme="majorBidi"/>
          <w:sz w:val="24"/>
          <w:szCs w:val="24"/>
        </w:rPr>
        <w:t>Even when opportunity</w:t>
      </w:r>
      <w:r w:rsidR="00C95DAA">
        <w:rPr>
          <w:rFonts w:asciiTheme="majorBidi" w:hAnsiTheme="majorBidi" w:cstheme="majorBidi"/>
          <w:sz w:val="24"/>
          <w:szCs w:val="24"/>
        </w:rPr>
        <w:t xml:space="preserve"> </w:t>
      </w:r>
      <w:r w:rsidR="00DF516C">
        <w:rPr>
          <w:rFonts w:asciiTheme="majorBidi" w:hAnsiTheme="majorBidi" w:cstheme="majorBidi"/>
          <w:sz w:val="24"/>
          <w:szCs w:val="24"/>
        </w:rPr>
        <w:t xml:space="preserve">to </w:t>
      </w:r>
      <w:r w:rsidR="00C95DAA">
        <w:rPr>
          <w:rFonts w:asciiTheme="majorBidi" w:hAnsiTheme="majorBidi" w:cstheme="majorBidi"/>
          <w:sz w:val="24"/>
          <w:szCs w:val="24"/>
        </w:rPr>
        <w:t>devote limited resources to prevention</w:t>
      </w:r>
      <w:r w:rsidR="00DF516C">
        <w:rPr>
          <w:rFonts w:asciiTheme="majorBidi" w:hAnsiTheme="majorBidi" w:cstheme="majorBidi"/>
          <w:sz w:val="24"/>
          <w:szCs w:val="24"/>
        </w:rPr>
        <w:t xml:space="preserve"> presents itself</w:t>
      </w:r>
      <w:r w:rsidR="00C95DAA">
        <w:rPr>
          <w:rFonts w:asciiTheme="majorBidi" w:hAnsiTheme="majorBidi" w:cstheme="majorBidi"/>
          <w:sz w:val="24"/>
          <w:szCs w:val="24"/>
        </w:rPr>
        <w:t xml:space="preserve">, it is seldom clear what </w:t>
      </w:r>
      <w:r w:rsidR="00DF516C">
        <w:rPr>
          <w:rFonts w:asciiTheme="majorBidi" w:hAnsiTheme="majorBidi" w:cstheme="majorBidi"/>
          <w:sz w:val="24"/>
          <w:szCs w:val="24"/>
        </w:rPr>
        <w:t>policy options they ought to prioritise or support</w:t>
      </w:r>
      <w:r w:rsidR="00C95DAA">
        <w:rPr>
          <w:rFonts w:asciiTheme="majorBidi" w:hAnsiTheme="majorBidi" w:cstheme="majorBidi"/>
          <w:sz w:val="24"/>
          <w:szCs w:val="24"/>
        </w:rPr>
        <w:t>.</w:t>
      </w:r>
      <w:r w:rsidR="009578AF" w:rsidRPr="00EF7113">
        <w:rPr>
          <w:rFonts w:asciiTheme="majorBidi" w:hAnsiTheme="majorBidi" w:cstheme="majorBidi"/>
          <w:sz w:val="24"/>
          <w:szCs w:val="24"/>
        </w:rPr>
        <w:t xml:space="preserve"> They find the evidence base to be limited and no substitute </w:t>
      </w:r>
      <w:r w:rsidR="006F13F8">
        <w:rPr>
          <w:rFonts w:asciiTheme="majorBidi" w:hAnsiTheme="majorBidi" w:cstheme="majorBidi"/>
          <w:sz w:val="24"/>
          <w:szCs w:val="24"/>
        </w:rPr>
        <w:t xml:space="preserve">for political choice. They engage with </w:t>
      </w:r>
      <w:r w:rsidR="009578AF" w:rsidRPr="00EF7113">
        <w:rPr>
          <w:rFonts w:asciiTheme="majorBidi" w:hAnsiTheme="majorBidi" w:cstheme="majorBidi"/>
          <w:sz w:val="24"/>
          <w:szCs w:val="24"/>
        </w:rPr>
        <w:t>a range of public health experts, some of whom advocate</w:t>
      </w:r>
      <w:r w:rsidR="006F13F8">
        <w:rPr>
          <w:rFonts w:asciiTheme="majorBidi" w:hAnsiTheme="majorBidi" w:cstheme="majorBidi"/>
          <w:sz w:val="24"/>
          <w:szCs w:val="24"/>
        </w:rPr>
        <w:t xml:space="preserve"> vociferously for policy change</w:t>
      </w:r>
      <w:r w:rsidR="009578AF" w:rsidRPr="00EF7113">
        <w:rPr>
          <w:rFonts w:asciiTheme="majorBidi" w:hAnsiTheme="majorBidi" w:cstheme="majorBidi"/>
          <w:sz w:val="24"/>
          <w:szCs w:val="24"/>
        </w:rPr>
        <w:t xml:space="preserve"> and others who do not wa</w:t>
      </w:r>
      <w:r w:rsidR="006F13F8">
        <w:rPr>
          <w:rFonts w:asciiTheme="majorBidi" w:hAnsiTheme="majorBidi" w:cstheme="majorBidi"/>
          <w:sz w:val="24"/>
          <w:szCs w:val="24"/>
        </w:rPr>
        <w:t>nt to get ahead of the evidence</w:t>
      </w:r>
      <w:r w:rsidR="009578AF" w:rsidRPr="00EF7113">
        <w:rPr>
          <w:rFonts w:asciiTheme="majorBidi" w:hAnsiTheme="majorBidi" w:cstheme="majorBidi"/>
          <w:sz w:val="24"/>
          <w:szCs w:val="24"/>
        </w:rPr>
        <w:t xml:space="preserve">. </w:t>
      </w:r>
      <w:r w:rsidR="00DC0A9F">
        <w:rPr>
          <w:rFonts w:asciiTheme="majorBidi" w:hAnsiTheme="majorBidi" w:cstheme="majorBidi"/>
          <w:sz w:val="24"/>
          <w:szCs w:val="24"/>
        </w:rPr>
        <w:t xml:space="preserve"> </w:t>
      </w:r>
      <w:r w:rsidR="009578AF" w:rsidRPr="00EF7113">
        <w:rPr>
          <w:rFonts w:asciiTheme="majorBidi" w:hAnsiTheme="majorBidi" w:cstheme="majorBidi"/>
          <w:sz w:val="24"/>
          <w:szCs w:val="24"/>
        </w:rPr>
        <w:t xml:space="preserve">By making choices, they signal their intention to regulate individual, family, and social life and portray many </w:t>
      </w:r>
      <w:r w:rsidR="005A52D8">
        <w:rPr>
          <w:rFonts w:asciiTheme="majorBidi" w:hAnsiTheme="majorBidi" w:cstheme="majorBidi"/>
          <w:sz w:val="24"/>
          <w:szCs w:val="24"/>
        </w:rPr>
        <w:t>people and their ‘lifestyle choices’</w:t>
      </w:r>
      <w:r w:rsidR="005A52D8" w:rsidRPr="00EF7113">
        <w:rPr>
          <w:rFonts w:asciiTheme="majorBidi" w:hAnsiTheme="majorBidi" w:cstheme="majorBidi"/>
          <w:sz w:val="24"/>
          <w:szCs w:val="24"/>
        </w:rPr>
        <w:t xml:space="preserve"> </w:t>
      </w:r>
      <w:r w:rsidR="009578AF" w:rsidRPr="00EF7113">
        <w:rPr>
          <w:rFonts w:asciiTheme="majorBidi" w:hAnsiTheme="majorBidi" w:cstheme="majorBidi"/>
          <w:sz w:val="24"/>
          <w:szCs w:val="24"/>
        </w:rPr>
        <w:t>negatively. These choices are divisive, generating mixed public support and some dissent among the organisations and professionals responsible for delivery. Many policymakers begin to think of problems as too ‘wicked’ to solve meaningfully with the resources at their disposal (Rittell and Webber, 1973; McConnell, 2017).</w:t>
      </w:r>
      <w:r w:rsidR="006260B0" w:rsidRPr="00EF7113">
        <w:rPr>
          <w:rFonts w:asciiTheme="majorBidi" w:hAnsiTheme="majorBidi" w:cstheme="majorBidi"/>
          <w:sz w:val="24"/>
          <w:szCs w:val="24"/>
        </w:rPr>
        <w:t xml:space="preserve"> </w:t>
      </w:r>
    </w:p>
    <w:p w14:paraId="6262C981" w14:textId="63102C54" w:rsidR="00DF516C" w:rsidRDefault="00DC0A9F" w:rsidP="00A275BB">
      <w:pPr>
        <w:spacing w:line="480" w:lineRule="auto"/>
        <w:rPr>
          <w:rFonts w:asciiTheme="majorBidi" w:hAnsiTheme="majorBidi" w:cstheme="majorBidi"/>
          <w:sz w:val="24"/>
          <w:szCs w:val="24"/>
        </w:rPr>
      </w:pPr>
      <w:r>
        <w:rPr>
          <w:rFonts w:asciiTheme="majorBidi" w:hAnsiTheme="majorBidi" w:cstheme="majorBidi"/>
          <w:sz w:val="24"/>
          <w:szCs w:val="24"/>
        </w:rPr>
        <w:t xml:space="preserve">This narrative highlights the historical difficulties in moving prevention from abstract ideal to concrete </w:t>
      </w:r>
      <w:r w:rsidRPr="00DC0A9F">
        <w:rPr>
          <w:rFonts w:asciiTheme="majorBidi" w:hAnsiTheme="majorBidi" w:cstheme="majorBidi"/>
          <w:i/>
          <w:iCs/>
          <w:sz w:val="24"/>
          <w:szCs w:val="24"/>
        </w:rPr>
        <w:t>institutionali</w:t>
      </w:r>
      <w:r>
        <w:rPr>
          <w:rFonts w:asciiTheme="majorBidi" w:hAnsiTheme="majorBidi" w:cstheme="majorBidi"/>
          <w:i/>
          <w:iCs/>
          <w:sz w:val="24"/>
          <w:szCs w:val="24"/>
        </w:rPr>
        <w:t>s</w:t>
      </w:r>
      <w:r w:rsidRPr="00206413">
        <w:rPr>
          <w:rFonts w:asciiTheme="majorBidi" w:hAnsiTheme="majorBidi" w:cstheme="majorBidi"/>
          <w:i/>
          <w:iCs/>
          <w:sz w:val="24"/>
          <w:szCs w:val="24"/>
        </w:rPr>
        <w:t>ation</w:t>
      </w:r>
      <w:r w:rsidR="005A52D8">
        <w:rPr>
          <w:rFonts w:asciiTheme="majorBidi" w:hAnsiTheme="majorBidi" w:cstheme="majorBidi"/>
          <w:sz w:val="24"/>
          <w:szCs w:val="24"/>
        </w:rPr>
        <w:t xml:space="preserve">: </w:t>
      </w:r>
      <w:r w:rsidR="00805AF8" w:rsidRPr="00EF7113">
        <w:rPr>
          <w:rFonts w:asciiTheme="majorBidi" w:hAnsiTheme="majorBidi" w:cstheme="majorBidi"/>
          <w:sz w:val="24"/>
          <w:szCs w:val="24"/>
        </w:rPr>
        <w:t xml:space="preserve">the processes by which policy-related rules, ideas, procedures, and goals </w:t>
      </w:r>
      <w:r w:rsidR="006F13F8">
        <w:rPr>
          <w:rFonts w:asciiTheme="majorBidi" w:hAnsiTheme="majorBidi" w:cstheme="majorBidi"/>
          <w:sz w:val="24"/>
          <w:szCs w:val="24"/>
        </w:rPr>
        <w:t>take on</w:t>
      </w:r>
      <w:r w:rsidR="00805AF8" w:rsidRPr="00EF7113">
        <w:rPr>
          <w:rFonts w:asciiTheme="majorBidi" w:hAnsiTheme="majorBidi" w:cstheme="majorBidi"/>
          <w:sz w:val="24"/>
          <w:szCs w:val="24"/>
        </w:rPr>
        <w:t xml:space="preserve"> “a rulelike status in social thought and action” (Meyer and Rowan, 1991: </w:t>
      </w:r>
      <w:r w:rsidR="00805AF8" w:rsidRPr="00EF7113">
        <w:rPr>
          <w:rFonts w:asciiTheme="majorBidi" w:hAnsiTheme="majorBidi" w:cstheme="majorBidi"/>
          <w:sz w:val="24"/>
          <w:szCs w:val="24"/>
        </w:rPr>
        <w:lastRenderedPageBreak/>
        <w:t>42</w:t>
      </w:r>
      <w:r w:rsidR="006260B0" w:rsidRPr="00EF7113">
        <w:rPr>
          <w:rFonts w:asciiTheme="majorBidi" w:hAnsiTheme="majorBidi" w:cstheme="majorBidi"/>
          <w:sz w:val="24"/>
          <w:szCs w:val="24"/>
        </w:rPr>
        <w:t xml:space="preserve">). </w:t>
      </w:r>
      <w:r w:rsidR="00C95DAA">
        <w:rPr>
          <w:rFonts w:asciiTheme="majorBidi" w:hAnsiTheme="majorBidi" w:cstheme="majorBidi"/>
          <w:sz w:val="24"/>
          <w:szCs w:val="24"/>
        </w:rPr>
        <w:t xml:space="preserve">There are many different forms of institutionalisation, from </w:t>
      </w:r>
      <w:r w:rsidR="005A52D8">
        <w:rPr>
          <w:rFonts w:asciiTheme="majorBidi" w:hAnsiTheme="majorBidi" w:cstheme="majorBidi"/>
          <w:sz w:val="24"/>
          <w:szCs w:val="24"/>
        </w:rPr>
        <w:t>rules</w:t>
      </w:r>
      <w:r w:rsidR="00C95DAA">
        <w:rPr>
          <w:rFonts w:asciiTheme="majorBidi" w:hAnsiTheme="majorBidi" w:cstheme="majorBidi"/>
          <w:sz w:val="24"/>
          <w:szCs w:val="24"/>
        </w:rPr>
        <w:t xml:space="preserve"> </w:t>
      </w:r>
      <w:r w:rsidR="001B0D9A">
        <w:rPr>
          <w:rFonts w:asciiTheme="majorBidi" w:hAnsiTheme="majorBidi" w:cstheme="majorBidi"/>
          <w:sz w:val="24"/>
          <w:szCs w:val="24"/>
        </w:rPr>
        <w:t xml:space="preserve">that </w:t>
      </w:r>
      <w:r w:rsidR="00C95DAA">
        <w:rPr>
          <w:rFonts w:asciiTheme="majorBidi" w:hAnsiTheme="majorBidi" w:cstheme="majorBidi"/>
          <w:sz w:val="24"/>
          <w:szCs w:val="24"/>
        </w:rPr>
        <w:t xml:space="preserve">are fundamental, permanent and wide-ranging to </w:t>
      </w:r>
      <w:r w:rsidR="002075AE">
        <w:rPr>
          <w:rFonts w:asciiTheme="majorBidi" w:hAnsiTheme="majorBidi" w:cstheme="majorBidi"/>
          <w:sz w:val="24"/>
          <w:szCs w:val="24"/>
        </w:rPr>
        <w:t xml:space="preserve">exhortations </w:t>
      </w:r>
      <w:r w:rsidR="00C95DAA">
        <w:rPr>
          <w:rFonts w:asciiTheme="majorBidi" w:hAnsiTheme="majorBidi" w:cstheme="majorBidi"/>
          <w:sz w:val="24"/>
          <w:szCs w:val="24"/>
        </w:rPr>
        <w:t>that are more symbolic</w:t>
      </w:r>
      <w:r w:rsidR="00405A2E">
        <w:rPr>
          <w:rFonts w:asciiTheme="majorBidi" w:hAnsiTheme="majorBidi" w:cstheme="majorBidi"/>
          <w:sz w:val="24"/>
          <w:szCs w:val="24"/>
        </w:rPr>
        <w:t>, fleeting or</w:t>
      </w:r>
      <w:r w:rsidR="00C95DAA">
        <w:rPr>
          <w:rFonts w:asciiTheme="majorBidi" w:hAnsiTheme="majorBidi" w:cstheme="majorBidi"/>
          <w:sz w:val="24"/>
          <w:szCs w:val="24"/>
        </w:rPr>
        <w:t xml:space="preserve"> </w:t>
      </w:r>
      <w:r w:rsidR="00405A2E">
        <w:rPr>
          <w:rFonts w:asciiTheme="majorBidi" w:hAnsiTheme="majorBidi" w:cstheme="majorBidi"/>
          <w:sz w:val="24"/>
          <w:szCs w:val="24"/>
        </w:rPr>
        <w:t>narrowly limited</w:t>
      </w:r>
      <w:r w:rsidR="00DF516C">
        <w:rPr>
          <w:rFonts w:asciiTheme="majorBidi" w:hAnsiTheme="majorBidi" w:cstheme="majorBidi"/>
          <w:sz w:val="24"/>
          <w:szCs w:val="24"/>
        </w:rPr>
        <w:t>.</w:t>
      </w:r>
      <w:r w:rsidR="004168CF">
        <w:rPr>
          <w:rFonts w:asciiTheme="majorBidi" w:hAnsiTheme="majorBidi" w:cstheme="majorBidi"/>
          <w:sz w:val="24"/>
          <w:szCs w:val="24"/>
        </w:rPr>
        <w:t xml:space="preserve"> </w:t>
      </w:r>
    </w:p>
    <w:p w14:paraId="635CC568" w14:textId="78DF9C5B" w:rsidR="00DF516C" w:rsidRDefault="00623B0C" w:rsidP="00A275BB">
      <w:pPr>
        <w:spacing w:line="480" w:lineRule="auto"/>
        <w:rPr>
          <w:rFonts w:asciiTheme="majorBidi" w:hAnsiTheme="majorBidi" w:cstheme="majorBidi"/>
          <w:sz w:val="24"/>
          <w:szCs w:val="24"/>
        </w:rPr>
      </w:pPr>
      <w:r>
        <w:rPr>
          <w:rFonts w:asciiTheme="majorBidi" w:hAnsiTheme="majorBidi" w:cstheme="majorBidi"/>
          <w:sz w:val="24"/>
          <w:szCs w:val="24"/>
        </w:rPr>
        <w:t>At the ambitious end of the scale, t</w:t>
      </w:r>
      <w:r w:rsidR="00DF516C">
        <w:rPr>
          <w:rFonts w:asciiTheme="majorBidi" w:hAnsiTheme="majorBidi" w:cstheme="majorBidi"/>
          <w:sz w:val="24"/>
          <w:szCs w:val="24"/>
        </w:rPr>
        <w:t xml:space="preserve">he ultimate </w:t>
      </w:r>
      <w:r w:rsidR="005D0F18">
        <w:rPr>
          <w:rFonts w:asciiTheme="majorBidi" w:hAnsiTheme="majorBidi" w:cstheme="majorBidi"/>
          <w:sz w:val="24"/>
          <w:szCs w:val="24"/>
        </w:rPr>
        <w:t>aim</w:t>
      </w:r>
      <w:r w:rsidR="00DF516C">
        <w:rPr>
          <w:rFonts w:asciiTheme="majorBidi" w:hAnsiTheme="majorBidi" w:cstheme="majorBidi"/>
          <w:sz w:val="24"/>
          <w:szCs w:val="24"/>
        </w:rPr>
        <w:t xml:space="preserve"> of the prevention agenda</w:t>
      </w:r>
      <w:r w:rsidR="005D0F18">
        <w:rPr>
          <w:rFonts w:asciiTheme="majorBidi" w:hAnsiTheme="majorBidi" w:cstheme="majorBidi"/>
          <w:sz w:val="24"/>
          <w:szCs w:val="24"/>
        </w:rPr>
        <w:t xml:space="preserve"> </w:t>
      </w:r>
      <w:r w:rsidR="00405A2E">
        <w:rPr>
          <w:rFonts w:asciiTheme="majorBidi" w:hAnsiTheme="majorBidi" w:cstheme="majorBidi"/>
          <w:sz w:val="24"/>
          <w:szCs w:val="24"/>
        </w:rPr>
        <w:t>may be</w:t>
      </w:r>
      <w:r w:rsidR="00F43EAA">
        <w:rPr>
          <w:rFonts w:asciiTheme="majorBidi" w:hAnsiTheme="majorBidi" w:cstheme="majorBidi"/>
          <w:sz w:val="24"/>
          <w:szCs w:val="24"/>
        </w:rPr>
        <w:t xml:space="preserve"> </w:t>
      </w:r>
      <w:r w:rsidR="00C95DAA">
        <w:rPr>
          <w:rFonts w:asciiTheme="majorBidi" w:hAnsiTheme="majorBidi" w:cstheme="majorBidi"/>
          <w:sz w:val="24"/>
          <w:szCs w:val="24"/>
        </w:rPr>
        <w:t>mainstreaming</w:t>
      </w:r>
      <w:r w:rsidR="002075AE">
        <w:rPr>
          <w:rFonts w:asciiTheme="majorBidi" w:hAnsiTheme="majorBidi" w:cstheme="majorBidi"/>
          <w:sz w:val="24"/>
          <w:szCs w:val="24"/>
        </w:rPr>
        <w:t xml:space="preserve">: </w:t>
      </w:r>
      <w:r w:rsidR="00994ABF" w:rsidRPr="00EF7113">
        <w:rPr>
          <w:rFonts w:asciiTheme="majorBidi" w:hAnsiTheme="majorBidi" w:cstheme="majorBidi"/>
          <w:sz w:val="24"/>
          <w:szCs w:val="24"/>
        </w:rPr>
        <w:t>the “(re)organisation, improvement, development and evaluation of policy processes so that a [certain policy perspective] is incorporated in all policies at all levels and at all stages, by actors normally involved in policymaking” (Council of Europe, 1998: 15</w:t>
      </w:r>
      <w:r w:rsidR="004E5539">
        <w:rPr>
          <w:rFonts w:asciiTheme="majorBidi" w:hAnsiTheme="majorBidi" w:cstheme="majorBidi"/>
          <w:sz w:val="24"/>
          <w:szCs w:val="24"/>
        </w:rPr>
        <w:t xml:space="preserve">). </w:t>
      </w:r>
      <w:r w:rsidR="00994ABF" w:rsidRPr="00EF7113">
        <w:rPr>
          <w:rFonts w:asciiTheme="majorBidi" w:hAnsiTheme="majorBidi" w:cstheme="majorBidi"/>
          <w:sz w:val="24"/>
          <w:szCs w:val="24"/>
        </w:rPr>
        <w:t>The goal is to counter the impact of entrenched biases on the (re)production of inequalities and suboptimal outcomes (</w:t>
      </w:r>
      <w:r w:rsidR="000758DA" w:rsidRPr="00EF7113">
        <w:rPr>
          <w:rFonts w:asciiTheme="majorBidi" w:hAnsiTheme="majorBidi" w:cstheme="majorBidi"/>
          <w:sz w:val="24"/>
          <w:szCs w:val="24"/>
        </w:rPr>
        <w:t>Donaghy, 2004</w:t>
      </w:r>
      <w:r w:rsidR="00994ABF" w:rsidRPr="00EF7113">
        <w:rPr>
          <w:rFonts w:asciiTheme="majorBidi" w:hAnsiTheme="majorBidi" w:cstheme="majorBidi"/>
          <w:sz w:val="24"/>
          <w:szCs w:val="24"/>
        </w:rPr>
        <w:t xml:space="preserve">). </w:t>
      </w:r>
      <w:r w:rsidR="004E5539">
        <w:rPr>
          <w:rFonts w:asciiTheme="majorBidi" w:hAnsiTheme="majorBidi" w:cstheme="majorBidi"/>
          <w:sz w:val="24"/>
          <w:szCs w:val="24"/>
        </w:rPr>
        <w:t>M</w:t>
      </w:r>
      <w:r w:rsidR="00FF6247" w:rsidRPr="00EF7113">
        <w:rPr>
          <w:rFonts w:asciiTheme="majorBidi" w:hAnsiTheme="majorBidi" w:cstheme="majorBidi"/>
          <w:sz w:val="24"/>
          <w:szCs w:val="24"/>
        </w:rPr>
        <w:t>ainstreaming prevention</w:t>
      </w:r>
      <w:r w:rsidR="005D0F18">
        <w:rPr>
          <w:rFonts w:asciiTheme="majorBidi" w:hAnsiTheme="majorBidi" w:cstheme="majorBidi"/>
          <w:sz w:val="24"/>
          <w:szCs w:val="24"/>
        </w:rPr>
        <w:t xml:space="preserve"> </w:t>
      </w:r>
      <w:r w:rsidR="00F43EAA">
        <w:rPr>
          <w:rFonts w:asciiTheme="majorBidi" w:hAnsiTheme="majorBidi" w:cstheme="majorBidi"/>
          <w:sz w:val="24"/>
          <w:szCs w:val="24"/>
        </w:rPr>
        <w:t>in health</w:t>
      </w:r>
      <w:r w:rsidR="002075AE">
        <w:rPr>
          <w:rFonts w:asciiTheme="majorBidi" w:hAnsiTheme="majorBidi" w:cstheme="majorBidi"/>
          <w:sz w:val="24"/>
          <w:szCs w:val="24"/>
        </w:rPr>
        <w:t xml:space="preserve"> </w:t>
      </w:r>
      <w:r w:rsidR="00DF516C">
        <w:rPr>
          <w:rFonts w:asciiTheme="majorBidi" w:hAnsiTheme="majorBidi" w:cstheme="majorBidi"/>
          <w:sz w:val="24"/>
          <w:szCs w:val="24"/>
        </w:rPr>
        <w:t>is an idea that</w:t>
      </w:r>
      <w:r w:rsidR="004E5539">
        <w:rPr>
          <w:rFonts w:asciiTheme="majorBidi" w:hAnsiTheme="majorBidi" w:cstheme="majorBidi"/>
          <w:sz w:val="24"/>
          <w:szCs w:val="24"/>
        </w:rPr>
        <w:t xml:space="preserve"> </w:t>
      </w:r>
      <w:r w:rsidR="00845C79" w:rsidRPr="00EF7113">
        <w:rPr>
          <w:rFonts w:asciiTheme="majorBidi" w:hAnsiTheme="majorBidi" w:cstheme="majorBidi"/>
          <w:sz w:val="24"/>
          <w:szCs w:val="24"/>
        </w:rPr>
        <w:t xml:space="preserve">finds </w:t>
      </w:r>
      <w:r w:rsidR="00DF516C">
        <w:rPr>
          <w:rFonts w:asciiTheme="majorBidi" w:hAnsiTheme="majorBidi" w:cstheme="majorBidi"/>
          <w:sz w:val="24"/>
          <w:szCs w:val="24"/>
        </w:rPr>
        <w:t xml:space="preserve">common </w:t>
      </w:r>
      <w:r w:rsidR="00845C79" w:rsidRPr="00EF7113">
        <w:rPr>
          <w:rFonts w:asciiTheme="majorBidi" w:hAnsiTheme="majorBidi" w:cstheme="majorBidi"/>
          <w:sz w:val="24"/>
          <w:szCs w:val="24"/>
        </w:rPr>
        <w:t>expression in</w:t>
      </w:r>
      <w:r w:rsidR="004E5539">
        <w:rPr>
          <w:rFonts w:asciiTheme="majorBidi" w:hAnsiTheme="majorBidi" w:cstheme="majorBidi"/>
          <w:sz w:val="24"/>
          <w:szCs w:val="24"/>
        </w:rPr>
        <w:t xml:space="preserve"> ‘healthy public policy’ or </w:t>
      </w:r>
      <w:r w:rsidR="00DF516C">
        <w:rPr>
          <w:rFonts w:asciiTheme="majorBidi" w:hAnsiTheme="majorBidi" w:cstheme="majorBidi"/>
          <w:sz w:val="24"/>
          <w:szCs w:val="24"/>
        </w:rPr>
        <w:t xml:space="preserve">the notion of </w:t>
      </w:r>
      <w:r w:rsidR="004E5539">
        <w:rPr>
          <w:rFonts w:asciiTheme="majorBidi" w:hAnsiTheme="majorBidi" w:cstheme="majorBidi"/>
          <w:sz w:val="24"/>
          <w:szCs w:val="24"/>
        </w:rPr>
        <w:t>‘health-in-all-policies’</w:t>
      </w:r>
      <w:r w:rsidR="002075AE">
        <w:rPr>
          <w:rFonts w:asciiTheme="majorBidi" w:hAnsiTheme="majorBidi" w:cstheme="majorBidi"/>
          <w:sz w:val="24"/>
          <w:szCs w:val="24"/>
        </w:rPr>
        <w:t>,</w:t>
      </w:r>
      <w:r w:rsidR="004E5539">
        <w:rPr>
          <w:rFonts w:asciiTheme="majorBidi" w:hAnsiTheme="majorBidi" w:cstheme="majorBidi"/>
          <w:sz w:val="24"/>
          <w:szCs w:val="24"/>
        </w:rPr>
        <w:t xml:space="preserve"> </w:t>
      </w:r>
      <w:r w:rsidR="00DF516C">
        <w:rPr>
          <w:rFonts w:asciiTheme="majorBidi" w:hAnsiTheme="majorBidi" w:cstheme="majorBidi"/>
          <w:sz w:val="24"/>
          <w:szCs w:val="24"/>
        </w:rPr>
        <w:t>whereby</w:t>
      </w:r>
      <w:r w:rsidR="00845C79" w:rsidRPr="00EF7113">
        <w:rPr>
          <w:rFonts w:asciiTheme="majorBidi" w:hAnsiTheme="majorBidi" w:cstheme="majorBidi"/>
          <w:sz w:val="24"/>
          <w:szCs w:val="24"/>
        </w:rPr>
        <w:t xml:space="preserve"> </w:t>
      </w:r>
      <w:r w:rsidR="00DF516C" w:rsidRPr="00DC0A9F">
        <w:rPr>
          <w:rFonts w:asciiTheme="majorBidi" w:hAnsiTheme="majorBidi" w:cstheme="majorBidi"/>
          <w:sz w:val="24"/>
          <w:szCs w:val="24"/>
        </w:rPr>
        <w:t xml:space="preserve">all government policies and programmes are </w:t>
      </w:r>
      <w:r w:rsidR="00DF516C">
        <w:rPr>
          <w:rFonts w:asciiTheme="majorBidi" w:hAnsiTheme="majorBidi" w:cstheme="majorBidi"/>
          <w:sz w:val="24"/>
          <w:szCs w:val="24"/>
        </w:rPr>
        <w:t>e</w:t>
      </w:r>
      <w:r w:rsidR="00DF516C" w:rsidRPr="00DC0A9F">
        <w:rPr>
          <w:rFonts w:asciiTheme="majorBidi" w:hAnsiTheme="majorBidi" w:cstheme="majorBidi"/>
          <w:sz w:val="24"/>
          <w:szCs w:val="24"/>
        </w:rPr>
        <w:t>valuat</w:t>
      </w:r>
      <w:r w:rsidR="00DF516C">
        <w:rPr>
          <w:rFonts w:asciiTheme="majorBidi" w:hAnsiTheme="majorBidi" w:cstheme="majorBidi"/>
          <w:sz w:val="24"/>
          <w:szCs w:val="24"/>
        </w:rPr>
        <w:t>ed</w:t>
      </w:r>
      <w:r w:rsidR="00DF516C" w:rsidRPr="00DC0A9F">
        <w:rPr>
          <w:rFonts w:asciiTheme="majorBidi" w:hAnsiTheme="majorBidi" w:cstheme="majorBidi"/>
          <w:sz w:val="24"/>
          <w:szCs w:val="24"/>
        </w:rPr>
        <w:t xml:space="preserve"> on the basis of their impact on </w:t>
      </w:r>
      <w:r w:rsidR="00DF516C">
        <w:rPr>
          <w:rFonts w:asciiTheme="majorBidi" w:hAnsiTheme="majorBidi" w:cstheme="majorBidi"/>
          <w:sz w:val="24"/>
          <w:szCs w:val="24"/>
        </w:rPr>
        <w:t>population health and health equity (</w:t>
      </w:r>
      <w:r w:rsidR="00DF516C" w:rsidRPr="008C05B7">
        <w:rPr>
          <w:rFonts w:asciiTheme="majorBidi" w:hAnsiTheme="majorBidi" w:cstheme="majorBidi"/>
          <w:sz w:val="24"/>
          <w:szCs w:val="24"/>
        </w:rPr>
        <w:t xml:space="preserve">The Helsinki Statement on </w:t>
      </w:r>
      <w:r w:rsidR="00DF516C">
        <w:rPr>
          <w:rFonts w:asciiTheme="majorBidi" w:hAnsiTheme="majorBidi" w:cstheme="majorBidi"/>
          <w:sz w:val="24"/>
          <w:szCs w:val="24"/>
        </w:rPr>
        <w:t>Health in All Policies,</w:t>
      </w:r>
      <w:r w:rsidR="00DF516C" w:rsidRPr="008C05B7">
        <w:rPr>
          <w:rFonts w:asciiTheme="majorBidi" w:hAnsiTheme="majorBidi" w:cstheme="majorBidi"/>
          <w:sz w:val="24"/>
          <w:szCs w:val="24"/>
        </w:rPr>
        <w:t xml:space="preserve"> 2014</w:t>
      </w:r>
      <w:r w:rsidR="00DF516C">
        <w:rPr>
          <w:rFonts w:asciiTheme="majorBidi" w:hAnsiTheme="majorBidi" w:cstheme="majorBidi"/>
          <w:sz w:val="24"/>
          <w:szCs w:val="24"/>
        </w:rPr>
        <w:t>)</w:t>
      </w:r>
      <w:r w:rsidR="00DF516C" w:rsidRPr="00DC0A9F">
        <w:rPr>
          <w:rFonts w:asciiTheme="majorBidi" w:hAnsiTheme="majorBidi" w:cstheme="majorBidi"/>
          <w:sz w:val="24"/>
          <w:szCs w:val="24"/>
        </w:rPr>
        <w:t>.</w:t>
      </w:r>
    </w:p>
    <w:p w14:paraId="36BB800B" w14:textId="7E6DF6FD" w:rsidR="00FC2495" w:rsidRPr="00EF7113" w:rsidRDefault="00DF516C" w:rsidP="00A275BB">
      <w:pPr>
        <w:spacing w:line="480" w:lineRule="auto"/>
        <w:rPr>
          <w:rFonts w:asciiTheme="majorBidi" w:hAnsiTheme="majorBidi" w:cstheme="majorBidi"/>
          <w:sz w:val="24"/>
          <w:szCs w:val="24"/>
        </w:rPr>
      </w:pPr>
      <w:r>
        <w:rPr>
          <w:rFonts w:asciiTheme="majorBidi" w:hAnsiTheme="majorBidi" w:cstheme="majorBidi"/>
          <w:sz w:val="24"/>
          <w:szCs w:val="24"/>
        </w:rPr>
        <w:t xml:space="preserve">However, the obstacles to encoding regulations and practices associated with mainstreaming prevention go far beyond a vague notion of low ‘political will’ to include low clarity about what prevention means – and should mean - in practice. </w:t>
      </w:r>
      <w:r w:rsidR="002075AE">
        <w:rPr>
          <w:rFonts w:asciiTheme="majorBidi" w:hAnsiTheme="majorBidi" w:cstheme="majorBidi"/>
          <w:sz w:val="24"/>
          <w:szCs w:val="24"/>
        </w:rPr>
        <w:t>M</w:t>
      </w:r>
      <w:r>
        <w:rPr>
          <w:rFonts w:asciiTheme="majorBidi" w:hAnsiTheme="majorBidi" w:cstheme="majorBidi"/>
          <w:sz w:val="24"/>
          <w:szCs w:val="24"/>
        </w:rPr>
        <w:t xml:space="preserve">ost public health advocates </w:t>
      </w:r>
      <w:r w:rsidR="004168CF">
        <w:rPr>
          <w:rFonts w:asciiTheme="majorBidi" w:hAnsiTheme="majorBidi" w:cstheme="majorBidi"/>
          <w:sz w:val="24"/>
          <w:szCs w:val="24"/>
        </w:rPr>
        <w:t>are pragmatic enough to see mainstreaming</w:t>
      </w:r>
      <w:r>
        <w:rPr>
          <w:rFonts w:asciiTheme="majorBidi" w:hAnsiTheme="majorBidi" w:cstheme="majorBidi"/>
          <w:sz w:val="24"/>
          <w:szCs w:val="24"/>
        </w:rPr>
        <w:t xml:space="preserve"> as </w:t>
      </w:r>
      <w:r w:rsidR="001B0D9A">
        <w:rPr>
          <w:rFonts w:asciiTheme="majorBidi" w:hAnsiTheme="majorBidi" w:cstheme="majorBidi"/>
          <w:sz w:val="24"/>
          <w:szCs w:val="24"/>
        </w:rPr>
        <w:t xml:space="preserve">a </w:t>
      </w:r>
      <w:r w:rsidR="002075AE">
        <w:rPr>
          <w:rFonts w:asciiTheme="majorBidi" w:hAnsiTheme="majorBidi" w:cstheme="majorBidi"/>
          <w:sz w:val="24"/>
          <w:szCs w:val="24"/>
        </w:rPr>
        <w:t>long term</w:t>
      </w:r>
      <w:r>
        <w:rPr>
          <w:rFonts w:asciiTheme="majorBidi" w:hAnsiTheme="majorBidi" w:cstheme="majorBidi"/>
          <w:sz w:val="24"/>
          <w:szCs w:val="24"/>
        </w:rPr>
        <w:t xml:space="preserve"> ambition.</w:t>
      </w:r>
      <w:r w:rsidR="00A0024B">
        <w:rPr>
          <w:rFonts w:asciiTheme="majorBidi" w:hAnsiTheme="majorBidi" w:cstheme="majorBidi"/>
          <w:sz w:val="24"/>
          <w:szCs w:val="24"/>
        </w:rPr>
        <w:t xml:space="preserve"> </w:t>
      </w:r>
      <w:r w:rsidR="002075AE">
        <w:rPr>
          <w:rFonts w:asciiTheme="majorBidi" w:hAnsiTheme="majorBidi" w:cstheme="majorBidi"/>
          <w:sz w:val="24"/>
          <w:szCs w:val="24"/>
        </w:rPr>
        <w:t>In the meantime</w:t>
      </w:r>
      <w:r w:rsidR="004168CF">
        <w:rPr>
          <w:rFonts w:asciiTheme="majorBidi" w:hAnsiTheme="majorBidi" w:cstheme="majorBidi"/>
          <w:sz w:val="24"/>
          <w:szCs w:val="24"/>
        </w:rPr>
        <w:t xml:space="preserve">, they </w:t>
      </w:r>
      <w:r w:rsidR="002075AE">
        <w:rPr>
          <w:rFonts w:asciiTheme="majorBidi" w:hAnsiTheme="majorBidi" w:cstheme="majorBidi"/>
          <w:sz w:val="24"/>
          <w:szCs w:val="24"/>
        </w:rPr>
        <w:t xml:space="preserve">focus </w:t>
      </w:r>
      <w:r w:rsidR="00A0024B">
        <w:rPr>
          <w:rFonts w:asciiTheme="majorBidi" w:hAnsiTheme="majorBidi" w:cstheme="majorBidi"/>
          <w:sz w:val="24"/>
          <w:szCs w:val="24"/>
        </w:rPr>
        <w:t>on</w:t>
      </w:r>
      <w:r w:rsidR="00337863">
        <w:rPr>
          <w:rFonts w:asciiTheme="majorBidi" w:hAnsiTheme="majorBidi" w:cstheme="majorBidi"/>
          <w:sz w:val="24"/>
          <w:szCs w:val="24"/>
        </w:rPr>
        <w:t xml:space="preserve"> a joining up</w:t>
      </w:r>
      <w:r w:rsidR="00A0024B">
        <w:rPr>
          <w:rFonts w:asciiTheme="majorBidi" w:hAnsiTheme="majorBidi" w:cstheme="majorBidi"/>
          <w:sz w:val="24"/>
          <w:szCs w:val="24"/>
        </w:rPr>
        <w:t xml:space="preserve"> more moderate </w:t>
      </w:r>
      <w:r w:rsidR="002075AE">
        <w:rPr>
          <w:rFonts w:asciiTheme="majorBidi" w:hAnsiTheme="majorBidi" w:cstheme="majorBidi"/>
          <w:sz w:val="24"/>
          <w:szCs w:val="24"/>
        </w:rPr>
        <w:t>and</w:t>
      </w:r>
      <w:r w:rsidR="00A0024B" w:rsidRPr="00DC0A9F">
        <w:rPr>
          <w:rFonts w:asciiTheme="majorBidi" w:hAnsiTheme="majorBidi" w:cstheme="majorBidi"/>
          <w:sz w:val="24"/>
          <w:szCs w:val="24"/>
        </w:rPr>
        <w:t xml:space="preserve"> </w:t>
      </w:r>
      <w:r w:rsidR="00A0024B">
        <w:rPr>
          <w:rFonts w:asciiTheme="majorBidi" w:hAnsiTheme="majorBidi" w:cstheme="majorBidi"/>
          <w:sz w:val="24"/>
          <w:szCs w:val="24"/>
        </w:rPr>
        <w:t>specific policy proposals</w:t>
      </w:r>
      <w:r w:rsidR="002075AE">
        <w:rPr>
          <w:rFonts w:asciiTheme="majorBidi" w:hAnsiTheme="majorBidi" w:cstheme="majorBidi"/>
          <w:sz w:val="24"/>
          <w:szCs w:val="24"/>
        </w:rPr>
        <w:t xml:space="preserve">; the </w:t>
      </w:r>
      <w:r>
        <w:rPr>
          <w:rFonts w:asciiTheme="majorBidi" w:hAnsiTheme="majorBidi" w:cstheme="majorBidi"/>
          <w:sz w:val="24"/>
          <w:szCs w:val="24"/>
        </w:rPr>
        <w:t>‘low-hanging fruit’</w:t>
      </w:r>
      <w:r w:rsidR="004168CF">
        <w:rPr>
          <w:rFonts w:asciiTheme="majorBidi" w:hAnsiTheme="majorBidi" w:cstheme="majorBidi"/>
          <w:sz w:val="24"/>
          <w:szCs w:val="24"/>
        </w:rPr>
        <w:t xml:space="preserve"> </w:t>
      </w:r>
      <w:r w:rsidR="002075AE">
        <w:rPr>
          <w:rFonts w:asciiTheme="majorBidi" w:hAnsiTheme="majorBidi" w:cstheme="majorBidi"/>
          <w:sz w:val="24"/>
          <w:szCs w:val="24"/>
        </w:rPr>
        <w:t>of</w:t>
      </w:r>
      <w:r w:rsidR="004168CF">
        <w:rPr>
          <w:rFonts w:asciiTheme="majorBidi" w:hAnsiTheme="majorBidi" w:cstheme="majorBidi"/>
          <w:sz w:val="24"/>
          <w:szCs w:val="24"/>
        </w:rPr>
        <w:t xml:space="preserve"> feasible and attractive solutions for policymakers</w:t>
      </w:r>
      <w:r w:rsidR="00337863">
        <w:rPr>
          <w:rFonts w:asciiTheme="majorBidi" w:hAnsiTheme="majorBidi" w:cstheme="majorBidi"/>
          <w:sz w:val="24"/>
          <w:szCs w:val="24"/>
        </w:rPr>
        <w:t xml:space="preserve"> which can, when applied together in a synergistic manner, have a positive impact on prevention</w:t>
      </w:r>
      <w:r w:rsidR="004168CF">
        <w:rPr>
          <w:rFonts w:asciiTheme="majorBidi" w:hAnsiTheme="majorBidi" w:cstheme="majorBidi"/>
          <w:sz w:val="24"/>
          <w:szCs w:val="24"/>
        </w:rPr>
        <w:t xml:space="preserve"> (Boswell 2016</w:t>
      </w:r>
      <w:r w:rsidR="00337863">
        <w:rPr>
          <w:rFonts w:asciiTheme="majorBidi" w:hAnsiTheme="majorBidi" w:cstheme="majorBidi"/>
          <w:sz w:val="24"/>
          <w:szCs w:val="24"/>
        </w:rPr>
        <w:t>, Ch 2</w:t>
      </w:r>
      <w:r w:rsidR="004168CF">
        <w:rPr>
          <w:rFonts w:asciiTheme="majorBidi" w:hAnsiTheme="majorBidi" w:cstheme="majorBidi"/>
          <w:sz w:val="24"/>
          <w:szCs w:val="24"/>
        </w:rPr>
        <w:t>)</w:t>
      </w:r>
      <w:r w:rsidR="00A0024B">
        <w:rPr>
          <w:rFonts w:asciiTheme="majorBidi" w:hAnsiTheme="majorBidi" w:cstheme="majorBidi"/>
          <w:sz w:val="24"/>
          <w:szCs w:val="24"/>
        </w:rPr>
        <w:t xml:space="preserve">. </w:t>
      </w:r>
      <w:r w:rsidR="002075AE">
        <w:rPr>
          <w:rFonts w:asciiTheme="majorBidi" w:hAnsiTheme="majorBidi" w:cstheme="majorBidi"/>
          <w:sz w:val="24"/>
          <w:szCs w:val="24"/>
        </w:rPr>
        <w:t>M</w:t>
      </w:r>
      <w:r w:rsidR="00A0024B">
        <w:rPr>
          <w:rFonts w:asciiTheme="majorBidi" w:hAnsiTheme="majorBidi" w:cstheme="majorBidi"/>
          <w:sz w:val="24"/>
          <w:szCs w:val="24"/>
        </w:rPr>
        <w:t xml:space="preserve">easures </w:t>
      </w:r>
      <w:r w:rsidR="00337863">
        <w:rPr>
          <w:rFonts w:asciiTheme="majorBidi" w:hAnsiTheme="majorBidi" w:cstheme="majorBidi"/>
          <w:sz w:val="24"/>
          <w:szCs w:val="24"/>
        </w:rPr>
        <w:t xml:space="preserve">in this ‘ecology’ of intervention </w:t>
      </w:r>
      <w:r w:rsidR="002075AE">
        <w:rPr>
          <w:rFonts w:asciiTheme="majorBidi" w:hAnsiTheme="majorBidi" w:cstheme="majorBidi"/>
          <w:sz w:val="24"/>
          <w:szCs w:val="24"/>
        </w:rPr>
        <w:t>include</w:t>
      </w:r>
      <w:r w:rsidR="00A0024B" w:rsidRPr="00DC0A9F">
        <w:rPr>
          <w:rFonts w:asciiTheme="majorBidi" w:hAnsiTheme="majorBidi" w:cstheme="majorBidi"/>
          <w:sz w:val="24"/>
          <w:szCs w:val="24"/>
        </w:rPr>
        <w:t>: product reformulation; restrictions on marketing of unhealthy products; and taxes on alcohol, tobacco and unhealthy foods.</w:t>
      </w:r>
      <w:r w:rsidR="004168CF">
        <w:rPr>
          <w:rFonts w:asciiTheme="majorBidi" w:hAnsiTheme="majorBidi" w:cstheme="majorBidi"/>
          <w:sz w:val="24"/>
          <w:szCs w:val="24"/>
        </w:rPr>
        <w:t xml:space="preserve"> Yet</w:t>
      </w:r>
      <w:r w:rsidR="005D0F18">
        <w:rPr>
          <w:rFonts w:asciiTheme="majorBidi" w:hAnsiTheme="majorBidi" w:cstheme="majorBidi"/>
          <w:sz w:val="24"/>
          <w:szCs w:val="24"/>
        </w:rPr>
        <w:t xml:space="preserve">, </w:t>
      </w:r>
      <w:r w:rsidR="004168CF">
        <w:rPr>
          <w:rFonts w:asciiTheme="majorBidi" w:hAnsiTheme="majorBidi" w:cstheme="majorBidi"/>
          <w:sz w:val="24"/>
          <w:szCs w:val="24"/>
        </w:rPr>
        <w:t xml:space="preserve">progress even on this more modest agenda has been slow and frustrating. </w:t>
      </w:r>
    </w:p>
    <w:p w14:paraId="5F24682B" w14:textId="2F2E2A3B" w:rsidR="00025000" w:rsidRDefault="00E606DF" w:rsidP="00A275BB">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Ultimately, where public health advocates have been able to achieve a greater measure of success in the last two decades is in an alternative approach known more broadly as substantive institutionalisation </w:t>
      </w:r>
      <w:r w:rsidRPr="001B0D9A">
        <w:rPr>
          <w:rFonts w:asciiTheme="majorBidi" w:hAnsiTheme="majorBidi" w:cstheme="majorBidi"/>
          <w:sz w:val="24"/>
          <w:szCs w:val="24"/>
        </w:rPr>
        <w:t>(</w:t>
      </w:r>
      <w:r w:rsidR="001368BA" w:rsidRPr="001B0D9A">
        <w:rPr>
          <w:rFonts w:asciiTheme="majorBidi" w:hAnsiTheme="majorBidi" w:cstheme="majorBidi"/>
          <w:sz w:val="24"/>
          <w:szCs w:val="24"/>
        </w:rPr>
        <w:t>Corcoran</w:t>
      </w:r>
      <w:r w:rsidR="00FC2E5B" w:rsidRPr="001B0D9A">
        <w:rPr>
          <w:rFonts w:asciiTheme="majorBidi" w:hAnsiTheme="majorBidi" w:cstheme="majorBidi"/>
          <w:sz w:val="24"/>
          <w:szCs w:val="24"/>
        </w:rPr>
        <w:t xml:space="preserve"> </w:t>
      </w:r>
      <w:r w:rsidR="001B0D9A" w:rsidRPr="001B0D9A">
        <w:rPr>
          <w:rFonts w:asciiTheme="majorBidi" w:hAnsiTheme="majorBidi" w:cstheme="majorBidi"/>
          <w:sz w:val="24"/>
          <w:szCs w:val="24"/>
        </w:rPr>
        <w:t>2011</w:t>
      </w:r>
      <w:r w:rsidRPr="001B0D9A">
        <w:rPr>
          <w:rFonts w:asciiTheme="majorBidi" w:hAnsiTheme="majorBidi" w:cstheme="majorBidi"/>
          <w:sz w:val="24"/>
          <w:szCs w:val="24"/>
        </w:rPr>
        <w:t>).</w:t>
      </w:r>
      <w:r>
        <w:rPr>
          <w:rFonts w:asciiTheme="majorBidi" w:hAnsiTheme="majorBidi" w:cstheme="majorBidi"/>
          <w:sz w:val="24"/>
          <w:szCs w:val="24"/>
        </w:rPr>
        <w:t xml:space="preserve"> </w:t>
      </w:r>
      <w:r w:rsidR="00044D49">
        <w:rPr>
          <w:rFonts w:asciiTheme="majorBidi" w:hAnsiTheme="majorBidi" w:cstheme="majorBidi"/>
          <w:sz w:val="24"/>
          <w:szCs w:val="24"/>
        </w:rPr>
        <w:t>It</w:t>
      </w:r>
      <w:r>
        <w:rPr>
          <w:rFonts w:asciiTheme="majorBidi" w:hAnsiTheme="majorBidi" w:cstheme="majorBidi"/>
          <w:sz w:val="24"/>
          <w:szCs w:val="24"/>
        </w:rPr>
        <w:t xml:space="preserve"> refers to the creation of positions or functions in government </w:t>
      </w:r>
      <w:r w:rsidRPr="00EF7113">
        <w:rPr>
          <w:rFonts w:asciiTheme="majorBidi" w:hAnsiTheme="majorBidi" w:cstheme="majorBidi"/>
          <w:sz w:val="24"/>
          <w:szCs w:val="24"/>
        </w:rPr>
        <w:t>dedicated to promoting and developing a particular service, policy goal or agenda</w:t>
      </w:r>
      <w:r>
        <w:rPr>
          <w:rFonts w:asciiTheme="majorBidi" w:hAnsiTheme="majorBidi" w:cstheme="majorBidi"/>
          <w:sz w:val="24"/>
          <w:szCs w:val="24"/>
        </w:rPr>
        <w:t>. Though substantive institutionalisation can take a variety of forms</w:t>
      </w:r>
      <w:r w:rsidR="00FC2E5B">
        <w:rPr>
          <w:rFonts w:asciiTheme="majorBidi" w:hAnsiTheme="majorBidi" w:cstheme="majorBidi"/>
          <w:sz w:val="24"/>
          <w:szCs w:val="24"/>
        </w:rPr>
        <w:t xml:space="preserve"> (</w:t>
      </w:r>
      <w:r w:rsidR="001368BA">
        <w:rPr>
          <w:rFonts w:asciiTheme="majorBidi" w:hAnsiTheme="majorBidi" w:cstheme="majorBidi"/>
          <w:sz w:val="24"/>
          <w:szCs w:val="24"/>
        </w:rPr>
        <w:t xml:space="preserve">Hogwood </w:t>
      </w:r>
      <w:r w:rsidR="00044D49">
        <w:rPr>
          <w:rFonts w:asciiTheme="majorBidi" w:hAnsiTheme="majorBidi" w:cstheme="majorBidi"/>
          <w:sz w:val="24"/>
          <w:szCs w:val="24"/>
        </w:rPr>
        <w:t>et al, 2001</w:t>
      </w:r>
      <w:r w:rsidR="00FC2E5B">
        <w:rPr>
          <w:rFonts w:asciiTheme="majorBidi" w:hAnsiTheme="majorBidi" w:cstheme="majorBidi"/>
          <w:sz w:val="24"/>
          <w:szCs w:val="24"/>
        </w:rPr>
        <w:t>)</w:t>
      </w:r>
      <w:r>
        <w:rPr>
          <w:rFonts w:asciiTheme="majorBidi" w:hAnsiTheme="majorBidi" w:cstheme="majorBidi"/>
          <w:sz w:val="24"/>
          <w:szCs w:val="24"/>
        </w:rPr>
        <w:t xml:space="preserve">, in </w:t>
      </w:r>
      <w:r w:rsidR="00025000">
        <w:rPr>
          <w:rFonts w:asciiTheme="majorBidi" w:hAnsiTheme="majorBidi" w:cstheme="majorBidi"/>
          <w:sz w:val="24"/>
          <w:szCs w:val="24"/>
        </w:rPr>
        <w:t xml:space="preserve">this sector </w:t>
      </w:r>
      <w:r w:rsidR="001368BA">
        <w:rPr>
          <w:rFonts w:asciiTheme="majorBidi" w:hAnsiTheme="majorBidi" w:cstheme="majorBidi"/>
          <w:sz w:val="24"/>
          <w:szCs w:val="24"/>
        </w:rPr>
        <w:t>it is associated</w:t>
      </w:r>
      <w:r w:rsidR="00F43EAA">
        <w:rPr>
          <w:rFonts w:asciiTheme="majorBidi" w:hAnsiTheme="majorBidi" w:cstheme="majorBidi"/>
          <w:sz w:val="24"/>
          <w:szCs w:val="24"/>
        </w:rPr>
        <w:t xml:space="preserve"> especially</w:t>
      </w:r>
      <w:r w:rsidR="001368BA">
        <w:rPr>
          <w:rFonts w:asciiTheme="majorBidi" w:hAnsiTheme="majorBidi" w:cstheme="majorBidi"/>
          <w:sz w:val="24"/>
          <w:szCs w:val="24"/>
        </w:rPr>
        <w:t xml:space="preserve"> with</w:t>
      </w:r>
      <w:r w:rsidR="00025000">
        <w:rPr>
          <w:rFonts w:asciiTheme="majorBidi" w:hAnsiTheme="majorBidi" w:cstheme="majorBidi"/>
          <w:sz w:val="24"/>
          <w:szCs w:val="24"/>
        </w:rPr>
        <w:t xml:space="preserve"> the</w:t>
      </w:r>
      <w:r>
        <w:rPr>
          <w:rFonts w:asciiTheme="majorBidi" w:hAnsiTheme="majorBidi" w:cstheme="majorBidi"/>
          <w:sz w:val="24"/>
          <w:szCs w:val="24"/>
        </w:rPr>
        <w:t xml:space="preserve"> establishment of departmental executive agencies. </w:t>
      </w:r>
      <w:r w:rsidR="004C3BC2">
        <w:rPr>
          <w:rFonts w:asciiTheme="majorBidi" w:hAnsiTheme="majorBidi" w:cstheme="majorBidi"/>
          <w:sz w:val="24"/>
          <w:szCs w:val="24"/>
        </w:rPr>
        <w:t xml:space="preserve">Agencies are </w:t>
      </w:r>
      <w:r w:rsidR="004C3BC2" w:rsidRPr="004C3BC2">
        <w:rPr>
          <w:rFonts w:asciiTheme="majorBidi" w:hAnsiTheme="majorBidi" w:cstheme="majorBidi"/>
          <w:sz w:val="24"/>
          <w:szCs w:val="24"/>
        </w:rPr>
        <w:t>dedicated bodies with operational autonomy from line departments and</w:t>
      </w:r>
      <w:r w:rsidR="004C3BC2">
        <w:rPr>
          <w:rFonts w:asciiTheme="majorBidi" w:hAnsiTheme="majorBidi" w:cstheme="majorBidi"/>
          <w:sz w:val="24"/>
          <w:szCs w:val="24"/>
        </w:rPr>
        <w:t xml:space="preserve"> (usually)</w:t>
      </w:r>
      <w:r w:rsidR="004C3BC2" w:rsidRPr="004C3BC2">
        <w:rPr>
          <w:rFonts w:asciiTheme="majorBidi" w:hAnsiTheme="majorBidi" w:cstheme="majorBidi"/>
          <w:sz w:val="24"/>
          <w:szCs w:val="24"/>
        </w:rPr>
        <w:t xml:space="preserve"> direct access to the executive</w:t>
      </w:r>
      <w:r w:rsidR="004C3BC2">
        <w:rPr>
          <w:rFonts w:asciiTheme="majorBidi" w:hAnsiTheme="majorBidi" w:cstheme="majorBidi"/>
          <w:sz w:val="24"/>
          <w:szCs w:val="24"/>
        </w:rPr>
        <w:t>. They are</w:t>
      </w:r>
      <w:r w:rsidR="00025000">
        <w:rPr>
          <w:rFonts w:asciiTheme="majorBidi" w:hAnsiTheme="majorBidi" w:cstheme="majorBidi"/>
          <w:sz w:val="24"/>
          <w:szCs w:val="24"/>
        </w:rPr>
        <w:t xml:space="preserve"> integrated within government (to help coordinate policymaking functions) but operate</w:t>
      </w:r>
      <w:r w:rsidR="00025000" w:rsidRPr="00744688">
        <w:rPr>
          <w:rFonts w:asciiTheme="majorBidi" w:hAnsiTheme="majorBidi" w:cstheme="majorBidi"/>
          <w:sz w:val="24"/>
          <w:szCs w:val="24"/>
        </w:rPr>
        <w:t xml:space="preserve"> sufficiently autonomously to ensure that their implementation objectives are not </w:t>
      </w:r>
      <w:r w:rsidR="00025000">
        <w:rPr>
          <w:rFonts w:asciiTheme="majorBidi" w:hAnsiTheme="majorBidi" w:cstheme="majorBidi"/>
          <w:sz w:val="24"/>
          <w:szCs w:val="24"/>
        </w:rPr>
        <w:t xml:space="preserve">necessarily </w:t>
      </w:r>
      <w:r w:rsidR="00025000" w:rsidRPr="00744688">
        <w:rPr>
          <w:rFonts w:asciiTheme="majorBidi" w:hAnsiTheme="majorBidi" w:cstheme="majorBidi"/>
          <w:sz w:val="24"/>
          <w:szCs w:val="24"/>
        </w:rPr>
        <w:t xml:space="preserve">affected by changing political context and </w:t>
      </w:r>
      <w:r w:rsidR="00025000">
        <w:rPr>
          <w:rFonts w:asciiTheme="majorBidi" w:hAnsiTheme="majorBidi" w:cstheme="majorBidi"/>
          <w:sz w:val="24"/>
          <w:szCs w:val="24"/>
        </w:rPr>
        <w:t xml:space="preserve">elected </w:t>
      </w:r>
      <w:r w:rsidR="00025000" w:rsidRPr="00744688">
        <w:rPr>
          <w:rFonts w:asciiTheme="majorBidi" w:hAnsiTheme="majorBidi" w:cstheme="majorBidi"/>
          <w:sz w:val="24"/>
          <w:szCs w:val="24"/>
        </w:rPr>
        <w:t xml:space="preserve">policymakers’ fluctuating attention (Verhoest, 2013: 52).  </w:t>
      </w:r>
    </w:p>
    <w:p w14:paraId="212D27BF" w14:textId="0F8255C7" w:rsidR="00E231B5" w:rsidRDefault="00405A2E" w:rsidP="00A275BB">
      <w:pPr>
        <w:spacing w:line="480" w:lineRule="auto"/>
        <w:rPr>
          <w:rFonts w:asciiTheme="majorBidi" w:hAnsiTheme="majorBidi" w:cstheme="majorBidi"/>
          <w:sz w:val="24"/>
          <w:szCs w:val="24"/>
        </w:rPr>
      </w:pPr>
      <w:r>
        <w:rPr>
          <w:rFonts w:asciiTheme="majorBidi" w:hAnsiTheme="majorBidi" w:cstheme="majorBidi"/>
          <w:sz w:val="24"/>
          <w:szCs w:val="24"/>
        </w:rPr>
        <w:t xml:space="preserve">Due </w:t>
      </w:r>
      <w:r w:rsidR="0090706C">
        <w:rPr>
          <w:rFonts w:asciiTheme="majorBidi" w:hAnsiTheme="majorBidi" w:cstheme="majorBidi"/>
          <w:sz w:val="24"/>
          <w:szCs w:val="24"/>
        </w:rPr>
        <w:t>partly</w:t>
      </w:r>
      <w:r>
        <w:rPr>
          <w:rFonts w:asciiTheme="majorBidi" w:hAnsiTheme="majorBidi" w:cstheme="majorBidi"/>
          <w:sz w:val="24"/>
          <w:szCs w:val="24"/>
        </w:rPr>
        <w:t xml:space="preserve"> to celebrated ‘success stories’ like VicHealth (in the Australian state of Victoria) and the Thai Health Promotion Foundation (McQueen 2016), p</w:t>
      </w:r>
      <w:r w:rsidR="00F43EAA">
        <w:rPr>
          <w:rFonts w:asciiTheme="majorBidi" w:hAnsiTheme="majorBidi" w:cstheme="majorBidi"/>
          <w:sz w:val="24"/>
          <w:szCs w:val="24"/>
        </w:rPr>
        <w:t>reventative health advocates</w:t>
      </w:r>
      <w:r w:rsidR="00025000">
        <w:rPr>
          <w:rFonts w:asciiTheme="majorBidi" w:hAnsiTheme="majorBidi" w:cstheme="majorBidi"/>
          <w:sz w:val="24"/>
          <w:szCs w:val="24"/>
        </w:rPr>
        <w:t xml:space="preserve"> see executive agencies</w:t>
      </w:r>
      <w:r w:rsidR="00F43EAA">
        <w:rPr>
          <w:rFonts w:asciiTheme="majorBidi" w:hAnsiTheme="majorBidi" w:cstheme="majorBidi"/>
          <w:sz w:val="24"/>
          <w:szCs w:val="24"/>
        </w:rPr>
        <w:t xml:space="preserve"> as</w:t>
      </w:r>
      <w:r w:rsidR="004C3BC2">
        <w:rPr>
          <w:rFonts w:asciiTheme="majorBidi" w:hAnsiTheme="majorBidi" w:cstheme="majorBidi"/>
          <w:sz w:val="24"/>
          <w:szCs w:val="24"/>
        </w:rPr>
        <w:t xml:space="preserve"> </w:t>
      </w:r>
      <w:r w:rsidR="00025000">
        <w:rPr>
          <w:rFonts w:asciiTheme="majorBidi" w:hAnsiTheme="majorBidi" w:cstheme="majorBidi"/>
          <w:sz w:val="24"/>
          <w:szCs w:val="24"/>
        </w:rPr>
        <w:t xml:space="preserve">useful </w:t>
      </w:r>
      <w:r w:rsidR="00025000" w:rsidRPr="00BA1016">
        <w:rPr>
          <w:rFonts w:asciiTheme="majorBidi" w:hAnsiTheme="majorBidi" w:cstheme="majorBidi"/>
          <w:sz w:val="24"/>
          <w:szCs w:val="24"/>
        </w:rPr>
        <w:t>vehicle</w:t>
      </w:r>
      <w:r w:rsidR="001368BA">
        <w:rPr>
          <w:rFonts w:asciiTheme="majorBidi" w:hAnsiTheme="majorBidi" w:cstheme="majorBidi"/>
          <w:sz w:val="24"/>
          <w:szCs w:val="24"/>
        </w:rPr>
        <w:t>s for</w:t>
      </w:r>
      <w:r w:rsidR="00025000">
        <w:rPr>
          <w:rFonts w:asciiTheme="majorBidi" w:hAnsiTheme="majorBidi" w:cstheme="majorBidi"/>
          <w:sz w:val="24"/>
          <w:szCs w:val="24"/>
        </w:rPr>
        <w:t xml:space="preserve"> </w:t>
      </w:r>
      <w:r>
        <w:rPr>
          <w:rFonts w:asciiTheme="majorBidi" w:hAnsiTheme="majorBidi" w:cstheme="majorBidi"/>
          <w:sz w:val="24"/>
          <w:szCs w:val="24"/>
        </w:rPr>
        <w:t xml:space="preserve">driving </w:t>
      </w:r>
      <w:r w:rsidR="00025000">
        <w:rPr>
          <w:rFonts w:asciiTheme="majorBidi" w:hAnsiTheme="majorBidi" w:cstheme="majorBidi"/>
          <w:sz w:val="24"/>
          <w:szCs w:val="24"/>
        </w:rPr>
        <w:t>policy change</w:t>
      </w:r>
      <w:r w:rsidR="00205D60">
        <w:rPr>
          <w:rFonts w:asciiTheme="majorBidi" w:hAnsiTheme="majorBidi" w:cstheme="majorBidi"/>
          <w:sz w:val="24"/>
          <w:szCs w:val="24"/>
        </w:rPr>
        <w:t xml:space="preserve"> </w:t>
      </w:r>
      <w:r w:rsidR="00205D60" w:rsidRPr="00EF7113">
        <w:rPr>
          <w:rFonts w:asciiTheme="majorBidi" w:hAnsiTheme="majorBidi" w:cstheme="majorBidi"/>
          <w:sz w:val="24"/>
          <w:szCs w:val="24"/>
        </w:rPr>
        <w:t>(</w:t>
      </w:r>
      <w:r w:rsidR="00205D60">
        <w:rPr>
          <w:rFonts w:asciiTheme="majorBidi" w:hAnsiTheme="majorBidi" w:cstheme="majorBidi"/>
          <w:sz w:val="24"/>
          <w:szCs w:val="24"/>
        </w:rPr>
        <w:t xml:space="preserve">for examples in public health scholarship, see </w:t>
      </w:r>
      <w:r w:rsidR="00205D60" w:rsidRPr="00EF7113">
        <w:rPr>
          <w:rFonts w:asciiTheme="majorBidi" w:hAnsiTheme="majorBidi" w:cstheme="majorBidi"/>
          <w:sz w:val="24"/>
          <w:szCs w:val="24"/>
        </w:rPr>
        <w:t>Harris and Mortimer 2009; Catford 2009; Perez 2013; Friel 2013</w:t>
      </w:r>
      <w:r w:rsidR="00205D60">
        <w:rPr>
          <w:rFonts w:asciiTheme="majorBidi" w:hAnsiTheme="majorBidi" w:cstheme="majorBidi"/>
          <w:sz w:val="24"/>
          <w:szCs w:val="24"/>
        </w:rPr>
        <w:t xml:space="preserve">; McQueen 2016; for examples in public health advocacy, see </w:t>
      </w:r>
      <w:r w:rsidR="00205D60" w:rsidRPr="00EF7113">
        <w:rPr>
          <w:rFonts w:asciiTheme="majorBidi" w:hAnsiTheme="majorBidi" w:cstheme="majorBidi"/>
          <w:sz w:val="24"/>
          <w:szCs w:val="24"/>
        </w:rPr>
        <w:t>Watt 2005; Moodie et al. 2008; WHO 2014; Sopitarcharsak et al. 2015)</w:t>
      </w:r>
      <w:r w:rsidR="00025000">
        <w:rPr>
          <w:rFonts w:asciiTheme="majorBidi" w:hAnsiTheme="majorBidi" w:cstheme="majorBidi"/>
          <w:sz w:val="24"/>
          <w:szCs w:val="24"/>
        </w:rPr>
        <w:t xml:space="preserve">. </w:t>
      </w:r>
      <w:r w:rsidR="00205D60">
        <w:rPr>
          <w:rFonts w:asciiTheme="majorBidi" w:hAnsiTheme="majorBidi" w:cstheme="majorBidi"/>
          <w:sz w:val="24"/>
          <w:szCs w:val="24"/>
        </w:rPr>
        <w:t>Across many jurisdictions, advocates</w:t>
      </w:r>
      <w:r w:rsidR="00F43EAA">
        <w:rPr>
          <w:rFonts w:asciiTheme="majorBidi" w:hAnsiTheme="majorBidi" w:cstheme="majorBidi"/>
          <w:sz w:val="24"/>
          <w:szCs w:val="24"/>
        </w:rPr>
        <w:t xml:space="preserve"> have fought for the establishment of agencies which</w:t>
      </w:r>
      <w:r w:rsidR="00025000" w:rsidRPr="00DC0A9F">
        <w:rPr>
          <w:rFonts w:asciiTheme="majorBidi" w:hAnsiTheme="majorBidi" w:cstheme="majorBidi"/>
          <w:sz w:val="24"/>
          <w:szCs w:val="24"/>
        </w:rPr>
        <w:t xml:space="preserve"> can concentrate resources</w:t>
      </w:r>
      <w:r w:rsidR="00F43EAA">
        <w:rPr>
          <w:rFonts w:asciiTheme="majorBidi" w:hAnsiTheme="majorBidi" w:cstheme="majorBidi"/>
          <w:sz w:val="24"/>
          <w:szCs w:val="24"/>
        </w:rPr>
        <w:t>, ensure access to key decision-makers,</w:t>
      </w:r>
      <w:r w:rsidR="00025000" w:rsidRPr="00DC0A9F">
        <w:rPr>
          <w:rFonts w:asciiTheme="majorBidi" w:hAnsiTheme="majorBidi" w:cstheme="majorBidi"/>
          <w:sz w:val="24"/>
          <w:szCs w:val="24"/>
        </w:rPr>
        <w:t xml:space="preserve"> and</w:t>
      </w:r>
      <w:r w:rsidR="00025000">
        <w:rPr>
          <w:rFonts w:asciiTheme="majorBidi" w:hAnsiTheme="majorBidi" w:cstheme="majorBidi"/>
          <w:sz w:val="24"/>
          <w:szCs w:val="24"/>
        </w:rPr>
        <w:t xml:space="preserve"> boost</w:t>
      </w:r>
      <w:r w:rsidR="00025000" w:rsidRPr="00DC0A9F">
        <w:rPr>
          <w:rFonts w:asciiTheme="majorBidi" w:hAnsiTheme="majorBidi" w:cstheme="majorBidi"/>
          <w:sz w:val="24"/>
          <w:szCs w:val="24"/>
        </w:rPr>
        <w:t xml:space="preserve"> the leadership required to challenge the dominant healthcare paradigm and lift prevention policies beyond the realm of politics-as-usual</w:t>
      </w:r>
      <w:r w:rsidR="00025000" w:rsidRPr="00EF7113">
        <w:rPr>
          <w:rFonts w:asciiTheme="majorBidi" w:hAnsiTheme="majorBidi" w:cstheme="majorBidi"/>
          <w:sz w:val="24"/>
          <w:szCs w:val="24"/>
        </w:rPr>
        <w:t>.</w:t>
      </w:r>
      <w:r w:rsidR="00025000" w:rsidRPr="00744688">
        <w:rPr>
          <w:rFonts w:asciiTheme="majorBidi" w:hAnsiTheme="majorBidi" w:cstheme="majorBidi"/>
          <w:sz w:val="24"/>
          <w:szCs w:val="24"/>
        </w:rPr>
        <w:t xml:space="preserve"> </w:t>
      </w:r>
    </w:p>
    <w:p w14:paraId="6158B84B" w14:textId="357E369C" w:rsidR="001D41BF" w:rsidRDefault="001368BA" w:rsidP="00A275BB">
      <w:pPr>
        <w:spacing w:line="480" w:lineRule="auto"/>
        <w:rPr>
          <w:rFonts w:asciiTheme="majorBidi" w:hAnsiTheme="majorBidi" w:cstheme="majorBidi"/>
          <w:sz w:val="24"/>
          <w:szCs w:val="24"/>
        </w:rPr>
      </w:pPr>
      <w:r>
        <w:rPr>
          <w:rFonts w:asciiTheme="majorBidi" w:hAnsiTheme="majorBidi" w:cstheme="majorBidi"/>
          <w:sz w:val="24"/>
          <w:szCs w:val="24"/>
        </w:rPr>
        <w:t>But</w:t>
      </w:r>
      <w:r w:rsidR="00C83BAA">
        <w:rPr>
          <w:rFonts w:asciiTheme="majorBidi" w:hAnsiTheme="majorBidi" w:cstheme="majorBidi"/>
          <w:sz w:val="24"/>
          <w:szCs w:val="24"/>
        </w:rPr>
        <w:t xml:space="preserve"> the story does not end ther</w:t>
      </w:r>
      <w:r>
        <w:rPr>
          <w:rFonts w:asciiTheme="majorBidi" w:hAnsiTheme="majorBidi" w:cstheme="majorBidi"/>
          <w:sz w:val="24"/>
          <w:szCs w:val="24"/>
        </w:rPr>
        <w:t xml:space="preserve">e. The </w:t>
      </w:r>
      <w:r w:rsidR="00623B0C">
        <w:rPr>
          <w:rFonts w:asciiTheme="majorBidi" w:hAnsiTheme="majorBidi" w:cstheme="majorBidi"/>
          <w:sz w:val="24"/>
          <w:szCs w:val="24"/>
        </w:rPr>
        <w:t xml:space="preserve">generalist </w:t>
      </w:r>
      <w:r>
        <w:rPr>
          <w:rFonts w:asciiTheme="majorBidi" w:hAnsiTheme="majorBidi" w:cstheme="majorBidi"/>
          <w:sz w:val="24"/>
          <w:szCs w:val="24"/>
        </w:rPr>
        <w:t xml:space="preserve">public administration and public policy literatures tell us that agencies </w:t>
      </w:r>
      <w:r w:rsidR="00205D60">
        <w:rPr>
          <w:rFonts w:asciiTheme="majorBidi" w:hAnsiTheme="majorBidi" w:cstheme="majorBidi"/>
          <w:sz w:val="24"/>
          <w:szCs w:val="24"/>
        </w:rPr>
        <w:t xml:space="preserve">are no simple fix. They </w:t>
      </w:r>
      <w:r>
        <w:rPr>
          <w:rFonts w:asciiTheme="majorBidi" w:hAnsiTheme="majorBidi" w:cstheme="majorBidi"/>
          <w:sz w:val="24"/>
          <w:szCs w:val="24"/>
        </w:rPr>
        <w:t xml:space="preserve">remain vulnerable to damaging or fatal public contestation and political interference. </w:t>
      </w:r>
      <w:r w:rsidR="00C83BAA">
        <w:rPr>
          <w:rFonts w:asciiTheme="majorBidi" w:hAnsiTheme="majorBidi" w:cstheme="majorBidi"/>
          <w:sz w:val="24"/>
          <w:szCs w:val="24"/>
        </w:rPr>
        <w:t xml:space="preserve"> T</w:t>
      </w:r>
      <w:r w:rsidR="00A418E1">
        <w:rPr>
          <w:rFonts w:asciiTheme="majorBidi" w:hAnsiTheme="majorBidi" w:cstheme="majorBidi"/>
          <w:sz w:val="24"/>
          <w:szCs w:val="24"/>
        </w:rPr>
        <w:t>here is</w:t>
      </w:r>
      <w:r w:rsidR="0090706C">
        <w:rPr>
          <w:rFonts w:asciiTheme="majorBidi" w:hAnsiTheme="majorBidi" w:cstheme="majorBidi"/>
          <w:sz w:val="24"/>
          <w:szCs w:val="24"/>
        </w:rPr>
        <w:t xml:space="preserve"> </w:t>
      </w:r>
      <w:r w:rsidR="00A418E1">
        <w:rPr>
          <w:rFonts w:asciiTheme="majorBidi" w:hAnsiTheme="majorBidi" w:cstheme="majorBidi"/>
          <w:sz w:val="24"/>
          <w:szCs w:val="24"/>
        </w:rPr>
        <w:t>a need to</w:t>
      </w:r>
      <w:r w:rsidR="00C83BAA">
        <w:rPr>
          <w:rFonts w:asciiTheme="majorBidi" w:hAnsiTheme="majorBidi" w:cstheme="majorBidi"/>
          <w:sz w:val="24"/>
          <w:szCs w:val="24"/>
        </w:rPr>
        <w:t xml:space="preserve"> interrogate whether agencies</w:t>
      </w:r>
      <w:r>
        <w:rPr>
          <w:rFonts w:asciiTheme="majorBidi" w:hAnsiTheme="majorBidi" w:cstheme="majorBidi"/>
          <w:sz w:val="24"/>
          <w:szCs w:val="24"/>
        </w:rPr>
        <w:t xml:space="preserve"> with responsibility for preventative health</w:t>
      </w:r>
      <w:r w:rsidR="00C83BAA">
        <w:rPr>
          <w:rFonts w:asciiTheme="majorBidi" w:hAnsiTheme="majorBidi" w:cstheme="majorBidi"/>
          <w:sz w:val="24"/>
          <w:szCs w:val="24"/>
        </w:rPr>
        <w:t xml:space="preserve"> are durable solutions that can live up to the hopes </w:t>
      </w:r>
      <w:r>
        <w:rPr>
          <w:rFonts w:asciiTheme="majorBidi" w:hAnsiTheme="majorBidi" w:cstheme="majorBidi"/>
          <w:sz w:val="24"/>
          <w:szCs w:val="24"/>
        </w:rPr>
        <w:lastRenderedPageBreak/>
        <w:t xml:space="preserve">advocates </w:t>
      </w:r>
      <w:r w:rsidR="00C83BAA">
        <w:rPr>
          <w:rFonts w:asciiTheme="majorBidi" w:hAnsiTheme="majorBidi" w:cstheme="majorBidi"/>
          <w:sz w:val="24"/>
          <w:szCs w:val="24"/>
        </w:rPr>
        <w:t>have invested in them.</w:t>
      </w:r>
      <w:r w:rsidR="00A418E1">
        <w:rPr>
          <w:rFonts w:asciiTheme="majorBidi" w:hAnsiTheme="majorBidi" w:cstheme="majorBidi"/>
          <w:sz w:val="24"/>
          <w:szCs w:val="24"/>
        </w:rPr>
        <w:t xml:space="preserve"> </w:t>
      </w:r>
      <w:r>
        <w:rPr>
          <w:rFonts w:asciiTheme="majorBidi" w:hAnsiTheme="majorBidi" w:cstheme="majorBidi"/>
          <w:sz w:val="24"/>
          <w:szCs w:val="24"/>
        </w:rPr>
        <w:t>We ask: h</w:t>
      </w:r>
      <w:r w:rsidR="00DC0A9F">
        <w:rPr>
          <w:rFonts w:asciiTheme="majorBidi" w:hAnsiTheme="majorBidi" w:cstheme="majorBidi"/>
          <w:sz w:val="24"/>
          <w:szCs w:val="24"/>
        </w:rPr>
        <w:t>ow has this form of institutionalizing preventative health happened in practice, and what consequences has it had for the advancement of the prevention agenda? T</w:t>
      </w:r>
      <w:r w:rsidR="00EC4E86" w:rsidRPr="00EF7113">
        <w:rPr>
          <w:rFonts w:asciiTheme="majorBidi" w:hAnsiTheme="majorBidi" w:cstheme="majorBidi"/>
          <w:sz w:val="24"/>
          <w:szCs w:val="24"/>
        </w:rPr>
        <w:t>he following section sets out a framework for an</w:t>
      </w:r>
      <w:r w:rsidR="00C83BAA">
        <w:rPr>
          <w:rFonts w:asciiTheme="majorBidi" w:hAnsiTheme="majorBidi" w:cstheme="majorBidi"/>
          <w:sz w:val="24"/>
          <w:szCs w:val="24"/>
        </w:rPr>
        <w:t>swering these questions</w:t>
      </w:r>
      <w:r w:rsidR="00877C10" w:rsidRPr="00EF7113">
        <w:rPr>
          <w:rFonts w:asciiTheme="majorBidi" w:hAnsiTheme="majorBidi" w:cstheme="majorBidi"/>
          <w:sz w:val="24"/>
          <w:szCs w:val="24"/>
        </w:rPr>
        <w:t>.</w:t>
      </w:r>
    </w:p>
    <w:p w14:paraId="592CBAD3" w14:textId="77777777" w:rsidR="002831E5" w:rsidRPr="00EF7113" w:rsidRDefault="002831E5" w:rsidP="00A275BB">
      <w:pPr>
        <w:spacing w:line="480" w:lineRule="auto"/>
        <w:rPr>
          <w:rFonts w:asciiTheme="majorBidi" w:hAnsiTheme="majorBidi" w:cstheme="majorBidi"/>
          <w:sz w:val="24"/>
          <w:szCs w:val="24"/>
        </w:rPr>
      </w:pPr>
    </w:p>
    <w:p w14:paraId="69701D92" w14:textId="1DE983B7" w:rsidR="0065662A" w:rsidRPr="00EF7113" w:rsidRDefault="00806776" w:rsidP="00A275BB">
      <w:pPr>
        <w:spacing w:line="480" w:lineRule="auto"/>
        <w:rPr>
          <w:rFonts w:asciiTheme="majorBidi" w:hAnsiTheme="majorBidi" w:cstheme="majorBidi"/>
          <w:b/>
          <w:bCs/>
          <w:sz w:val="24"/>
          <w:szCs w:val="24"/>
        </w:rPr>
      </w:pPr>
      <w:r>
        <w:rPr>
          <w:rFonts w:asciiTheme="majorBidi" w:hAnsiTheme="majorBidi" w:cstheme="majorBidi"/>
          <w:b/>
          <w:bCs/>
          <w:sz w:val="24"/>
          <w:szCs w:val="24"/>
        </w:rPr>
        <w:t>Understanding the vicissitudes of a</w:t>
      </w:r>
      <w:r w:rsidR="000F68B0" w:rsidRPr="00EF7113">
        <w:rPr>
          <w:rFonts w:asciiTheme="majorBidi" w:hAnsiTheme="majorBidi" w:cstheme="majorBidi"/>
          <w:b/>
          <w:bCs/>
          <w:sz w:val="24"/>
          <w:szCs w:val="24"/>
        </w:rPr>
        <w:t xml:space="preserve">gencies: A framework for </w:t>
      </w:r>
      <w:r w:rsidR="005A3FEF">
        <w:rPr>
          <w:rFonts w:asciiTheme="majorBidi" w:hAnsiTheme="majorBidi" w:cstheme="majorBidi"/>
          <w:b/>
          <w:bCs/>
          <w:sz w:val="24"/>
          <w:szCs w:val="24"/>
        </w:rPr>
        <w:t>interpretation</w:t>
      </w:r>
    </w:p>
    <w:p w14:paraId="63BFDACC" w14:textId="4E443821" w:rsidR="004D317B" w:rsidRDefault="000F68B0" w:rsidP="00623B0C">
      <w:pPr>
        <w:spacing w:line="480" w:lineRule="auto"/>
        <w:rPr>
          <w:rFonts w:asciiTheme="majorBidi" w:hAnsiTheme="majorBidi" w:cstheme="majorBidi"/>
          <w:sz w:val="24"/>
          <w:szCs w:val="24"/>
        </w:rPr>
      </w:pPr>
      <w:r w:rsidRPr="00EF7113">
        <w:rPr>
          <w:rFonts w:asciiTheme="majorBidi" w:hAnsiTheme="majorBidi" w:cstheme="majorBidi"/>
          <w:sz w:val="24"/>
          <w:szCs w:val="24"/>
        </w:rPr>
        <w:t>The literature on agencies in public</w:t>
      </w:r>
      <w:r w:rsidR="00664694">
        <w:rPr>
          <w:rFonts w:asciiTheme="majorBidi" w:hAnsiTheme="majorBidi" w:cstheme="majorBidi"/>
          <w:sz w:val="24"/>
          <w:szCs w:val="24"/>
        </w:rPr>
        <w:t xml:space="preserve"> administration has ballooned in response to the</w:t>
      </w:r>
      <w:r w:rsidR="00205D60">
        <w:rPr>
          <w:rFonts w:asciiTheme="majorBidi" w:hAnsiTheme="majorBidi" w:cstheme="majorBidi"/>
          <w:sz w:val="24"/>
          <w:szCs w:val="24"/>
        </w:rPr>
        <w:t>ir</w:t>
      </w:r>
      <w:r w:rsidRPr="00EF7113">
        <w:rPr>
          <w:rFonts w:asciiTheme="majorBidi" w:hAnsiTheme="majorBidi" w:cstheme="majorBidi"/>
          <w:sz w:val="24"/>
          <w:szCs w:val="24"/>
        </w:rPr>
        <w:t xml:space="preserve"> widespread proliferatio</w:t>
      </w:r>
      <w:r w:rsidR="00205D60">
        <w:rPr>
          <w:rFonts w:asciiTheme="majorBidi" w:hAnsiTheme="majorBidi" w:cstheme="majorBidi"/>
          <w:sz w:val="24"/>
          <w:szCs w:val="24"/>
        </w:rPr>
        <w:t>n</w:t>
      </w:r>
      <w:r w:rsidRPr="00EF7113">
        <w:rPr>
          <w:rFonts w:asciiTheme="majorBidi" w:hAnsiTheme="majorBidi" w:cstheme="majorBidi"/>
          <w:sz w:val="24"/>
          <w:szCs w:val="24"/>
        </w:rPr>
        <w:t xml:space="preserve"> i</w:t>
      </w:r>
      <w:r w:rsidR="00664694">
        <w:rPr>
          <w:rFonts w:asciiTheme="majorBidi" w:hAnsiTheme="majorBidi" w:cstheme="majorBidi"/>
          <w:sz w:val="24"/>
          <w:szCs w:val="24"/>
        </w:rPr>
        <w:t>n the last two or three decades</w:t>
      </w:r>
      <w:r w:rsidRPr="00EF7113">
        <w:rPr>
          <w:rFonts w:asciiTheme="majorBidi" w:hAnsiTheme="majorBidi" w:cstheme="majorBidi"/>
          <w:sz w:val="24"/>
          <w:szCs w:val="24"/>
        </w:rPr>
        <w:t xml:space="preserve">. </w:t>
      </w:r>
      <w:r w:rsidR="00DD1ACA">
        <w:rPr>
          <w:rFonts w:asciiTheme="majorBidi" w:hAnsiTheme="majorBidi" w:cstheme="majorBidi"/>
          <w:sz w:val="24"/>
          <w:szCs w:val="24"/>
        </w:rPr>
        <w:t>Tremendous</w:t>
      </w:r>
      <w:r w:rsidRPr="00EF7113">
        <w:rPr>
          <w:rFonts w:asciiTheme="majorBidi" w:hAnsiTheme="majorBidi" w:cstheme="majorBidi"/>
          <w:sz w:val="24"/>
          <w:szCs w:val="24"/>
        </w:rPr>
        <w:t xml:space="preserve"> empirical focus has gone into explaining the variation in the</w:t>
      </w:r>
      <w:r w:rsidR="002F3577">
        <w:rPr>
          <w:rFonts w:asciiTheme="majorBidi" w:hAnsiTheme="majorBidi" w:cstheme="majorBidi"/>
          <w:sz w:val="24"/>
          <w:szCs w:val="24"/>
        </w:rPr>
        <w:t>ir</w:t>
      </w:r>
      <w:r w:rsidRPr="00EF7113">
        <w:rPr>
          <w:rFonts w:asciiTheme="majorBidi" w:hAnsiTheme="majorBidi" w:cstheme="majorBidi"/>
          <w:sz w:val="24"/>
          <w:szCs w:val="24"/>
        </w:rPr>
        <w:t xml:space="preserve"> ‘success’, understood </w:t>
      </w:r>
      <w:r w:rsidR="00DD1ACA">
        <w:rPr>
          <w:rFonts w:asciiTheme="majorBidi" w:hAnsiTheme="majorBidi" w:cstheme="majorBidi"/>
          <w:sz w:val="24"/>
          <w:szCs w:val="24"/>
        </w:rPr>
        <w:t xml:space="preserve">usually in terms of </w:t>
      </w:r>
      <w:r w:rsidRPr="00EF7113">
        <w:rPr>
          <w:rFonts w:asciiTheme="majorBidi" w:hAnsiTheme="majorBidi" w:cstheme="majorBidi"/>
          <w:sz w:val="24"/>
          <w:szCs w:val="24"/>
        </w:rPr>
        <w:t>their lon</w:t>
      </w:r>
      <w:r w:rsidR="00DD1ACA">
        <w:rPr>
          <w:rFonts w:asciiTheme="majorBidi" w:hAnsiTheme="majorBidi" w:cstheme="majorBidi"/>
          <w:sz w:val="24"/>
          <w:szCs w:val="24"/>
        </w:rPr>
        <w:t>gevity and perceived legitimacy. But a</w:t>
      </w:r>
      <w:r w:rsidRPr="00EF7113">
        <w:rPr>
          <w:rFonts w:asciiTheme="majorBidi" w:hAnsiTheme="majorBidi" w:cstheme="majorBidi"/>
          <w:sz w:val="24"/>
          <w:szCs w:val="24"/>
        </w:rPr>
        <w:t xml:space="preserve">ttempts to map success </w:t>
      </w:r>
      <w:r w:rsidR="00DD1ACA">
        <w:rPr>
          <w:rFonts w:asciiTheme="majorBidi" w:hAnsiTheme="majorBidi" w:cstheme="majorBidi"/>
          <w:sz w:val="24"/>
          <w:szCs w:val="24"/>
        </w:rPr>
        <w:t>on these grounds</w:t>
      </w:r>
      <w:r w:rsidRPr="00EF7113">
        <w:rPr>
          <w:rFonts w:asciiTheme="majorBidi" w:hAnsiTheme="majorBidi" w:cstheme="majorBidi"/>
          <w:sz w:val="24"/>
          <w:szCs w:val="24"/>
        </w:rPr>
        <w:t xml:space="preserve"> have failed to reveal clear patterns. In</w:t>
      </w:r>
      <w:r w:rsidR="00C96673">
        <w:rPr>
          <w:rFonts w:asciiTheme="majorBidi" w:hAnsiTheme="majorBidi" w:cstheme="majorBidi"/>
          <w:sz w:val="24"/>
          <w:szCs w:val="24"/>
        </w:rPr>
        <w:t>deed</w:t>
      </w:r>
      <w:r w:rsidR="00623B0C">
        <w:rPr>
          <w:rFonts w:asciiTheme="majorBidi" w:hAnsiTheme="majorBidi" w:cstheme="majorBidi"/>
          <w:sz w:val="24"/>
          <w:szCs w:val="24"/>
        </w:rPr>
        <w:t>, an authoritative meta-analysis wri</w:t>
      </w:r>
      <w:r w:rsidRPr="00EF7113">
        <w:rPr>
          <w:rFonts w:asciiTheme="majorBidi" w:hAnsiTheme="majorBidi" w:cstheme="majorBidi"/>
          <w:sz w:val="24"/>
          <w:szCs w:val="24"/>
        </w:rPr>
        <w:t>te</w:t>
      </w:r>
      <w:r w:rsidR="00623B0C">
        <w:rPr>
          <w:rFonts w:asciiTheme="majorBidi" w:hAnsiTheme="majorBidi" w:cstheme="majorBidi"/>
          <w:sz w:val="24"/>
          <w:szCs w:val="24"/>
        </w:rPr>
        <w:t>s</w:t>
      </w:r>
      <w:r w:rsidRPr="00EF7113">
        <w:rPr>
          <w:rFonts w:asciiTheme="majorBidi" w:hAnsiTheme="majorBidi" w:cstheme="majorBidi"/>
          <w:sz w:val="24"/>
          <w:szCs w:val="24"/>
        </w:rPr>
        <w:t xml:space="preserve"> off the</w:t>
      </w:r>
      <w:r w:rsidR="002F3577">
        <w:rPr>
          <w:rFonts w:asciiTheme="majorBidi" w:hAnsiTheme="majorBidi" w:cstheme="majorBidi"/>
          <w:sz w:val="24"/>
          <w:szCs w:val="24"/>
        </w:rPr>
        <w:t>ir</w:t>
      </w:r>
      <w:r w:rsidRPr="00EF7113">
        <w:rPr>
          <w:rFonts w:asciiTheme="majorBidi" w:hAnsiTheme="majorBidi" w:cstheme="majorBidi"/>
          <w:sz w:val="24"/>
          <w:szCs w:val="24"/>
        </w:rPr>
        <w:t xml:space="preserve"> fate as ‘random’</w:t>
      </w:r>
      <w:r w:rsidR="00664694">
        <w:rPr>
          <w:rFonts w:asciiTheme="majorBidi" w:hAnsiTheme="majorBidi" w:cstheme="majorBidi"/>
          <w:sz w:val="24"/>
          <w:szCs w:val="24"/>
        </w:rPr>
        <w:t xml:space="preserve"> (</w:t>
      </w:r>
      <w:r w:rsidR="00DD1ACA">
        <w:rPr>
          <w:rFonts w:asciiTheme="majorBidi" w:hAnsiTheme="majorBidi" w:cstheme="majorBidi"/>
          <w:sz w:val="24"/>
          <w:szCs w:val="24"/>
        </w:rPr>
        <w:t>Verhoest 2012</w:t>
      </w:r>
      <w:r w:rsidR="005C0A15" w:rsidRPr="00EF7113">
        <w:rPr>
          <w:rFonts w:asciiTheme="majorBidi" w:hAnsiTheme="majorBidi" w:cstheme="majorBidi"/>
          <w:sz w:val="24"/>
          <w:szCs w:val="24"/>
        </w:rPr>
        <w:t>)</w:t>
      </w:r>
      <w:r w:rsidR="004D317B">
        <w:rPr>
          <w:rFonts w:asciiTheme="majorBidi" w:hAnsiTheme="majorBidi" w:cstheme="majorBidi"/>
          <w:sz w:val="24"/>
          <w:szCs w:val="24"/>
        </w:rPr>
        <w:t>.</w:t>
      </w:r>
    </w:p>
    <w:p w14:paraId="05A11BD9" w14:textId="47B0AA8C" w:rsidR="000F68B0" w:rsidRPr="00EF7113" w:rsidRDefault="00664694" w:rsidP="007B7101">
      <w:pPr>
        <w:spacing w:line="480" w:lineRule="auto"/>
        <w:rPr>
          <w:rFonts w:asciiTheme="majorBidi" w:hAnsiTheme="majorBidi" w:cstheme="majorBidi"/>
          <w:sz w:val="24"/>
          <w:szCs w:val="24"/>
        </w:rPr>
      </w:pPr>
      <w:r>
        <w:rPr>
          <w:rFonts w:asciiTheme="majorBidi" w:hAnsiTheme="majorBidi" w:cstheme="majorBidi"/>
          <w:sz w:val="24"/>
          <w:szCs w:val="24"/>
        </w:rPr>
        <w:t>However</w:t>
      </w:r>
      <w:r w:rsidR="00DD1ACA">
        <w:rPr>
          <w:rFonts w:asciiTheme="majorBidi" w:hAnsiTheme="majorBidi" w:cstheme="majorBidi"/>
          <w:sz w:val="24"/>
          <w:szCs w:val="24"/>
        </w:rPr>
        <w:t>,</w:t>
      </w:r>
      <w:r w:rsidR="000F68B0" w:rsidRPr="00EF7113">
        <w:rPr>
          <w:rFonts w:asciiTheme="majorBidi" w:hAnsiTheme="majorBidi" w:cstheme="majorBidi"/>
          <w:sz w:val="24"/>
          <w:szCs w:val="24"/>
        </w:rPr>
        <w:t xml:space="preserve"> </w:t>
      </w:r>
      <w:r w:rsidR="00DC0A9F">
        <w:rPr>
          <w:rFonts w:asciiTheme="majorBidi" w:hAnsiTheme="majorBidi" w:cstheme="majorBidi"/>
          <w:sz w:val="24"/>
          <w:szCs w:val="24"/>
        </w:rPr>
        <w:t xml:space="preserve">recent scholarship emphasises the importance of an </w:t>
      </w:r>
      <w:r w:rsidR="00DC0A9F" w:rsidRPr="00206413">
        <w:rPr>
          <w:rFonts w:asciiTheme="majorBidi" w:hAnsiTheme="majorBidi" w:cstheme="majorBidi"/>
          <w:i/>
          <w:iCs/>
          <w:sz w:val="24"/>
          <w:szCs w:val="24"/>
        </w:rPr>
        <w:t xml:space="preserve">interpretive </w:t>
      </w:r>
      <w:r w:rsidR="00DC0A9F">
        <w:rPr>
          <w:rFonts w:asciiTheme="majorBidi" w:hAnsiTheme="majorBidi" w:cstheme="majorBidi"/>
          <w:sz w:val="24"/>
          <w:szCs w:val="24"/>
        </w:rPr>
        <w:t>orientation</w:t>
      </w:r>
      <w:r w:rsidR="00DC0A9F" w:rsidRPr="00DC0A9F">
        <w:rPr>
          <w:rFonts w:asciiTheme="majorBidi" w:hAnsiTheme="majorBidi" w:cstheme="majorBidi"/>
          <w:sz w:val="24"/>
          <w:szCs w:val="24"/>
        </w:rPr>
        <w:t xml:space="preserve"> </w:t>
      </w:r>
      <w:r w:rsidR="00DC0A9F">
        <w:rPr>
          <w:rFonts w:asciiTheme="majorBidi" w:hAnsiTheme="majorBidi" w:cstheme="majorBidi"/>
          <w:sz w:val="24"/>
          <w:szCs w:val="24"/>
        </w:rPr>
        <w:t xml:space="preserve">to understanding patterns of </w:t>
      </w:r>
      <w:r w:rsidR="00E1501A">
        <w:rPr>
          <w:rFonts w:asciiTheme="majorBidi" w:hAnsiTheme="majorBidi" w:cstheme="majorBidi"/>
          <w:sz w:val="24"/>
          <w:szCs w:val="24"/>
        </w:rPr>
        <w:t>organisational birth and death</w:t>
      </w:r>
      <w:r w:rsidR="00DC0A9F">
        <w:rPr>
          <w:rFonts w:asciiTheme="majorBidi" w:hAnsiTheme="majorBidi" w:cstheme="majorBidi"/>
          <w:sz w:val="24"/>
          <w:szCs w:val="24"/>
        </w:rPr>
        <w:t xml:space="preserve"> based on in-depth qualitative research (</w:t>
      </w:r>
      <w:r w:rsidR="00752B57">
        <w:rPr>
          <w:rFonts w:asciiTheme="majorBidi" w:hAnsiTheme="majorBidi" w:cstheme="majorBidi"/>
          <w:sz w:val="24"/>
          <w:szCs w:val="24"/>
        </w:rPr>
        <w:t>Elston 2014; 2017</w:t>
      </w:r>
      <w:r w:rsidR="00DC0A9F">
        <w:rPr>
          <w:rFonts w:asciiTheme="majorBidi" w:hAnsiTheme="majorBidi" w:cstheme="majorBidi"/>
          <w:sz w:val="24"/>
          <w:szCs w:val="24"/>
        </w:rPr>
        <w:t xml:space="preserve">). Interpretivists see </w:t>
      </w:r>
      <w:r w:rsidR="002F3577">
        <w:rPr>
          <w:rFonts w:asciiTheme="majorBidi" w:hAnsiTheme="majorBidi" w:cstheme="majorBidi"/>
          <w:sz w:val="24"/>
          <w:szCs w:val="24"/>
        </w:rPr>
        <w:t xml:space="preserve">organisations </w:t>
      </w:r>
      <w:r w:rsidR="00DC0A9F" w:rsidRPr="00EF7113">
        <w:rPr>
          <w:rFonts w:asciiTheme="majorBidi" w:hAnsiTheme="majorBidi" w:cstheme="majorBidi"/>
          <w:sz w:val="24"/>
          <w:szCs w:val="24"/>
        </w:rPr>
        <w:t xml:space="preserve">not as fixed </w:t>
      </w:r>
      <w:r w:rsidR="00DC0A9F">
        <w:rPr>
          <w:rFonts w:asciiTheme="majorBidi" w:hAnsiTheme="majorBidi" w:cstheme="majorBidi"/>
          <w:sz w:val="24"/>
          <w:szCs w:val="24"/>
        </w:rPr>
        <w:t>structures</w:t>
      </w:r>
      <w:r w:rsidR="00DC0A9F" w:rsidRPr="00EF7113">
        <w:rPr>
          <w:rFonts w:asciiTheme="majorBidi" w:hAnsiTheme="majorBidi" w:cstheme="majorBidi"/>
          <w:sz w:val="24"/>
          <w:szCs w:val="24"/>
        </w:rPr>
        <w:t xml:space="preserve"> that determine political and policy outcomes, but as contingent and fluid configurations that reflect and reinforce prevailing political dynamics</w:t>
      </w:r>
      <w:r w:rsidR="005A3FEF">
        <w:rPr>
          <w:rFonts w:asciiTheme="majorBidi" w:hAnsiTheme="majorBidi" w:cstheme="majorBidi"/>
          <w:sz w:val="24"/>
          <w:szCs w:val="24"/>
        </w:rPr>
        <w:t xml:space="preserve"> (Bevir and Rhodes 2003)</w:t>
      </w:r>
      <w:r w:rsidR="00DC0A9F" w:rsidRPr="00EF7113">
        <w:rPr>
          <w:rFonts w:asciiTheme="majorBidi" w:hAnsiTheme="majorBidi" w:cstheme="majorBidi"/>
          <w:sz w:val="24"/>
          <w:szCs w:val="24"/>
        </w:rPr>
        <w:t xml:space="preserve">. </w:t>
      </w:r>
      <w:r w:rsidR="00261D64">
        <w:rPr>
          <w:rFonts w:asciiTheme="majorBidi" w:hAnsiTheme="majorBidi" w:cstheme="majorBidi"/>
          <w:sz w:val="24"/>
          <w:szCs w:val="24"/>
        </w:rPr>
        <w:t>S</w:t>
      </w:r>
      <w:r w:rsidR="00DC0A9F">
        <w:rPr>
          <w:rFonts w:asciiTheme="majorBidi" w:hAnsiTheme="majorBidi" w:cstheme="majorBidi"/>
          <w:sz w:val="24"/>
          <w:szCs w:val="24"/>
        </w:rPr>
        <w:t>imply-expressed</w:t>
      </w:r>
      <w:r w:rsidR="00DC0A9F" w:rsidRPr="00EF7113">
        <w:rPr>
          <w:rFonts w:asciiTheme="majorBidi" w:hAnsiTheme="majorBidi" w:cstheme="majorBidi"/>
          <w:sz w:val="24"/>
          <w:szCs w:val="24"/>
        </w:rPr>
        <w:t xml:space="preserve"> ‘variables’ </w:t>
      </w:r>
      <w:r w:rsidR="00DC0A9F">
        <w:rPr>
          <w:rFonts w:asciiTheme="majorBidi" w:hAnsiTheme="majorBidi" w:cstheme="majorBidi"/>
          <w:sz w:val="24"/>
          <w:szCs w:val="24"/>
        </w:rPr>
        <w:t xml:space="preserve">cannot explain </w:t>
      </w:r>
      <w:r w:rsidR="00165053">
        <w:rPr>
          <w:rFonts w:asciiTheme="majorBidi" w:hAnsiTheme="majorBidi" w:cstheme="majorBidi"/>
          <w:sz w:val="24"/>
          <w:szCs w:val="24"/>
        </w:rPr>
        <w:t>organisations’</w:t>
      </w:r>
      <w:r w:rsidR="00DC0A9F">
        <w:rPr>
          <w:rFonts w:asciiTheme="majorBidi" w:hAnsiTheme="majorBidi" w:cstheme="majorBidi"/>
          <w:sz w:val="24"/>
          <w:szCs w:val="24"/>
        </w:rPr>
        <w:t xml:space="preserve"> fate across time and space. </w:t>
      </w:r>
      <w:r w:rsidR="00E1501A">
        <w:rPr>
          <w:rFonts w:asciiTheme="majorBidi" w:hAnsiTheme="majorBidi" w:cstheme="majorBidi"/>
          <w:sz w:val="24"/>
          <w:szCs w:val="24"/>
        </w:rPr>
        <w:t>They</w:t>
      </w:r>
      <w:r w:rsidR="00DC0A9F">
        <w:rPr>
          <w:rFonts w:asciiTheme="majorBidi" w:hAnsiTheme="majorBidi" w:cstheme="majorBidi"/>
          <w:sz w:val="24"/>
          <w:szCs w:val="24"/>
        </w:rPr>
        <w:t xml:space="preserve"> </w:t>
      </w:r>
      <w:r w:rsidR="00DC0A9F" w:rsidRPr="00EF7113">
        <w:rPr>
          <w:rFonts w:asciiTheme="majorBidi" w:hAnsiTheme="majorBidi" w:cstheme="majorBidi"/>
          <w:sz w:val="24"/>
          <w:szCs w:val="24"/>
        </w:rPr>
        <w:t xml:space="preserve">are liable to change over time and to have different meanings and implications in different contexts. </w:t>
      </w:r>
      <w:r w:rsidR="00DC0A9F">
        <w:rPr>
          <w:rFonts w:asciiTheme="majorBidi" w:hAnsiTheme="majorBidi" w:cstheme="majorBidi"/>
          <w:sz w:val="24"/>
          <w:szCs w:val="24"/>
        </w:rPr>
        <w:t xml:space="preserve"> As such, </w:t>
      </w:r>
      <w:r w:rsidR="000F68B0" w:rsidRPr="00EF7113">
        <w:rPr>
          <w:rFonts w:asciiTheme="majorBidi" w:hAnsiTheme="majorBidi" w:cstheme="majorBidi"/>
          <w:sz w:val="24"/>
          <w:szCs w:val="24"/>
        </w:rPr>
        <w:t xml:space="preserve"> turn</w:t>
      </w:r>
      <w:r w:rsidR="00DC0A9F">
        <w:rPr>
          <w:rFonts w:asciiTheme="majorBidi" w:hAnsiTheme="majorBidi" w:cstheme="majorBidi"/>
          <w:sz w:val="24"/>
          <w:szCs w:val="24"/>
        </w:rPr>
        <w:t>ing</w:t>
      </w:r>
      <w:r w:rsidR="000F68B0" w:rsidRPr="00EF7113">
        <w:rPr>
          <w:rFonts w:asciiTheme="majorBidi" w:hAnsiTheme="majorBidi" w:cstheme="majorBidi"/>
          <w:sz w:val="24"/>
          <w:szCs w:val="24"/>
        </w:rPr>
        <w:t xml:space="preserve"> to insights from </w:t>
      </w:r>
      <w:r w:rsidR="00DC0A9F">
        <w:rPr>
          <w:rFonts w:asciiTheme="majorBidi" w:hAnsiTheme="majorBidi" w:cstheme="majorBidi"/>
          <w:sz w:val="24"/>
          <w:szCs w:val="24"/>
        </w:rPr>
        <w:t>qualitative</w:t>
      </w:r>
      <w:r w:rsidR="007B7101">
        <w:rPr>
          <w:rFonts w:asciiTheme="majorBidi" w:hAnsiTheme="majorBidi" w:cstheme="majorBidi"/>
          <w:sz w:val="24"/>
          <w:szCs w:val="24"/>
        </w:rPr>
        <w:t>, interpretive</w:t>
      </w:r>
      <w:r w:rsidR="00DC0A9F">
        <w:rPr>
          <w:rFonts w:asciiTheme="majorBidi" w:hAnsiTheme="majorBidi" w:cstheme="majorBidi"/>
          <w:sz w:val="24"/>
          <w:szCs w:val="24"/>
        </w:rPr>
        <w:t xml:space="preserve"> forms of research can help us gain</w:t>
      </w:r>
      <w:r w:rsidR="000F68B0" w:rsidRPr="00EF7113">
        <w:rPr>
          <w:rFonts w:asciiTheme="majorBidi" w:hAnsiTheme="majorBidi" w:cstheme="majorBidi"/>
          <w:sz w:val="24"/>
          <w:szCs w:val="24"/>
        </w:rPr>
        <w:t xml:space="preserve"> deeper insight into the</w:t>
      </w:r>
      <w:r w:rsidR="00DC0A9F">
        <w:rPr>
          <w:rFonts w:asciiTheme="majorBidi" w:hAnsiTheme="majorBidi" w:cstheme="majorBidi"/>
          <w:sz w:val="24"/>
          <w:szCs w:val="24"/>
        </w:rPr>
        <w:t xml:space="preserve"> configuration of</w:t>
      </w:r>
      <w:r w:rsidR="000F68B0" w:rsidRPr="00EF7113">
        <w:rPr>
          <w:rFonts w:asciiTheme="majorBidi" w:hAnsiTheme="majorBidi" w:cstheme="majorBidi"/>
          <w:sz w:val="24"/>
          <w:szCs w:val="24"/>
        </w:rPr>
        <w:t xml:space="preserve"> factors that influence the success or failure of </w:t>
      </w:r>
      <w:r w:rsidR="00205D60">
        <w:rPr>
          <w:rFonts w:asciiTheme="majorBidi" w:hAnsiTheme="majorBidi" w:cstheme="majorBidi"/>
          <w:sz w:val="24"/>
          <w:szCs w:val="24"/>
        </w:rPr>
        <w:t>agencies</w:t>
      </w:r>
      <w:r w:rsidR="00E1501A">
        <w:rPr>
          <w:rFonts w:asciiTheme="majorBidi" w:hAnsiTheme="majorBidi" w:cstheme="majorBidi"/>
          <w:sz w:val="24"/>
          <w:szCs w:val="24"/>
        </w:rPr>
        <w:t xml:space="preserve"> </w:t>
      </w:r>
      <w:r w:rsidR="0076332D" w:rsidRPr="00EF7113">
        <w:rPr>
          <w:rFonts w:asciiTheme="majorBidi" w:hAnsiTheme="majorBidi" w:cstheme="majorBidi"/>
          <w:sz w:val="24"/>
          <w:szCs w:val="24"/>
        </w:rPr>
        <w:t>(Flinders and Skel</w:t>
      </w:r>
      <w:r w:rsidR="005939E8">
        <w:rPr>
          <w:rFonts w:asciiTheme="majorBidi" w:hAnsiTheme="majorBidi" w:cstheme="majorBidi"/>
          <w:sz w:val="24"/>
          <w:szCs w:val="24"/>
        </w:rPr>
        <w:t xml:space="preserve">cher 2012; </w:t>
      </w:r>
      <w:r w:rsidR="0076332D" w:rsidRPr="00EF7113">
        <w:rPr>
          <w:rFonts w:asciiTheme="majorBidi" w:hAnsiTheme="majorBidi" w:cstheme="majorBidi"/>
          <w:sz w:val="24"/>
          <w:szCs w:val="24"/>
        </w:rPr>
        <w:t>Flinders et al. 2014)</w:t>
      </w:r>
      <w:r w:rsidR="00E1501A">
        <w:rPr>
          <w:rFonts w:asciiTheme="majorBidi" w:hAnsiTheme="majorBidi" w:cstheme="majorBidi"/>
          <w:sz w:val="24"/>
          <w:szCs w:val="24"/>
        </w:rPr>
        <w:t xml:space="preserve">. </w:t>
      </w:r>
      <w:r>
        <w:rPr>
          <w:rFonts w:asciiTheme="majorBidi" w:hAnsiTheme="majorBidi" w:cstheme="majorBidi"/>
          <w:sz w:val="24"/>
          <w:szCs w:val="24"/>
        </w:rPr>
        <w:t>A</w:t>
      </w:r>
      <w:r w:rsidR="000F68B0" w:rsidRPr="00EF7113">
        <w:rPr>
          <w:rFonts w:asciiTheme="majorBidi" w:hAnsiTheme="majorBidi" w:cstheme="majorBidi"/>
          <w:sz w:val="24"/>
          <w:szCs w:val="24"/>
        </w:rPr>
        <w:t xml:space="preserve"> critical review of this literature </w:t>
      </w:r>
      <w:r w:rsidR="003C17AB">
        <w:rPr>
          <w:rFonts w:asciiTheme="majorBidi" w:hAnsiTheme="majorBidi" w:cstheme="majorBidi"/>
          <w:sz w:val="24"/>
          <w:szCs w:val="24"/>
        </w:rPr>
        <w:t>suggests</w:t>
      </w:r>
      <w:r w:rsidR="000F68B0" w:rsidRPr="00EF7113">
        <w:rPr>
          <w:rFonts w:asciiTheme="majorBidi" w:hAnsiTheme="majorBidi" w:cstheme="majorBidi"/>
          <w:sz w:val="24"/>
          <w:szCs w:val="24"/>
        </w:rPr>
        <w:t xml:space="preserve"> that issues of </w:t>
      </w:r>
      <w:r w:rsidR="000F68B0" w:rsidRPr="00EF7113">
        <w:rPr>
          <w:rFonts w:asciiTheme="majorBidi" w:hAnsiTheme="majorBidi" w:cstheme="majorBidi"/>
          <w:i/>
          <w:iCs/>
          <w:sz w:val="24"/>
          <w:szCs w:val="24"/>
        </w:rPr>
        <w:t>salience</w:t>
      </w:r>
      <w:r w:rsidR="000F68B0" w:rsidRPr="00EF7113">
        <w:rPr>
          <w:rFonts w:asciiTheme="majorBidi" w:hAnsiTheme="majorBidi" w:cstheme="majorBidi"/>
          <w:sz w:val="24"/>
          <w:szCs w:val="24"/>
        </w:rPr>
        <w:t xml:space="preserve">, </w:t>
      </w:r>
      <w:r w:rsidR="000F68B0" w:rsidRPr="00EF7113">
        <w:rPr>
          <w:rFonts w:asciiTheme="majorBidi" w:hAnsiTheme="majorBidi" w:cstheme="majorBidi"/>
          <w:i/>
          <w:iCs/>
          <w:sz w:val="24"/>
          <w:szCs w:val="24"/>
        </w:rPr>
        <w:t>scope</w:t>
      </w:r>
      <w:r w:rsidR="000F68B0" w:rsidRPr="00EF7113">
        <w:rPr>
          <w:rFonts w:asciiTheme="majorBidi" w:hAnsiTheme="majorBidi" w:cstheme="majorBidi"/>
          <w:sz w:val="24"/>
          <w:szCs w:val="24"/>
        </w:rPr>
        <w:t xml:space="preserve"> and </w:t>
      </w:r>
      <w:r w:rsidR="000F68B0" w:rsidRPr="00EF7113">
        <w:rPr>
          <w:rFonts w:asciiTheme="majorBidi" w:hAnsiTheme="majorBidi" w:cstheme="majorBidi"/>
          <w:i/>
          <w:iCs/>
          <w:sz w:val="24"/>
          <w:szCs w:val="24"/>
        </w:rPr>
        <w:t>standing</w:t>
      </w:r>
      <w:r w:rsidR="000F68B0" w:rsidRPr="00EF7113">
        <w:rPr>
          <w:rFonts w:asciiTheme="majorBidi" w:hAnsiTheme="majorBidi" w:cstheme="majorBidi"/>
          <w:sz w:val="24"/>
          <w:szCs w:val="24"/>
        </w:rPr>
        <w:t xml:space="preserve"> are particularly crucial </w:t>
      </w:r>
      <w:r>
        <w:rPr>
          <w:rFonts w:asciiTheme="majorBidi" w:hAnsiTheme="majorBidi" w:cstheme="majorBidi"/>
          <w:sz w:val="24"/>
          <w:szCs w:val="24"/>
        </w:rPr>
        <w:t>to</w:t>
      </w:r>
      <w:r w:rsidR="000F68B0" w:rsidRPr="00EF7113">
        <w:rPr>
          <w:rFonts w:asciiTheme="majorBidi" w:hAnsiTheme="majorBidi" w:cstheme="majorBidi"/>
          <w:sz w:val="24"/>
          <w:szCs w:val="24"/>
        </w:rPr>
        <w:t xml:space="preserve"> explain the</w:t>
      </w:r>
      <w:r w:rsidR="00E1501A">
        <w:rPr>
          <w:rFonts w:asciiTheme="majorBidi" w:hAnsiTheme="majorBidi" w:cstheme="majorBidi"/>
          <w:sz w:val="24"/>
          <w:szCs w:val="24"/>
        </w:rPr>
        <w:t>ir</w:t>
      </w:r>
      <w:r w:rsidR="000F68B0" w:rsidRPr="00EF7113">
        <w:rPr>
          <w:rFonts w:asciiTheme="majorBidi" w:hAnsiTheme="majorBidi" w:cstheme="majorBidi"/>
          <w:sz w:val="24"/>
          <w:szCs w:val="24"/>
        </w:rPr>
        <w:t xml:space="preserve"> success. </w:t>
      </w:r>
    </w:p>
    <w:p w14:paraId="1BC54206" w14:textId="64FF6100" w:rsidR="00DC0A9F" w:rsidRDefault="00664694" w:rsidP="00A275BB">
      <w:pPr>
        <w:spacing w:line="480" w:lineRule="auto"/>
        <w:rPr>
          <w:rFonts w:asciiTheme="majorBidi" w:hAnsiTheme="majorBidi" w:cstheme="majorBidi"/>
          <w:i/>
          <w:iCs/>
          <w:sz w:val="24"/>
          <w:szCs w:val="24"/>
        </w:rPr>
      </w:pPr>
      <w:r>
        <w:rPr>
          <w:rFonts w:asciiTheme="majorBidi" w:hAnsiTheme="majorBidi" w:cstheme="majorBidi"/>
          <w:i/>
          <w:iCs/>
          <w:sz w:val="24"/>
          <w:szCs w:val="24"/>
        </w:rPr>
        <w:lastRenderedPageBreak/>
        <w:t>Salience</w:t>
      </w:r>
      <w:r w:rsidR="00DC0A9F">
        <w:rPr>
          <w:rFonts w:asciiTheme="majorBidi" w:hAnsiTheme="majorBidi" w:cstheme="majorBidi"/>
          <w:i/>
          <w:iCs/>
          <w:sz w:val="24"/>
          <w:szCs w:val="24"/>
        </w:rPr>
        <w:t xml:space="preserve">: </w:t>
      </w:r>
      <w:r w:rsidR="00261D64">
        <w:rPr>
          <w:rFonts w:asciiTheme="majorBidi" w:hAnsiTheme="majorBidi" w:cstheme="majorBidi"/>
          <w:i/>
          <w:iCs/>
          <w:sz w:val="24"/>
          <w:szCs w:val="24"/>
        </w:rPr>
        <w:t>T</w:t>
      </w:r>
      <w:r w:rsidR="00DC0A9F">
        <w:rPr>
          <w:rFonts w:asciiTheme="majorBidi" w:hAnsiTheme="majorBidi" w:cstheme="majorBidi"/>
          <w:i/>
          <w:iCs/>
          <w:sz w:val="24"/>
          <w:szCs w:val="24"/>
        </w:rPr>
        <w:t xml:space="preserve">he extent to </w:t>
      </w:r>
      <w:r w:rsidR="00E1501A">
        <w:rPr>
          <w:rFonts w:asciiTheme="majorBidi" w:hAnsiTheme="majorBidi" w:cstheme="majorBidi"/>
          <w:i/>
          <w:iCs/>
          <w:sz w:val="24"/>
          <w:szCs w:val="24"/>
        </w:rPr>
        <w:t xml:space="preserve">which </w:t>
      </w:r>
      <w:r w:rsidR="00DC0A9F">
        <w:rPr>
          <w:rFonts w:asciiTheme="majorBidi" w:hAnsiTheme="majorBidi" w:cstheme="majorBidi"/>
          <w:i/>
          <w:iCs/>
          <w:sz w:val="24"/>
          <w:szCs w:val="24"/>
        </w:rPr>
        <w:t>the substantive area in which an agency works is politicised by controversial media coverage or association with partisan alignment.</w:t>
      </w:r>
      <w:r w:rsidR="000F68B0" w:rsidRPr="00EF7113">
        <w:rPr>
          <w:rFonts w:asciiTheme="majorBidi" w:hAnsiTheme="majorBidi" w:cstheme="majorBidi"/>
          <w:i/>
          <w:iCs/>
          <w:sz w:val="24"/>
          <w:szCs w:val="24"/>
        </w:rPr>
        <w:t> </w:t>
      </w:r>
    </w:p>
    <w:p w14:paraId="10B6109A" w14:textId="502A7919" w:rsidR="000F68B0" w:rsidRPr="00EF7113" w:rsidRDefault="003C17AB" w:rsidP="00A275BB">
      <w:pPr>
        <w:spacing w:line="480" w:lineRule="auto"/>
        <w:rPr>
          <w:rFonts w:asciiTheme="majorBidi" w:hAnsiTheme="majorBidi" w:cstheme="majorBidi"/>
          <w:sz w:val="24"/>
          <w:szCs w:val="24"/>
        </w:rPr>
      </w:pPr>
      <w:r>
        <w:rPr>
          <w:rFonts w:asciiTheme="majorBidi" w:hAnsiTheme="majorBidi" w:cstheme="majorBidi"/>
          <w:sz w:val="24"/>
          <w:szCs w:val="24"/>
        </w:rPr>
        <w:t>G</w:t>
      </w:r>
      <w:r w:rsidR="000F68B0" w:rsidRPr="00EF7113">
        <w:rPr>
          <w:rFonts w:asciiTheme="majorBidi" w:hAnsiTheme="majorBidi" w:cstheme="majorBidi"/>
          <w:sz w:val="24"/>
          <w:szCs w:val="24"/>
        </w:rPr>
        <w:t xml:space="preserve">overnments </w:t>
      </w:r>
      <w:r w:rsidRPr="007A36AE">
        <w:rPr>
          <w:rFonts w:asciiTheme="majorBidi" w:hAnsiTheme="majorBidi" w:cstheme="majorBidi"/>
          <w:i/>
          <w:sz w:val="24"/>
          <w:szCs w:val="24"/>
        </w:rPr>
        <w:t>appear</w:t>
      </w:r>
      <w:r w:rsidR="000F68B0" w:rsidRPr="00EF7113">
        <w:rPr>
          <w:rFonts w:asciiTheme="majorBidi" w:hAnsiTheme="majorBidi" w:cstheme="majorBidi"/>
          <w:sz w:val="24"/>
          <w:szCs w:val="24"/>
        </w:rPr>
        <w:t xml:space="preserve"> less likely to surrender control to an agency in the context </w:t>
      </w:r>
      <w:r>
        <w:rPr>
          <w:rFonts w:asciiTheme="majorBidi" w:hAnsiTheme="majorBidi" w:cstheme="majorBidi"/>
          <w:sz w:val="24"/>
          <w:szCs w:val="24"/>
        </w:rPr>
        <w:t xml:space="preserve">of a politically salient issue. Further, </w:t>
      </w:r>
      <w:r w:rsidR="000F68B0" w:rsidRPr="00EF7113">
        <w:rPr>
          <w:rFonts w:asciiTheme="majorBidi" w:hAnsiTheme="majorBidi" w:cstheme="majorBidi"/>
          <w:sz w:val="24"/>
          <w:szCs w:val="24"/>
        </w:rPr>
        <w:t>actors within and outside government are more likely to impugn the legitimacy of existing agencies that intersect</w:t>
      </w:r>
      <w:r w:rsidR="005C0A15" w:rsidRPr="00EF7113">
        <w:rPr>
          <w:rFonts w:asciiTheme="majorBidi" w:hAnsiTheme="majorBidi" w:cstheme="majorBidi"/>
          <w:sz w:val="24"/>
          <w:szCs w:val="24"/>
        </w:rPr>
        <w:t xml:space="preserve"> with salient political issues, </w:t>
      </w:r>
      <w:r w:rsidR="000F68B0" w:rsidRPr="00EF7113">
        <w:rPr>
          <w:rFonts w:asciiTheme="majorBidi" w:hAnsiTheme="majorBidi" w:cstheme="majorBidi"/>
          <w:sz w:val="24"/>
          <w:szCs w:val="24"/>
        </w:rPr>
        <w:t>particularly if their genesis is associated with a rival party</w:t>
      </w:r>
      <w:r w:rsidR="001D41BF" w:rsidRPr="00EF7113">
        <w:rPr>
          <w:rFonts w:asciiTheme="majorBidi" w:hAnsiTheme="majorBidi" w:cstheme="majorBidi"/>
          <w:sz w:val="24"/>
          <w:szCs w:val="24"/>
        </w:rPr>
        <w:t xml:space="preserve"> (Koop 2011; </w:t>
      </w:r>
      <w:r w:rsidR="00706F9F" w:rsidRPr="00EF7113">
        <w:rPr>
          <w:rFonts w:asciiTheme="majorBidi" w:hAnsiTheme="majorBidi" w:cstheme="majorBidi"/>
          <w:sz w:val="24"/>
          <w:szCs w:val="24"/>
        </w:rPr>
        <w:t xml:space="preserve">Park 2013; </w:t>
      </w:r>
      <w:r w:rsidR="001D41BF" w:rsidRPr="00EF7113">
        <w:rPr>
          <w:rFonts w:asciiTheme="majorBidi" w:hAnsiTheme="majorBidi" w:cstheme="majorBidi"/>
          <w:sz w:val="24"/>
          <w:szCs w:val="24"/>
        </w:rPr>
        <w:t>Bertelli et al. 201</w:t>
      </w:r>
      <w:r w:rsidR="0076332D" w:rsidRPr="00EF7113">
        <w:rPr>
          <w:rFonts w:asciiTheme="majorBidi" w:hAnsiTheme="majorBidi" w:cstheme="majorBidi"/>
          <w:sz w:val="24"/>
          <w:szCs w:val="24"/>
        </w:rPr>
        <w:t>5;</w:t>
      </w:r>
      <w:r w:rsidR="00706F9F" w:rsidRPr="00EF7113">
        <w:rPr>
          <w:rFonts w:asciiTheme="majorBidi" w:hAnsiTheme="majorBidi" w:cstheme="majorBidi"/>
          <w:sz w:val="24"/>
          <w:szCs w:val="24"/>
        </w:rPr>
        <w:t xml:space="preserve"> James et al. 2</w:t>
      </w:r>
      <w:r w:rsidR="005939E8">
        <w:rPr>
          <w:rFonts w:asciiTheme="majorBidi" w:hAnsiTheme="majorBidi" w:cstheme="majorBidi"/>
          <w:sz w:val="24"/>
          <w:szCs w:val="24"/>
        </w:rPr>
        <w:t>016</w:t>
      </w:r>
      <w:r>
        <w:rPr>
          <w:rFonts w:asciiTheme="majorBidi" w:hAnsiTheme="majorBidi" w:cstheme="majorBidi"/>
          <w:sz w:val="24"/>
          <w:szCs w:val="24"/>
        </w:rPr>
        <w:t xml:space="preserve">). Yet, </w:t>
      </w:r>
      <w:r w:rsidR="000F68B0" w:rsidRPr="00EF7113">
        <w:rPr>
          <w:rFonts w:asciiTheme="majorBidi" w:hAnsiTheme="majorBidi" w:cstheme="majorBidi"/>
          <w:sz w:val="24"/>
          <w:szCs w:val="24"/>
        </w:rPr>
        <w:t xml:space="preserve">agencies </w:t>
      </w:r>
      <w:r>
        <w:rPr>
          <w:rFonts w:asciiTheme="majorBidi" w:hAnsiTheme="majorBidi" w:cstheme="majorBidi"/>
          <w:sz w:val="24"/>
          <w:szCs w:val="24"/>
        </w:rPr>
        <w:t>are also</w:t>
      </w:r>
      <w:r w:rsidR="000F68B0" w:rsidRPr="00EF7113">
        <w:rPr>
          <w:rFonts w:asciiTheme="majorBidi" w:hAnsiTheme="majorBidi" w:cstheme="majorBidi"/>
          <w:sz w:val="24"/>
          <w:szCs w:val="24"/>
        </w:rPr>
        <w:t xml:space="preserve"> ‘useful’ </w:t>
      </w:r>
      <w:r>
        <w:rPr>
          <w:rFonts w:asciiTheme="majorBidi" w:hAnsiTheme="majorBidi" w:cstheme="majorBidi"/>
          <w:sz w:val="24"/>
          <w:szCs w:val="24"/>
        </w:rPr>
        <w:t>when</w:t>
      </w:r>
      <w:r w:rsidR="000F68B0" w:rsidRPr="00EF7113">
        <w:rPr>
          <w:rFonts w:asciiTheme="majorBidi" w:hAnsiTheme="majorBidi" w:cstheme="majorBidi"/>
          <w:sz w:val="24"/>
          <w:szCs w:val="24"/>
        </w:rPr>
        <w:t xml:space="preserve"> they </w:t>
      </w:r>
      <w:r>
        <w:rPr>
          <w:rFonts w:asciiTheme="majorBidi" w:hAnsiTheme="majorBidi" w:cstheme="majorBidi"/>
          <w:sz w:val="24"/>
          <w:szCs w:val="24"/>
        </w:rPr>
        <w:t xml:space="preserve">help </w:t>
      </w:r>
      <w:r w:rsidR="000F68B0" w:rsidRPr="00EF7113">
        <w:rPr>
          <w:rFonts w:asciiTheme="majorBidi" w:hAnsiTheme="majorBidi" w:cstheme="majorBidi"/>
          <w:sz w:val="24"/>
          <w:szCs w:val="24"/>
        </w:rPr>
        <w:t>d</w:t>
      </w:r>
      <w:r>
        <w:rPr>
          <w:rFonts w:asciiTheme="majorBidi" w:hAnsiTheme="majorBidi" w:cstheme="majorBidi"/>
          <w:sz w:val="24"/>
          <w:szCs w:val="24"/>
        </w:rPr>
        <w:t xml:space="preserve">epoliticise contentious issues; governments portray </w:t>
      </w:r>
      <w:r w:rsidR="000F68B0" w:rsidRPr="00EF7113">
        <w:rPr>
          <w:rFonts w:asciiTheme="majorBidi" w:hAnsiTheme="majorBidi" w:cstheme="majorBidi"/>
          <w:sz w:val="24"/>
          <w:szCs w:val="24"/>
        </w:rPr>
        <w:t>the issue as above party politics and ‘kick it to the long grass’ to insulate themselves from blame</w:t>
      </w:r>
      <w:r>
        <w:rPr>
          <w:rFonts w:asciiTheme="majorBidi" w:hAnsiTheme="majorBidi" w:cstheme="majorBidi"/>
          <w:sz w:val="24"/>
          <w:szCs w:val="24"/>
        </w:rPr>
        <w:t xml:space="preserve"> (</w:t>
      </w:r>
      <w:r w:rsidR="000329B3" w:rsidRPr="00EF7113">
        <w:rPr>
          <w:rFonts w:asciiTheme="majorBidi" w:hAnsiTheme="majorBidi" w:cstheme="majorBidi"/>
          <w:sz w:val="24"/>
          <w:szCs w:val="24"/>
        </w:rPr>
        <w:t xml:space="preserve">Hood 2002; </w:t>
      </w:r>
      <w:r w:rsidR="005C0A15" w:rsidRPr="00EF7113">
        <w:rPr>
          <w:rFonts w:asciiTheme="majorBidi" w:hAnsiTheme="majorBidi" w:cstheme="majorBidi"/>
          <w:sz w:val="24"/>
          <w:szCs w:val="24"/>
        </w:rPr>
        <w:t>Flinders 2008</w:t>
      </w:r>
      <w:r w:rsidR="00A275BB">
        <w:rPr>
          <w:rFonts w:asciiTheme="majorBidi" w:hAnsiTheme="majorBidi" w:cstheme="majorBidi"/>
          <w:sz w:val="24"/>
          <w:szCs w:val="24"/>
        </w:rPr>
        <w:t>; Lavertu 2015</w:t>
      </w:r>
      <w:r w:rsidR="005C0A15" w:rsidRPr="00EF7113">
        <w:rPr>
          <w:rFonts w:asciiTheme="majorBidi" w:hAnsiTheme="majorBidi" w:cstheme="majorBidi"/>
          <w:sz w:val="24"/>
          <w:szCs w:val="24"/>
        </w:rPr>
        <w:t>)</w:t>
      </w:r>
      <w:r w:rsidR="000F68B0" w:rsidRPr="00EF7113">
        <w:rPr>
          <w:rFonts w:asciiTheme="majorBidi" w:hAnsiTheme="majorBidi" w:cstheme="majorBidi"/>
          <w:sz w:val="24"/>
          <w:szCs w:val="24"/>
        </w:rPr>
        <w:t xml:space="preserve">.  Recent case research </w:t>
      </w:r>
      <w:r w:rsidR="007A36AE">
        <w:rPr>
          <w:rFonts w:asciiTheme="majorBidi" w:hAnsiTheme="majorBidi" w:cstheme="majorBidi"/>
          <w:sz w:val="24"/>
          <w:szCs w:val="24"/>
        </w:rPr>
        <w:t>shows how</w:t>
      </w:r>
      <w:r w:rsidR="000F68B0" w:rsidRPr="00EF7113">
        <w:rPr>
          <w:rFonts w:asciiTheme="majorBidi" w:hAnsiTheme="majorBidi" w:cstheme="majorBidi"/>
          <w:sz w:val="24"/>
          <w:szCs w:val="24"/>
        </w:rPr>
        <w:t xml:space="preserve"> these dynamics intersect in messy ways. Wood’s </w:t>
      </w:r>
      <w:r w:rsidR="0076332D" w:rsidRPr="00EF7113">
        <w:rPr>
          <w:rFonts w:asciiTheme="majorBidi" w:hAnsiTheme="majorBidi" w:cstheme="majorBidi"/>
          <w:sz w:val="24"/>
          <w:szCs w:val="24"/>
        </w:rPr>
        <w:t>(forthcoming)</w:t>
      </w:r>
      <w:r w:rsidR="000F68B0" w:rsidRPr="00EF7113">
        <w:rPr>
          <w:rFonts w:asciiTheme="majorBidi" w:hAnsiTheme="majorBidi" w:cstheme="majorBidi"/>
          <w:sz w:val="24"/>
          <w:szCs w:val="24"/>
        </w:rPr>
        <w:t xml:space="preserve"> comparative analysis of agencies </w:t>
      </w:r>
      <w:r w:rsidR="007A36AE">
        <w:rPr>
          <w:rFonts w:asciiTheme="majorBidi" w:hAnsiTheme="majorBidi" w:cstheme="majorBidi"/>
          <w:sz w:val="24"/>
          <w:szCs w:val="24"/>
        </w:rPr>
        <w:t xml:space="preserve">- </w:t>
      </w:r>
      <w:r w:rsidR="000F68B0" w:rsidRPr="00EF7113">
        <w:rPr>
          <w:rFonts w:asciiTheme="majorBidi" w:hAnsiTheme="majorBidi" w:cstheme="majorBidi"/>
          <w:sz w:val="24"/>
          <w:szCs w:val="24"/>
        </w:rPr>
        <w:t>devoted to environmental protection, health prior</w:t>
      </w:r>
      <w:r w:rsidR="007A36AE">
        <w:rPr>
          <w:rFonts w:asciiTheme="majorBidi" w:hAnsiTheme="majorBidi" w:cstheme="majorBidi"/>
          <w:sz w:val="24"/>
          <w:szCs w:val="24"/>
        </w:rPr>
        <w:t xml:space="preserve">itisation and water governance - </w:t>
      </w:r>
      <w:r w:rsidR="000F68B0" w:rsidRPr="00EF7113">
        <w:rPr>
          <w:rFonts w:asciiTheme="majorBidi" w:hAnsiTheme="majorBidi" w:cstheme="majorBidi"/>
          <w:sz w:val="24"/>
          <w:szCs w:val="24"/>
        </w:rPr>
        <w:t>reveals that increasing salience does not determine th</w:t>
      </w:r>
      <w:r w:rsidR="007A36AE">
        <w:rPr>
          <w:rFonts w:asciiTheme="majorBidi" w:hAnsiTheme="majorBidi" w:cstheme="majorBidi"/>
          <w:sz w:val="24"/>
          <w:szCs w:val="24"/>
        </w:rPr>
        <w:t xml:space="preserve">e fate of an agency either way. Rather, it </w:t>
      </w:r>
      <w:r w:rsidR="000F68B0" w:rsidRPr="00EF7113">
        <w:rPr>
          <w:rFonts w:asciiTheme="majorBidi" w:hAnsiTheme="majorBidi" w:cstheme="majorBidi"/>
          <w:sz w:val="24"/>
          <w:szCs w:val="24"/>
        </w:rPr>
        <w:t>presents actors with new challenges and opportunities</w:t>
      </w:r>
      <w:r w:rsidR="007A36AE">
        <w:rPr>
          <w:rFonts w:asciiTheme="majorBidi" w:hAnsiTheme="majorBidi" w:cstheme="majorBidi"/>
          <w:sz w:val="24"/>
          <w:szCs w:val="24"/>
        </w:rPr>
        <w:t>.</w:t>
      </w:r>
      <w:r w:rsidR="000F68B0" w:rsidRPr="00EF7113">
        <w:rPr>
          <w:rFonts w:asciiTheme="majorBidi" w:hAnsiTheme="majorBidi" w:cstheme="majorBidi"/>
          <w:sz w:val="24"/>
          <w:szCs w:val="24"/>
        </w:rPr>
        <w:t xml:space="preserve"> </w:t>
      </w:r>
      <w:r w:rsidR="007A36AE">
        <w:rPr>
          <w:rFonts w:asciiTheme="majorBidi" w:hAnsiTheme="majorBidi" w:cstheme="majorBidi"/>
          <w:sz w:val="24"/>
          <w:szCs w:val="24"/>
        </w:rPr>
        <w:t>Their response</w:t>
      </w:r>
      <w:r w:rsidR="000F68B0" w:rsidRPr="00EF7113">
        <w:rPr>
          <w:rFonts w:asciiTheme="majorBidi" w:hAnsiTheme="majorBidi" w:cstheme="majorBidi"/>
          <w:sz w:val="24"/>
          <w:szCs w:val="24"/>
        </w:rPr>
        <w:t xml:space="preserve"> </w:t>
      </w:r>
      <w:r w:rsidR="007A36AE">
        <w:rPr>
          <w:rFonts w:asciiTheme="majorBidi" w:hAnsiTheme="majorBidi" w:cstheme="majorBidi"/>
          <w:sz w:val="24"/>
          <w:szCs w:val="24"/>
        </w:rPr>
        <w:t xml:space="preserve">to different dynamics </w:t>
      </w:r>
      <w:r w:rsidR="000F68B0" w:rsidRPr="00EF7113">
        <w:rPr>
          <w:rFonts w:asciiTheme="majorBidi" w:hAnsiTheme="majorBidi" w:cstheme="majorBidi"/>
          <w:sz w:val="24"/>
          <w:szCs w:val="24"/>
        </w:rPr>
        <w:t>shapes the fut</w:t>
      </w:r>
      <w:r w:rsidR="007A36AE">
        <w:rPr>
          <w:rFonts w:asciiTheme="majorBidi" w:hAnsiTheme="majorBidi" w:cstheme="majorBidi"/>
          <w:sz w:val="24"/>
          <w:szCs w:val="24"/>
        </w:rPr>
        <w:t xml:space="preserve">ure political </w:t>
      </w:r>
      <w:r w:rsidR="000F68B0" w:rsidRPr="00EF7113">
        <w:rPr>
          <w:rFonts w:asciiTheme="majorBidi" w:hAnsiTheme="majorBidi" w:cstheme="majorBidi"/>
          <w:sz w:val="24"/>
          <w:szCs w:val="24"/>
        </w:rPr>
        <w:t xml:space="preserve">terrain. </w:t>
      </w:r>
      <w:r w:rsidR="007A36AE">
        <w:rPr>
          <w:rFonts w:asciiTheme="majorBidi" w:hAnsiTheme="majorBidi" w:cstheme="majorBidi"/>
          <w:sz w:val="24"/>
          <w:szCs w:val="24"/>
        </w:rPr>
        <w:t>Overall, to gain analytical purchase, we need to know what</w:t>
      </w:r>
      <w:r w:rsidR="000F68B0" w:rsidRPr="00EF7113">
        <w:rPr>
          <w:rFonts w:asciiTheme="majorBidi" w:hAnsiTheme="majorBidi" w:cstheme="majorBidi"/>
          <w:sz w:val="24"/>
          <w:szCs w:val="24"/>
        </w:rPr>
        <w:t xml:space="preserve"> salience means in practice</w:t>
      </w:r>
      <w:r w:rsidR="007A36AE">
        <w:rPr>
          <w:rFonts w:asciiTheme="majorBidi" w:hAnsiTheme="majorBidi" w:cstheme="majorBidi"/>
          <w:sz w:val="24"/>
          <w:szCs w:val="24"/>
        </w:rPr>
        <w:t>, when policymakers judge between competing incentives</w:t>
      </w:r>
      <w:r w:rsidR="000F68B0" w:rsidRPr="00EF7113">
        <w:rPr>
          <w:rFonts w:asciiTheme="majorBidi" w:hAnsiTheme="majorBidi" w:cstheme="majorBidi"/>
          <w:sz w:val="24"/>
          <w:szCs w:val="24"/>
        </w:rPr>
        <w:t>.</w:t>
      </w:r>
    </w:p>
    <w:p w14:paraId="271577D9" w14:textId="3439297F" w:rsidR="00DC0A9F" w:rsidRDefault="000F68B0" w:rsidP="00A275BB">
      <w:pPr>
        <w:spacing w:line="480" w:lineRule="auto"/>
        <w:rPr>
          <w:rFonts w:asciiTheme="majorBidi" w:hAnsiTheme="majorBidi" w:cstheme="majorBidi"/>
          <w:sz w:val="24"/>
          <w:szCs w:val="24"/>
        </w:rPr>
      </w:pPr>
      <w:r w:rsidRPr="00EF7113">
        <w:rPr>
          <w:rFonts w:asciiTheme="majorBidi" w:hAnsiTheme="majorBidi" w:cstheme="majorBidi"/>
          <w:i/>
          <w:iCs/>
          <w:sz w:val="24"/>
          <w:szCs w:val="24"/>
        </w:rPr>
        <w:t>Scope</w:t>
      </w:r>
      <w:r w:rsidR="00DC0A9F">
        <w:rPr>
          <w:rFonts w:asciiTheme="majorBidi" w:hAnsiTheme="majorBidi" w:cstheme="majorBidi"/>
          <w:sz w:val="24"/>
          <w:szCs w:val="24"/>
        </w:rPr>
        <w:t xml:space="preserve">: </w:t>
      </w:r>
      <w:r w:rsidR="00261D64">
        <w:rPr>
          <w:rFonts w:asciiTheme="majorBidi" w:hAnsiTheme="majorBidi" w:cstheme="majorBidi"/>
          <w:i/>
          <w:iCs/>
          <w:sz w:val="24"/>
          <w:szCs w:val="24"/>
        </w:rPr>
        <w:t>T</w:t>
      </w:r>
      <w:r w:rsidR="00DC0A9F" w:rsidRPr="00206413">
        <w:rPr>
          <w:rFonts w:asciiTheme="majorBidi" w:hAnsiTheme="majorBidi" w:cstheme="majorBidi"/>
          <w:i/>
          <w:iCs/>
          <w:sz w:val="24"/>
          <w:szCs w:val="24"/>
        </w:rPr>
        <w:t>he size of an agency’s policy remit, its overall budget and its staff.</w:t>
      </w:r>
    </w:p>
    <w:p w14:paraId="33A7A356" w14:textId="07861532" w:rsidR="000F68B0" w:rsidRPr="00EF7113" w:rsidRDefault="00AB26BE" w:rsidP="007B7101">
      <w:pPr>
        <w:spacing w:line="480" w:lineRule="auto"/>
        <w:rPr>
          <w:rFonts w:asciiTheme="majorBidi" w:hAnsiTheme="majorBidi" w:cstheme="majorBidi"/>
          <w:sz w:val="24"/>
          <w:szCs w:val="24"/>
        </w:rPr>
      </w:pPr>
      <w:r>
        <w:rPr>
          <w:rFonts w:asciiTheme="majorBidi" w:hAnsiTheme="majorBidi" w:cstheme="majorBidi"/>
          <w:sz w:val="24"/>
          <w:szCs w:val="24"/>
        </w:rPr>
        <w:t>T</w:t>
      </w:r>
      <w:r w:rsidR="000F68B0" w:rsidRPr="00EF7113">
        <w:rPr>
          <w:rFonts w:asciiTheme="majorBidi" w:hAnsiTheme="majorBidi" w:cstheme="majorBidi"/>
          <w:sz w:val="24"/>
          <w:szCs w:val="24"/>
        </w:rPr>
        <w:t xml:space="preserve">he prevailing logic </w:t>
      </w:r>
      <w:r>
        <w:rPr>
          <w:rFonts w:asciiTheme="majorBidi" w:hAnsiTheme="majorBidi" w:cstheme="majorBidi"/>
          <w:sz w:val="24"/>
          <w:szCs w:val="24"/>
        </w:rPr>
        <w:t>is</w:t>
      </w:r>
      <w:r w:rsidR="000F68B0" w:rsidRPr="00EF7113">
        <w:rPr>
          <w:rFonts w:asciiTheme="majorBidi" w:hAnsiTheme="majorBidi" w:cstheme="majorBidi"/>
          <w:sz w:val="24"/>
          <w:szCs w:val="24"/>
        </w:rPr>
        <w:t xml:space="preserve"> that a larger agency, with a wider range of responsibilities, bigger staff and larger budget, is likely to be more robust to the whims of government</w:t>
      </w:r>
      <w:r w:rsidR="000329B3" w:rsidRPr="00EF7113">
        <w:rPr>
          <w:rFonts w:asciiTheme="majorBidi" w:hAnsiTheme="majorBidi" w:cstheme="majorBidi"/>
          <w:sz w:val="24"/>
          <w:szCs w:val="24"/>
        </w:rPr>
        <w:t xml:space="preserve"> (</w:t>
      </w:r>
      <w:r w:rsidR="0076332D" w:rsidRPr="00EF7113">
        <w:rPr>
          <w:rFonts w:asciiTheme="majorBidi" w:hAnsiTheme="majorBidi" w:cstheme="majorBidi"/>
          <w:sz w:val="24"/>
          <w:szCs w:val="24"/>
        </w:rPr>
        <w:t xml:space="preserve">Lewis 2002; </w:t>
      </w:r>
      <w:r w:rsidR="000329B3" w:rsidRPr="00EF7113">
        <w:rPr>
          <w:rFonts w:asciiTheme="majorBidi" w:hAnsiTheme="majorBidi" w:cstheme="majorBidi"/>
          <w:sz w:val="24"/>
          <w:szCs w:val="24"/>
        </w:rPr>
        <w:t>Carpenter and Lewis 2004</w:t>
      </w:r>
      <w:r w:rsidR="0076332D" w:rsidRPr="00EF7113">
        <w:rPr>
          <w:rFonts w:asciiTheme="majorBidi" w:hAnsiTheme="majorBidi" w:cstheme="majorBidi"/>
          <w:sz w:val="24"/>
          <w:szCs w:val="24"/>
        </w:rPr>
        <w:t>; Berry et al. 2010</w:t>
      </w:r>
      <w:r w:rsidR="000329B3" w:rsidRPr="00EF7113">
        <w:rPr>
          <w:rFonts w:asciiTheme="majorBidi" w:hAnsiTheme="majorBidi" w:cstheme="majorBidi"/>
          <w:sz w:val="24"/>
          <w:szCs w:val="24"/>
        </w:rPr>
        <w:t>)</w:t>
      </w:r>
      <w:r w:rsidR="000F68B0" w:rsidRPr="00EF7113">
        <w:rPr>
          <w:rFonts w:asciiTheme="majorBidi" w:hAnsiTheme="majorBidi" w:cstheme="majorBidi"/>
          <w:sz w:val="24"/>
          <w:szCs w:val="24"/>
        </w:rPr>
        <w:t>. Yet</w:t>
      </w:r>
      <w:r>
        <w:rPr>
          <w:rFonts w:asciiTheme="majorBidi" w:hAnsiTheme="majorBidi" w:cstheme="majorBidi"/>
          <w:sz w:val="24"/>
          <w:szCs w:val="24"/>
        </w:rPr>
        <w:t>,</w:t>
      </w:r>
      <w:r w:rsidR="000F68B0" w:rsidRPr="00EF7113">
        <w:rPr>
          <w:rFonts w:asciiTheme="majorBidi" w:hAnsiTheme="majorBidi" w:cstheme="majorBidi"/>
          <w:sz w:val="24"/>
          <w:szCs w:val="24"/>
        </w:rPr>
        <w:t xml:space="preserve"> </w:t>
      </w:r>
      <w:r>
        <w:rPr>
          <w:rFonts w:asciiTheme="majorBidi" w:hAnsiTheme="majorBidi" w:cstheme="majorBidi"/>
          <w:sz w:val="24"/>
          <w:szCs w:val="24"/>
        </w:rPr>
        <w:t xml:space="preserve">the </w:t>
      </w:r>
      <w:r w:rsidR="000F68B0" w:rsidRPr="00EF7113">
        <w:rPr>
          <w:rFonts w:asciiTheme="majorBidi" w:hAnsiTheme="majorBidi" w:cstheme="majorBidi"/>
          <w:sz w:val="24"/>
          <w:szCs w:val="24"/>
        </w:rPr>
        <w:t xml:space="preserve">empirical evidence is </w:t>
      </w:r>
      <w:r>
        <w:rPr>
          <w:rFonts w:asciiTheme="majorBidi" w:hAnsiTheme="majorBidi" w:cstheme="majorBidi"/>
          <w:sz w:val="24"/>
          <w:szCs w:val="24"/>
        </w:rPr>
        <w:t>unclear</w:t>
      </w:r>
      <w:r w:rsidR="000329B3" w:rsidRPr="00EF7113">
        <w:rPr>
          <w:rFonts w:asciiTheme="majorBidi" w:hAnsiTheme="majorBidi" w:cstheme="majorBidi"/>
          <w:sz w:val="24"/>
          <w:szCs w:val="24"/>
        </w:rPr>
        <w:t xml:space="preserve"> (Boin et al. 2010</w:t>
      </w:r>
      <w:r w:rsidR="005C0A15" w:rsidRPr="00EF7113">
        <w:rPr>
          <w:rFonts w:asciiTheme="majorBidi" w:hAnsiTheme="majorBidi" w:cstheme="majorBidi"/>
          <w:sz w:val="24"/>
          <w:szCs w:val="24"/>
        </w:rPr>
        <w:t>)</w:t>
      </w:r>
      <w:r>
        <w:rPr>
          <w:rFonts w:asciiTheme="majorBidi" w:hAnsiTheme="majorBidi" w:cstheme="majorBidi"/>
          <w:sz w:val="24"/>
          <w:szCs w:val="24"/>
        </w:rPr>
        <w:t xml:space="preserve">. Further, </w:t>
      </w:r>
      <w:r w:rsidR="007B7101">
        <w:rPr>
          <w:rFonts w:asciiTheme="majorBidi" w:hAnsiTheme="majorBidi" w:cstheme="majorBidi"/>
          <w:sz w:val="24"/>
          <w:szCs w:val="24"/>
        </w:rPr>
        <w:t>interpretive</w:t>
      </w:r>
      <w:r w:rsidR="007B7101" w:rsidRPr="00EF7113">
        <w:rPr>
          <w:rFonts w:asciiTheme="majorBidi" w:hAnsiTheme="majorBidi" w:cstheme="majorBidi"/>
          <w:sz w:val="24"/>
          <w:szCs w:val="24"/>
        </w:rPr>
        <w:t xml:space="preserve"> </w:t>
      </w:r>
      <w:r w:rsidR="000F68B0" w:rsidRPr="00EF7113">
        <w:rPr>
          <w:rFonts w:asciiTheme="majorBidi" w:hAnsiTheme="majorBidi" w:cstheme="majorBidi"/>
          <w:sz w:val="24"/>
          <w:szCs w:val="24"/>
        </w:rPr>
        <w:t xml:space="preserve">research </w:t>
      </w:r>
      <w:r>
        <w:rPr>
          <w:rFonts w:asciiTheme="majorBidi" w:hAnsiTheme="majorBidi" w:cstheme="majorBidi"/>
          <w:sz w:val="24"/>
          <w:szCs w:val="24"/>
        </w:rPr>
        <w:t xml:space="preserve">shows that scope </w:t>
      </w:r>
      <w:r w:rsidR="000F68B0" w:rsidRPr="00EF7113">
        <w:rPr>
          <w:rFonts w:asciiTheme="majorBidi" w:hAnsiTheme="majorBidi" w:cstheme="majorBidi"/>
          <w:sz w:val="24"/>
          <w:szCs w:val="24"/>
        </w:rPr>
        <w:t>is not as objectively fixed and mea</w:t>
      </w:r>
      <w:r>
        <w:rPr>
          <w:rFonts w:asciiTheme="majorBidi" w:hAnsiTheme="majorBidi" w:cstheme="majorBidi"/>
          <w:sz w:val="24"/>
          <w:szCs w:val="24"/>
        </w:rPr>
        <w:t>surable as might be expected. T</w:t>
      </w:r>
      <w:r w:rsidR="000F68B0" w:rsidRPr="00EF7113">
        <w:rPr>
          <w:rFonts w:asciiTheme="majorBidi" w:hAnsiTheme="majorBidi" w:cstheme="majorBidi"/>
          <w:sz w:val="24"/>
          <w:szCs w:val="24"/>
        </w:rPr>
        <w:t xml:space="preserve">he remit and capacity of an agency </w:t>
      </w:r>
      <w:r>
        <w:rPr>
          <w:rFonts w:asciiTheme="majorBidi" w:hAnsiTheme="majorBidi" w:cstheme="majorBidi"/>
          <w:sz w:val="24"/>
          <w:szCs w:val="24"/>
        </w:rPr>
        <w:t>shifts</w:t>
      </w:r>
      <w:r w:rsidR="000F68B0" w:rsidRPr="00EF7113">
        <w:rPr>
          <w:rFonts w:asciiTheme="majorBidi" w:hAnsiTheme="majorBidi" w:cstheme="majorBidi"/>
          <w:sz w:val="24"/>
          <w:szCs w:val="24"/>
        </w:rPr>
        <w:t xml:space="preserve"> over time, and the trajec</w:t>
      </w:r>
      <w:r>
        <w:rPr>
          <w:rFonts w:asciiTheme="majorBidi" w:hAnsiTheme="majorBidi" w:cstheme="majorBidi"/>
          <w:sz w:val="24"/>
          <w:szCs w:val="24"/>
        </w:rPr>
        <w:t>tory of this movement feeds in</w:t>
      </w:r>
      <w:r w:rsidR="005D1B59">
        <w:rPr>
          <w:rFonts w:asciiTheme="majorBidi" w:hAnsiTheme="majorBidi" w:cstheme="majorBidi"/>
          <w:sz w:val="24"/>
          <w:szCs w:val="24"/>
        </w:rPr>
        <w:t>t</w:t>
      </w:r>
      <w:r w:rsidR="000F68B0" w:rsidRPr="00EF7113">
        <w:rPr>
          <w:rFonts w:asciiTheme="majorBidi" w:hAnsiTheme="majorBidi" w:cstheme="majorBidi"/>
          <w:sz w:val="24"/>
          <w:szCs w:val="24"/>
        </w:rPr>
        <w:t>o broader perceptions of its legitimacy</w:t>
      </w:r>
      <w:r w:rsidR="000F68B0" w:rsidRPr="00EF7113">
        <w:rPr>
          <w:rFonts w:asciiTheme="majorBidi" w:hAnsiTheme="majorBidi" w:cstheme="majorBidi"/>
          <w:color w:val="FF0000"/>
          <w:sz w:val="24"/>
          <w:szCs w:val="24"/>
        </w:rPr>
        <w:t xml:space="preserve">. </w:t>
      </w:r>
      <w:r w:rsidRPr="00AB26BE">
        <w:rPr>
          <w:rFonts w:asciiTheme="majorBidi" w:hAnsiTheme="majorBidi" w:cstheme="majorBidi"/>
          <w:sz w:val="24"/>
          <w:szCs w:val="24"/>
        </w:rPr>
        <w:t xml:space="preserve">For example, </w:t>
      </w:r>
      <w:r w:rsidR="000F68B0" w:rsidRPr="00EF7113">
        <w:rPr>
          <w:rFonts w:asciiTheme="majorBidi" w:hAnsiTheme="majorBidi" w:cstheme="majorBidi"/>
          <w:sz w:val="24"/>
          <w:szCs w:val="24"/>
        </w:rPr>
        <w:t xml:space="preserve">Corbett and Howard’s </w:t>
      </w:r>
      <w:r w:rsidR="005C0A15" w:rsidRPr="00EF7113">
        <w:rPr>
          <w:rFonts w:asciiTheme="majorBidi" w:hAnsiTheme="majorBidi" w:cstheme="majorBidi"/>
          <w:sz w:val="24"/>
          <w:szCs w:val="24"/>
        </w:rPr>
        <w:t xml:space="preserve">(2016) </w:t>
      </w:r>
      <w:r w:rsidR="000F68B0" w:rsidRPr="00EF7113">
        <w:rPr>
          <w:rFonts w:asciiTheme="majorBidi" w:hAnsiTheme="majorBidi" w:cstheme="majorBidi"/>
          <w:sz w:val="24"/>
          <w:szCs w:val="24"/>
        </w:rPr>
        <w:t>analysis of the fa</w:t>
      </w:r>
      <w:r w:rsidR="00B47A3D" w:rsidRPr="00EF7113">
        <w:rPr>
          <w:rFonts w:asciiTheme="majorBidi" w:hAnsiTheme="majorBidi" w:cstheme="majorBidi"/>
          <w:sz w:val="24"/>
          <w:szCs w:val="24"/>
        </w:rPr>
        <w:t>te of the Australian aid agency</w:t>
      </w:r>
      <w:r>
        <w:rPr>
          <w:rFonts w:asciiTheme="majorBidi" w:hAnsiTheme="majorBidi" w:cstheme="majorBidi"/>
          <w:sz w:val="24"/>
          <w:szCs w:val="24"/>
        </w:rPr>
        <w:t xml:space="preserve"> </w:t>
      </w:r>
      <w:r w:rsidR="000F68B0" w:rsidRPr="00EF7113">
        <w:rPr>
          <w:rFonts w:asciiTheme="majorBidi" w:hAnsiTheme="majorBidi" w:cstheme="majorBidi"/>
          <w:sz w:val="24"/>
          <w:szCs w:val="24"/>
        </w:rPr>
        <w:t>show</w:t>
      </w:r>
      <w:r>
        <w:rPr>
          <w:rFonts w:asciiTheme="majorBidi" w:hAnsiTheme="majorBidi" w:cstheme="majorBidi"/>
          <w:sz w:val="24"/>
          <w:szCs w:val="24"/>
        </w:rPr>
        <w:t>s</w:t>
      </w:r>
      <w:r w:rsidR="000F68B0" w:rsidRPr="00EF7113">
        <w:rPr>
          <w:rFonts w:asciiTheme="majorBidi" w:hAnsiTheme="majorBidi" w:cstheme="majorBidi"/>
          <w:sz w:val="24"/>
          <w:szCs w:val="24"/>
        </w:rPr>
        <w:t xml:space="preserve"> that the </w:t>
      </w:r>
      <w:r w:rsidR="000F68B0" w:rsidRPr="00EF7113">
        <w:rPr>
          <w:rFonts w:asciiTheme="majorBidi" w:hAnsiTheme="majorBidi" w:cstheme="majorBidi"/>
          <w:sz w:val="24"/>
          <w:szCs w:val="24"/>
        </w:rPr>
        <w:lastRenderedPageBreak/>
        <w:t xml:space="preserve">larger and better funded the agency became, the bigger the target it presented, bringing it into conflict with other government departments and </w:t>
      </w:r>
      <w:r w:rsidR="005A3FEF">
        <w:rPr>
          <w:rFonts w:asciiTheme="majorBidi" w:hAnsiTheme="majorBidi" w:cstheme="majorBidi"/>
          <w:sz w:val="24"/>
          <w:szCs w:val="24"/>
        </w:rPr>
        <w:t xml:space="preserve">making it </w:t>
      </w:r>
      <w:r>
        <w:rPr>
          <w:rFonts w:asciiTheme="majorBidi" w:hAnsiTheme="majorBidi" w:cstheme="majorBidi"/>
          <w:sz w:val="24"/>
          <w:szCs w:val="24"/>
        </w:rPr>
        <w:t xml:space="preserve">more vulnerable to </w:t>
      </w:r>
      <w:r w:rsidR="000F68B0" w:rsidRPr="00EF7113">
        <w:rPr>
          <w:rFonts w:asciiTheme="majorBidi" w:hAnsiTheme="majorBidi" w:cstheme="majorBidi"/>
          <w:sz w:val="24"/>
          <w:szCs w:val="24"/>
        </w:rPr>
        <w:t>partisan</w:t>
      </w:r>
      <w:r w:rsidR="00583AA2" w:rsidRPr="00EF7113">
        <w:rPr>
          <w:rFonts w:asciiTheme="majorBidi" w:hAnsiTheme="majorBidi" w:cstheme="majorBidi"/>
          <w:sz w:val="24"/>
          <w:szCs w:val="24"/>
        </w:rPr>
        <w:t xml:space="preserve"> politics</w:t>
      </w:r>
      <w:r w:rsidR="000F68B0" w:rsidRPr="00EF7113">
        <w:rPr>
          <w:rFonts w:asciiTheme="majorBidi" w:hAnsiTheme="majorBidi" w:cstheme="majorBidi"/>
          <w:sz w:val="24"/>
          <w:szCs w:val="24"/>
        </w:rPr>
        <w:t xml:space="preserve">. </w:t>
      </w:r>
    </w:p>
    <w:p w14:paraId="7733734D" w14:textId="0FF9C794" w:rsidR="00DC0A9F" w:rsidRDefault="000F68B0" w:rsidP="00A275BB">
      <w:pPr>
        <w:spacing w:line="480" w:lineRule="auto"/>
        <w:rPr>
          <w:rFonts w:asciiTheme="majorBidi" w:hAnsiTheme="majorBidi" w:cstheme="majorBidi"/>
          <w:sz w:val="24"/>
          <w:szCs w:val="24"/>
        </w:rPr>
      </w:pPr>
      <w:r w:rsidRPr="00EF7113">
        <w:rPr>
          <w:rFonts w:asciiTheme="majorBidi" w:hAnsiTheme="majorBidi" w:cstheme="majorBidi"/>
          <w:i/>
          <w:iCs/>
          <w:sz w:val="24"/>
          <w:szCs w:val="24"/>
        </w:rPr>
        <w:t>Standing:</w:t>
      </w:r>
      <w:r w:rsidRPr="00EF7113">
        <w:rPr>
          <w:rFonts w:asciiTheme="majorBidi" w:hAnsiTheme="majorBidi" w:cstheme="majorBidi"/>
          <w:sz w:val="24"/>
          <w:szCs w:val="24"/>
        </w:rPr>
        <w:t> </w:t>
      </w:r>
      <w:r w:rsidR="00DC0A9F" w:rsidRPr="00206413">
        <w:rPr>
          <w:rFonts w:asciiTheme="majorBidi" w:hAnsiTheme="majorBidi" w:cstheme="majorBidi"/>
          <w:i/>
          <w:iCs/>
          <w:sz w:val="24"/>
          <w:szCs w:val="24"/>
        </w:rPr>
        <w:t xml:space="preserve"> </w:t>
      </w:r>
      <w:r w:rsidR="00E1501A">
        <w:rPr>
          <w:rFonts w:asciiTheme="majorBidi" w:hAnsiTheme="majorBidi" w:cstheme="majorBidi"/>
          <w:i/>
          <w:iCs/>
          <w:sz w:val="24"/>
          <w:szCs w:val="24"/>
        </w:rPr>
        <w:t xml:space="preserve">(a) </w:t>
      </w:r>
      <w:r w:rsidR="00DC0A9F" w:rsidRPr="00206413">
        <w:rPr>
          <w:rFonts w:asciiTheme="majorBidi" w:hAnsiTheme="majorBidi" w:cstheme="majorBidi"/>
          <w:i/>
          <w:iCs/>
          <w:sz w:val="24"/>
          <w:szCs w:val="24"/>
        </w:rPr>
        <w:t>the formal arrangements</w:t>
      </w:r>
      <w:r w:rsidR="00231EB6">
        <w:rPr>
          <w:rFonts w:asciiTheme="majorBidi" w:hAnsiTheme="majorBidi" w:cstheme="majorBidi"/>
          <w:i/>
          <w:iCs/>
          <w:sz w:val="24"/>
          <w:szCs w:val="24"/>
        </w:rPr>
        <w:t xml:space="preserve"> that</w:t>
      </w:r>
      <w:r w:rsidR="00DC0A9F">
        <w:rPr>
          <w:rFonts w:asciiTheme="majorBidi" w:hAnsiTheme="majorBidi" w:cstheme="majorBidi"/>
          <w:i/>
          <w:iCs/>
          <w:sz w:val="24"/>
          <w:szCs w:val="24"/>
        </w:rPr>
        <w:t xml:space="preserve"> structure the position and work of</w:t>
      </w:r>
      <w:r w:rsidR="00DC0A9F" w:rsidRPr="00206413">
        <w:rPr>
          <w:rFonts w:asciiTheme="majorBidi" w:hAnsiTheme="majorBidi" w:cstheme="majorBidi"/>
          <w:i/>
          <w:iCs/>
          <w:sz w:val="24"/>
          <w:szCs w:val="24"/>
        </w:rPr>
        <w:t xml:space="preserve"> an agency</w:t>
      </w:r>
      <w:r w:rsidR="00DC0A9F" w:rsidRPr="00DC0A9F">
        <w:rPr>
          <w:rFonts w:asciiTheme="majorBidi" w:hAnsiTheme="majorBidi" w:cstheme="majorBidi"/>
          <w:sz w:val="24"/>
          <w:szCs w:val="24"/>
        </w:rPr>
        <w:t xml:space="preserve"> and</w:t>
      </w:r>
      <w:r w:rsidR="00DC0A9F" w:rsidRPr="00206413">
        <w:rPr>
          <w:rFonts w:asciiTheme="majorBidi" w:hAnsiTheme="majorBidi" w:cstheme="majorBidi"/>
          <w:i/>
          <w:iCs/>
          <w:sz w:val="24"/>
          <w:szCs w:val="24"/>
        </w:rPr>
        <w:t xml:space="preserve"> </w:t>
      </w:r>
      <w:r w:rsidR="00E1501A">
        <w:rPr>
          <w:rFonts w:asciiTheme="majorBidi" w:hAnsiTheme="majorBidi" w:cstheme="majorBidi"/>
          <w:i/>
          <w:iCs/>
          <w:sz w:val="24"/>
          <w:szCs w:val="24"/>
        </w:rPr>
        <w:t>(b)</w:t>
      </w:r>
      <w:r w:rsidR="00DC0A9F" w:rsidRPr="00206413">
        <w:rPr>
          <w:rFonts w:asciiTheme="majorBidi" w:hAnsiTheme="majorBidi" w:cstheme="majorBidi"/>
          <w:i/>
          <w:iCs/>
          <w:sz w:val="24"/>
          <w:szCs w:val="24"/>
        </w:rPr>
        <w:t xml:space="preserve"> the informal or perceived legitimacy of the agency among key policy actors.</w:t>
      </w:r>
    </w:p>
    <w:p w14:paraId="4131E758" w14:textId="3DE7E00D" w:rsidR="000F68B0" w:rsidRPr="00EF7113" w:rsidRDefault="00504EF0" w:rsidP="007B7101">
      <w:pPr>
        <w:spacing w:line="480" w:lineRule="auto"/>
        <w:rPr>
          <w:rFonts w:asciiTheme="majorBidi" w:hAnsiTheme="majorBidi" w:cstheme="majorBidi"/>
          <w:sz w:val="24"/>
          <w:szCs w:val="24"/>
        </w:rPr>
      </w:pPr>
      <w:r>
        <w:rPr>
          <w:rFonts w:asciiTheme="majorBidi" w:hAnsiTheme="majorBidi" w:cstheme="majorBidi"/>
          <w:sz w:val="24"/>
          <w:szCs w:val="24"/>
        </w:rPr>
        <w:t>L</w:t>
      </w:r>
      <w:r w:rsidR="000F68B0" w:rsidRPr="00EF7113">
        <w:rPr>
          <w:rFonts w:asciiTheme="majorBidi" w:hAnsiTheme="majorBidi" w:cstheme="majorBidi"/>
          <w:sz w:val="24"/>
          <w:szCs w:val="24"/>
        </w:rPr>
        <w:t xml:space="preserve">arge-n research on agencies seeks to disentangle the effects of different formal </w:t>
      </w:r>
      <w:r w:rsidR="00F35706">
        <w:rPr>
          <w:rFonts w:asciiTheme="majorBidi" w:hAnsiTheme="majorBidi" w:cstheme="majorBidi"/>
          <w:sz w:val="24"/>
          <w:szCs w:val="24"/>
        </w:rPr>
        <w:t>arrangements</w:t>
      </w:r>
      <w:r w:rsidR="000F68B0" w:rsidRPr="00EF7113">
        <w:rPr>
          <w:rFonts w:asciiTheme="majorBidi" w:hAnsiTheme="majorBidi" w:cstheme="majorBidi"/>
          <w:sz w:val="24"/>
          <w:szCs w:val="24"/>
        </w:rPr>
        <w:t>. The idea is to test whether certain so</w:t>
      </w:r>
      <w:r>
        <w:rPr>
          <w:rFonts w:asciiTheme="majorBidi" w:hAnsiTheme="majorBidi" w:cstheme="majorBidi"/>
          <w:sz w:val="24"/>
          <w:szCs w:val="24"/>
        </w:rPr>
        <w:t xml:space="preserve">rts of agency </w:t>
      </w:r>
      <w:r w:rsidR="00F35706">
        <w:rPr>
          <w:rFonts w:asciiTheme="majorBidi" w:hAnsiTheme="majorBidi" w:cstheme="majorBidi"/>
          <w:sz w:val="24"/>
          <w:szCs w:val="24"/>
        </w:rPr>
        <w:t>configurations</w:t>
      </w:r>
      <w:r>
        <w:rPr>
          <w:rFonts w:asciiTheme="majorBidi" w:hAnsiTheme="majorBidi" w:cstheme="majorBidi"/>
          <w:sz w:val="24"/>
          <w:szCs w:val="24"/>
        </w:rPr>
        <w:t>—</w:t>
      </w:r>
      <w:r w:rsidR="000F68B0" w:rsidRPr="00EF7113">
        <w:rPr>
          <w:rFonts w:asciiTheme="majorBidi" w:hAnsiTheme="majorBidi" w:cstheme="majorBidi"/>
          <w:sz w:val="24"/>
          <w:szCs w:val="24"/>
        </w:rPr>
        <w:t xml:space="preserve"> conferring mo</w:t>
      </w:r>
      <w:r>
        <w:rPr>
          <w:rFonts w:asciiTheme="majorBidi" w:hAnsiTheme="majorBidi" w:cstheme="majorBidi"/>
          <w:sz w:val="24"/>
          <w:szCs w:val="24"/>
        </w:rPr>
        <w:t>re independence or less; possessing</w:t>
      </w:r>
      <w:r w:rsidR="000F68B0" w:rsidRPr="00EF7113">
        <w:rPr>
          <w:rFonts w:asciiTheme="majorBidi" w:hAnsiTheme="majorBidi" w:cstheme="majorBidi"/>
          <w:sz w:val="24"/>
          <w:szCs w:val="24"/>
        </w:rPr>
        <w:t xml:space="preserve"> decision-making functions </w:t>
      </w:r>
      <w:r>
        <w:rPr>
          <w:rFonts w:asciiTheme="majorBidi" w:hAnsiTheme="majorBidi" w:cstheme="majorBidi"/>
          <w:sz w:val="24"/>
          <w:szCs w:val="24"/>
        </w:rPr>
        <w:t>or</w:t>
      </w:r>
      <w:r w:rsidR="000F68B0" w:rsidRPr="00EF7113">
        <w:rPr>
          <w:rFonts w:asciiTheme="majorBidi" w:hAnsiTheme="majorBidi" w:cstheme="majorBidi"/>
          <w:sz w:val="24"/>
          <w:szCs w:val="24"/>
        </w:rPr>
        <w:t xml:space="preserve"> charged with implementation or mere scrutiny—enable greater success than others</w:t>
      </w:r>
      <w:r>
        <w:rPr>
          <w:rFonts w:asciiTheme="majorBidi" w:hAnsiTheme="majorBidi" w:cstheme="majorBidi"/>
          <w:sz w:val="24"/>
          <w:szCs w:val="24"/>
        </w:rPr>
        <w:t xml:space="preserve"> (</w:t>
      </w:r>
      <w:r w:rsidR="00706F9F" w:rsidRPr="00EF7113">
        <w:rPr>
          <w:rFonts w:asciiTheme="majorBidi" w:hAnsiTheme="majorBidi" w:cstheme="majorBidi"/>
          <w:sz w:val="24"/>
          <w:szCs w:val="24"/>
        </w:rPr>
        <w:t>Boin et al. 2010</w:t>
      </w:r>
      <w:r w:rsidR="001C1882" w:rsidRPr="00EF7113">
        <w:rPr>
          <w:rFonts w:asciiTheme="majorBidi" w:hAnsiTheme="majorBidi" w:cstheme="majorBidi"/>
          <w:sz w:val="24"/>
          <w:szCs w:val="24"/>
        </w:rPr>
        <w:t>; O’Leary 2015</w:t>
      </w:r>
      <w:r w:rsidR="00706F9F" w:rsidRPr="00EF7113">
        <w:rPr>
          <w:rFonts w:asciiTheme="majorBidi" w:hAnsiTheme="majorBidi" w:cstheme="majorBidi"/>
          <w:sz w:val="24"/>
          <w:szCs w:val="24"/>
        </w:rPr>
        <w:t xml:space="preserve">; </w:t>
      </w:r>
      <w:r w:rsidR="001C1882" w:rsidRPr="00EF7113">
        <w:rPr>
          <w:rFonts w:asciiTheme="majorBidi" w:hAnsiTheme="majorBidi" w:cstheme="majorBidi"/>
          <w:sz w:val="24"/>
          <w:szCs w:val="24"/>
        </w:rPr>
        <w:t>Bertelli and Sinclair 2016</w:t>
      </w:r>
      <w:r w:rsidR="00706F9F" w:rsidRPr="00EF7113">
        <w:rPr>
          <w:rFonts w:asciiTheme="majorBidi" w:hAnsiTheme="majorBidi" w:cstheme="majorBidi"/>
          <w:sz w:val="24"/>
          <w:szCs w:val="24"/>
        </w:rPr>
        <w:t>)</w:t>
      </w:r>
      <w:r w:rsidR="000F68B0" w:rsidRPr="00EF7113">
        <w:rPr>
          <w:rFonts w:asciiTheme="majorBidi" w:hAnsiTheme="majorBidi" w:cstheme="majorBidi"/>
          <w:sz w:val="24"/>
          <w:szCs w:val="24"/>
        </w:rPr>
        <w:t>. Empirical patterns are unclear</w:t>
      </w:r>
      <w:r w:rsidR="00706F9F" w:rsidRPr="00EF7113">
        <w:rPr>
          <w:rFonts w:asciiTheme="majorBidi" w:hAnsiTheme="majorBidi" w:cstheme="majorBidi"/>
          <w:sz w:val="24"/>
          <w:szCs w:val="24"/>
        </w:rPr>
        <w:t xml:space="preserve"> (</w:t>
      </w:r>
      <w:r w:rsidR="000329B3" w:rsidRPr="00EF7113">
        <w:rPr>
          <w:rFonts w:asciiTheme="majorBidi" w:hAnsiTheme="majorBidi" w:cstheme="majorBidi"/>
          <w:sz w:val="24"/>
          <w:szCs w:val="24"/>
        </w:rPr>
        <w:t xml:space="preserve">Verhoest et al. 2012). </w:t>
      </w:r>
      <w:r>
        <w:rPr>
          <w:rFonts w:asciiTheme="majorBidi" w:hAnsiTheme="majorBidi" w:cstheme="majorBidi"/>
          <w:sz w:val="24"/>
          <w:szCs w:val="24"/>
        </w:rPr>
        <w:t>Further,</w:t>
      </w:r>
      <w:r w:rsidR="000F68B0" w:rsidRPr="00EF7113">
        <w:rPr>
          <w:rFonts w:asciiTheme="majorBidi" w:hAnsiTheme="majorBidi" w:cstheme="majorBidi"/>
          <w:sz w:val="24"/>
          <w:szCs w:val="24"/>
        </w:rPr>
        <w:t xml:space="preserve"> </w:t>
      </w:r>
      <w:r w:rsidR="007B7101">
        <w:rPr>
          <w:rFonts w:asciiTheme="majorBidi" w:hAnsiTheme="majorBidi" w:cstheme="majorBidi"/>
          <w:sz w:val="24"/>
          <w:szCs w:val="24"/>
        </w:rPr>
        <w:t>interpretive</w:t>
      </w:r>
      <w:r w:rsidR="007B7101" w:rsidRPr="00EF7113">
        <w:rPr>
          <w:rFonts w:asciiTheme="majorBidi" w:hAnsiTheme="majorBidi" w:cstheme="majorBidi"/>
          <w:sz w:val="24"/>
          <w:szCs w:val="24"/>
        </w:rPr>
        <w:t xml:space="preserve"> </w:t>
      </w:r>
      <w:r w:rsidR="000F68B0" w:rsidRPr="00EF7113">
        <w:rPr>
          <w:rFonts w:asciiTheme="majorBidi" w:hAnsiTheme="majorBidi" w:cstheme="majorBidi"/>
          <w:sz w:val="24"/>
          <w:szCs w:val="24"/>
        </w:rPr>
        <w:t xml:space="preserve">work </w:t>
      </w:r>
      <w:r>
        <w:rPr>
          <w:rFonts w:asciiTheme="majorBidi" w:hAnsiTheme="majorBidi" w:cstheme="majorBidi"/>
          <w:sz w:val="24"/>
          <w:szCs w:val="24"/>
        </w:rPr>
        <w:t>flips this presumption on its head:</w:t>
      </w:r>
      <w:r w:rsidR="000F68B0" w:rsidRPr="00EF7113">
        <w:rPr>
          <w:rFonts w:asciiTheme="majorBidi" w:hAnsiTheme="majorBidi" w:cstheme="majorBidi"/>
          <w:sz w:val="24"/>
          <w:szCs w:val="24"/>
        </w:rPr>
        <w:t xml:space="preserve"> institutional configurations should not be seen as arbitrary variables that s</w:t>
      </w:r>
      <w:r>
        <w:rPr>
          <w:rFonts w:asciiTheme="majorBidi" w:hAnsiTheme="majorBidi" w:cstheme="majorBidi"/>
          <w:sz w:val="24"/>
          <w:szCs w:val="24"/>
        </w:rPr>
        <w:t>et in motion political dynamics. T</w:t>
      </w:r>
      <w:r w:rsidR="000F68B0" w:rsidRPr="00EF7113">
        <w:rPr>
          <w:rFonts w:asciiTheme="majorBidi" w:hAnsiTheme="majorBidi" w:cstheme="majorBidi"/>
          <w:sz w:val="24"/>
          <w:szCs w:val="24"/>
        </w:rPr>
        <w:t>hey are themselves products of political contestation</w:t>
      </w:r>
      <w:r w:rsidR="005C0A15" w:rsidRPr="00EF7113">
        <w:rPr>
          <w:rFonts w:asciiTheme="majorBidi" w:hAnsiTheme="majorBidi" w:cstheme="majorBidi"/>
          <w:sz w:val="24"/>
          <w:szCs w:val="24"/>
        </w:rPr>
        <w:t xml:space="preserve"> (Howard 2016)</w:t>
      </w:r>
      <w:r>
        <w:rPr>
          <w:rFonts w:asciiTheme="majorBidi" w:hAnsiTheme="majorBidi" w:cstheme="majorBidi"/>
          <w:sz w:val="24"/>
          <w:szCs w:val="24"/>
        </w:rPr>
        <w:t xml:space="preserve"> and </w:t>
      </w:r>
      <w:r w:rsidR="000F68B0" w:rsidRPr="00EF7113">
        <w:rPr>
          <w:rFonts w:asciiTheme="majorBidi" w:hAnsiTheme="majorBidi" w:cstheme="majorBidi"/>
          <w:sz w:val="24"/>
          <w:szCs w:val="24"/>
        </w:rPr>
        <w:t xml:space="preserve">not fixed and determining. They can shift in response to perceived success or failure. </w:t>
      </w:r>
      <w:r>
        <w:rPr>
          <w:rFonts w:asciiTheme="majorBidi" w:hAnsiTheme="majorBidi" w:cstheme="majorBidi"/>
          <w:sz w:val="24"/>
          <w:szCs w:val="24"/>
        </w:rPr>
        <w:t xml:space="preserve">For example, </w:t>
      </w:r>
      <w:r w:rsidR="000F68B0" w:rsidRPr="00EF7113">
        <w:rPr>
          <w:rFonts w:asciiTheme="majorBidi" w:hAnsiTheme="majorBidi" w:cstheme="majorBidi"/>
          <w:sz w:val="24"/>
          <w:szCs w:val="24"/>
        </w:rPr>
        <w:t xml:space="preserve">Boswell’s </w:t>
      </w:r>
      <w:r w:rsidR="00A275BB">
        <w:rPr>
          <w:rFonts w:asciiTheme="majorBidi" w:hAnsiTheme="majorBidi" w:cstheme="majorBidi"/>
          <w:sz w:val="24"/>
          <w:szCs w:val="24"/>
        </w:rPr>
        <w:t>(2018</w:t>
      </w:r>
      <w:r w:rsidR="005C0A15" w:rsidRPr="00EF7113">
        <w:rPr>
          <w:rFonts w:asciiTheme="majorBidi" w:hAnsiTheme="majorBidi" w:cstheme="majorBidi"/>
          <w:sz w:val="24"/>
          <w:szCs w:val="24"/>
        </w:rPr>
        <w:t xml:space="preserve">) </w:t>
      </w:r>
      <w:r w:rsidR="000F68B0" w:rsidRPr="00EF7113">
        <w:rPr>
          <w:rFonts w:asciiTheme="majorBidi" w:hAnsiTheme="majorBidi" w:cstheme="majorBidi"/>
          <w:sz w:val="24"/>
          <w:szCs w:val="24"/>
        </w:rPr>
        <w:t xml:space="preserve">account of the contrasting trajectories of </w:t>
      </w:r>
      <w:r w:rsidR="004D317B">
        <w:rPr>
          <w:rFonts w:asciiTheme="majorBidi" w:hAnsiTheme="majorBidi" w:cstheme="majorBidi"/>
          <w:sz w:val="24"/>
          <w:szCs w:val="24"/>
        </w:rPr>
        <w:t>two arms-length bodies in th</w:t>
      </w:r>
      <w:r w:rsidR="00F35706">
        <w:rPr>
          <w:rFonts w:asciiTheme="majorBidi" w:hAnsiTheme="majorBidi" w:cstheme="majorBidi"/>
          <w:sz w:val="24"/>
          <w:szCs w:val="24"/>
        </w:rPr>
        <w:t>e British health sector, shows</w:t>
      </w:r>
      <w:r w:rsidR="004D317B">
        <w:rPr>
          <w:rFonts w:asciiTheme="majorBidi" w:hAnsiTheme="majorBidi" w:cstheme="majorBidi"/>
          <w:sz w:val="24"/>
          <w:szCs w:val="24"/>
        </w:rPr>
        <w:t xml:space="preserve"> how legal standing</w:t>
      </w:r>
      <w:r w:rsidR="000F68B0" w:rsidRPr="00EF7113">
        <w:rPr>
          <w:rFonts w:asciiTheme="majorBidi" w:hAnsiTheme="majorBidi" w:cstheme="majorBidi"/>
          <w:sz w:val="24"/>
          <w:szCs w:val="24"/>
        </w:rPr>
        <w:t xml:space="preserve"> </w:t>
      </w:r>
      <w:r w:rsidR="00583AA2" w:rsidRPr="00EF7113">
        <w:rPr>
          <w:rFonts w:asciiTheme="majorBidi" w:hAnsiTheme="majorBidi" w:cstheme="majorBidi"/>
          <w:sz w:val="24"/>
          <w:szCs w:val="24"/>
        </w:rPr>
        <w:t>confers a</w:t>
      </w:r>
      <w:r w:rsidR="000F68B0" w:rsidRPr="00EF7113">
        <w:rPr>
          <w:rFonts w:asciiTheme="majorBidi" w:hAnsiTheme="majorBidi" w:cstheme="majorBidi"/>
          <w:sz w:val="24"/>
          <w:szCs w:val="24"/>
        </w:rPr>
        <w:t> </w:t>
      </w:r>
      <w:r w:rsidR="000F68B0" w:rsidRPr="00EF7113">
        <w:rPr>
          <w:rFonts w:asciiTheme="majorBidi" w:hAnsiTheme="majorBidi" w:cstheme="majorBidi"/>
          <w:i/>
          <w:iCs/>
          <w:sz w:val="24"/>
          <w:szCs w:val="24"/>
        </w:rPr>
        <w:t>formal </w:t>
      </w:r>
      <w:r w:rsidR="000F68B0" w:rsidRPr="00EF7113">
        <w:rPr>
          <w:rFonts w:asciiTheme="majorBidi" w:hAnsiTheme="majorBidi" w:cstheme="majorBidi"/>
          <w:sz w:val="24"/>
          <w:szCs w:val="24"/>
        </w:rPr>
        <w:t xml:space="preserve">authority that remains contingent on </w:t>
      </w:r>
      <w:r w:rsidR="000F68B0" w:rsidRPr="00EF7113">
        <w:rPr>
          <w:rFonts w:asciiTheme="majorBidi" w:hAnsiTheme="majorBidi" w:cstheme="majorBidi"/>
          <w:i/>
          <w:iCs/>
          <w:sz w:val="24"/>
          <w:szCs w:val="24"/>
        </w:rPr>
        <w:t>informal</w:t>
      </w:r>
      <w:r w:rsidR="000F68B0" w:rsidRPr="00EF7113">
        <w:rPr>
          <w:rFonts w:asciiTheme="majorBidi" w:hAnsiTheme="majorBidi" w:cstheme="majorBidi"/>
          <w:sz w:val="24"/>
          <w:szCs w:val="24"/>
        </w:rPr>
        <w:t xml:space="preserve"> legitimacy. </w:t>
      </w:r>
    </w:p>
    <w:p w14:paraId="39142C54" w14:textId="03F19835" w:rsidR="001B0D9A" w:rsidRDefault="007B7101" w:rsidP="00A275BB">
      <w:pPr>
        <w:spacing w:line="480" w:lineRule="auto"/>
        <w:rPr>
          <w:rFonts w:asciiTheme="majorBidi" w:hAnsiTheme="majorBidi" w:cstheme="majorBidi"/>
          <w:b/>
          <w:bCs/>
          <w:sz w:val="24"/>
          <w:szCs w:val="24"/>
        </w:rPr>
      </w:pPr>
      <w:r>
        <w:rPr>
          <w:rFonts w:asciiTheme="majorBidi" w:hAnsiTheme="majorBidi" w:cstheme="majorBidi"/>
          <w:sz w:val="24"/>
          <w:szCs w:val="24"/>
        </w:rPr>
        <w:t>Overall, then, there is great value in adopting an interpretive orientation in unpacking the effects of salience, scope and standing on agency performance and survival. Such an approach is ideally suited to explaining the complex dynamics underpinning the fate of newly formed preventative health agencies.</w:t>
      </w:r>
    </w:p>
    <w:p w14:paraId="312960F3" w14:textId="683A85F1" w:rsidR="000F68B0" w:rsidRPr="00EF7113" w:rsidRDefault="00806776" w:rsidP="00A275BB">
      <w:pPr>
        <w:spacing w:line="480" w:lineRule="auto"/>
        <w:rPr>
          <w:rFonts w:asciiTheme="majorBidi" w:hAnsiTheme="majorBidi" w:cstheme="majorBidi"/>
          <w:b/>
          <w:bCs/>
          <w:sz w:val="24"/>
          <w:szCs w:val="24"/>
        </w:rPr>
      </w:pPr>
      <w:r>
        <w:rPr>
          <w:rFonts w:asciiTheme="majorBidi" w:hAnsiTheme="majorBidi" w:cstheme="majorBidi"/>
          <w:b/>
          <w:bCs/>
          <w:sz w:val="24"/>
          <w:szCs w:val="24"/>
        </w:rPr>
        <w:t>Method: Case selection, data collection and interpretive analysis</w:t>
      </w:r>
    </w:p>
    <w:p w14:paraId="1B79258B" w14:textId="520D0A2B" w:rsidR="000F68B0" w:rsidRPr="00EF7113" w:rsidRDefault="000F68B0"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lastRenderedPageBreak/>
        <w:t xml:space="preserve">The empirical analysis draws on in-depth qualitative research across three cases – the Australian National Preventative Health Agency (ANPHA), New Zealand’s Health Promotion Agency (HPA) and Public Health England (PHE). In this section, we justify case selection, outline and reflect on the dataset, and </w:t>
      </w:r>
      <w:r w:rsidR="00F35706">
        <w:rPr>
          <w:rFonts w:asciiTheme="majorBidi" w:hAnsiTheme="majorBidi" w:cstheme="majorBidi"/>
          <w:sz w:val="24"/>
          <w:szCs w:val="24"/>
        </w:rPr>
        <w:t>explain</w:t>
      </w:r>
      <w:r w:rsidRPr="00EF7113">
        <w:rPr>
          <w:rFonts w:asciiTheme="majorBidi" w:hAnsiTheme="majorBidi" w:cstheme="majorBidi"/>
          <w:sz w:val="24"/>
          <w:szCs w:val="24"/>
        </w:rPr>
        <w:t xml:space="preserve"> the analytical </w:t>
      </w:r>
      <w:r w:rsidR="00845C79">
        <w:rPr>
          <w:rFonts w:asciiTheme="majorBidi" w:hAnsiTheme="majorBidi" w:cstheme="majorBidi"/>
          <w:sz w:val="24"/>
          <w:szCs w:val="24"/>
        </w:rPr>
        <w:t>process</w:t>
      </w:r>
      <w:r w:rsidRPr="00EF7113">
        <w:rPr>
          <w:rFonts w:asciiTheme="majorBidi" w:hAnsiTheme="majorBidi" w:cstheme="majorBidi"/>
          <w:sz w:val="24"/>
          <w:szCs w:val="24"/>
        </w:rPr>
        <w:t>.</w:t>
      </w:r>
    </w:p>
    <w:p w14:paraId="0F37EA5B" w14:textId="610FAA59" w:rsidR="000F68B0" w:rsidRPr="00EF7113" w:rsidRDefault="000F68B0"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One </w:t>
      </w:r>
      <w:r w:rsidR="00A52E6D">
        <w:rPr>
          <w:rFonts w:asciiTheme="majorBidi" w:hAnsiTheme="majorBidi" w:cstheme="majorBidi"/>
          <w:sz w:val="24"/>
          <w:szCs w:val="24"/>
        </w:rPr>
        <w:t>reason</w:t>
      </w:r>
      <w:r w:rsidRPr="00EF7113">
        <w:rPr>
          <w:rFonts w:asciiTheme="majorBidi" w:hAnsiTheme="majorBidi" w:cstheme="majorBidi"/>
          <w:sz w:val="24"/>
          <w:szCs w:val="24"/>
        </w:rPr>
        <w:t xml:space="preserve"> for drawing this comparison is the</w:t>
      </w:r>
      <w:r w:rsidR="00845C79">
        <w:rPr>
          <w:rFonts w:asciiTheme="majorBidi" w:hAnsiTheme="majorBidi" w:cstheme="majorBidi"/>
          <w:sz w:val="24"/>
          <w:szCs w:val="24"/>
        </w:rPr>
        <w:t xml:space="preserve"> c</w:t>
      </w:r>
      <w:r w:rsidR="00DD1ACA">
        <w:rPr>
          <w:rFonts w:asciiTheme="majorBidi" w:hAnsiTheme="majorBidi" w:cstheme="majorBidi"/>
          <w:sz w:val="24"/>
          <w:szCs w:val="24"/>
        </w:rPr>
        <w:t>ontempora</w:t>
      </w:r>
      <w:r w:rsidR="00845C79">
        <w:rPr>
          <w:rFonts w:asciiTheme="majorBidi" w:hAnsiTheme="majorBidi" w:cstheme="majorBidi"/>
          <w:sz w:val="24"/>
          <w:szCs w:val="24"/>
        </w:rPr>
        <w:t>n</w:t>
      </w:r>
      <w:r w:rsidR="00DD1ACA">
        <w:rPr>
          <w:rFonts w:asciiTheme="majorBidi" w:hAnsiTheme="majorBidi" w:cstheme="majorBidi"/>
          <w:sz w:val="24"/>
          <w:szCs w:val="24"/>
        </w:rPr>
        <w:t>e</w:t>
      </w:r>
      <w:r w:rsidR="00845C79">
        <w:rPr>
          <w:rFonts w:asciiTheme="majorBidi" w:hAnsiTheme="majorBidi" w:cstheme="majorBidi"/>
          <w:sz w:val="24"/>
          <w:szCs w:val="24"/>
        </w:rPr>
        <w:t>ous</w:t>
      </w:r>
      <w:r w:rsidRPr="00EF7113">
        <w:rPr>
          <w:rFonts w:asciiTheme="majorBidi" w:hAnsiTheme="majorBidi" w:cstheme="majorBidi"/>
          <w:sz w:val="24"/>
          <w:szCs w:val="24"/>
        </w:rPr>
        <w:t xml:space="preserve"> nature of the cases. </w:t>
      </w:r>
      <w:r w:rsidR="00A52E6D">
        <w:rPr>
          <w:rFonts w:asciiTheme="majorBidi" w:hAnsiTheme="majorBidi" w:cstheme="majorBidi"/>
          <w:sz w:val="24"/>
          <w:szCs w:val="24"/>
        </w:rPr>
        <w:t>B</w:t>
      </w:r>
      <w:r w:rsidRPr="00EF7113">
        <w:rPr>
          <w:rFonts w:asciiTheme="majorBidi" w:hAnsiTheme="majorBidi" w:cstheme="majorBidi"/>
          <w:sz w:val="24"/>
          <w:szCs w:val="24"/>
        </w:rPr>
        <w:t>oth policy and academic discussion on agencies</w:t>
      </w:r>
      <w:r w:rsidR="00205D60">
        <w:rPr>
          <w:rFonts w:asciiTheme="majorBidi" w:hAnsiTheme="majorBidi" w:cstheme="majorBidi"/>
          <w:sz w:val="24"/>
          <w:szCs w:val="24"/>
        </w:rPr>
        <w:t xml:space="preserve"> with responsibility for preventative health</w:t>
      </w:r>
      <w:r w:rsidRPr="00EF7113">
        <w:rPr>
          <w:rFonts w:asciiTheme="majorBidi" w:hAnsiTheme="majorBidi" w:cstheme="majorBidi"/>
          <w:sz w:val="24"/>
          <w:szCs w:val="24"/>
        </w:rPr>
        <w:t xml:space="preserve"> tends to be dominated by ‘success stories’ – shining examples like VicHealth that have been established for decades. Yet, as our review of the agency literature shows, such success is preciously rare</w:t>
      </w:r>
      <w:r w:rsidR="00845C79">
        <w:rPr>
          <w:rFonts w:asciiTheme="majorBidi" w:hAnsiTheme="majorBidi" w:cstheme="majorBidi"/>
          <w:sz w:val="24"/>
          <w:szCs w:val="24"/>
        </w:rPr>
        <w:t xml:space="preserve"> and historically contingent</w:t>
      </w:r>
      <w:r w:rsidRPr="00EF7113">
        <w:rPr>
          <w:rFonts w:asciiTheme="majorBidi" w:hAnsiTheme="majorBidi" w:cstheme="majorBidi"/>
          <w:sz w:val="24"/>
          <w:szCs w:val="24"/>
        </w:rPr>
        <w:t xml:space="preserve">. </w:t>
      </w:r>
      <w:r w:rsidR="00845C79">
        <w:rPr>
          <w:rFonts w:asciiTheme="majorBidi" w:hAnsiTheme="majorBidi" w:cstheme="majorBidi"/>
          <w:sz w:val="24"/>
          <w:szCs w:val="24"/>
        </w:rPr>
        <w:t>Our three cases</w:t>
      </w:r>
      <w:r w:rsidRPr="00EF7113">
        <w:rPr>
          <w:rFonts w:asciiTheme="majorBidi" w:hAnsiTheme="majorBidi" w:cstheme="majorBidi"/>
          <w:sz w:val="24"/>
          <w:szCs w:val="24"/>
        </w:rPr>
        <w:t xml:space="preserve"> all emerged in the last decade at the height of the prevention agenda, and so their contrasting fates are likely to provide more </w:t>
      </w:r>
      <w:r w:rsidR="0058628B">
        <w:rPr>
          <w:rFonts w:asciiTheme="majorBidi" w:hAnsiTheme="majorBidi" w:cstheme="majorBidi"/>
          <w:sz w:val="24"/>
          <w:szCs w:val="24"/>
        </w:rPr>
        <w:t>relevant</w:t>
      </w:r>
      <w:r w:rsidRPr="00EF7113">
        <w:rPr>
          <w:rFonts w:asciiTheme="majorBidi" w:hAnsiTheme="majorBidi" w:cstheme="majorBidi"/>
          <w:sz w:val="24"/>
          <w:szCs w:val="24"/>
        </w:rPr>
        <w:t xml:space="preserve"> lessons fo</w:t>
      </w:r>
      <w:r w:rsidR="00A52E6D">
        <w:rPr>
          <w:rFonts w:asciiTheme="majorBidi" w:hAnsiTheme="majorBidi" w:cstheme="majorBidi"/>
          <w:sz w:val="24"/>
          <w:szCs w:val="24"/>
        </w:rPr>
        <w:t>r both research and practice.  Moreover, c</w:t>
      </w:r>
      <w:r w:rsidRPr="00EF7113">
        <w:rPr>
          <w:rFonts w:asciiTheme="majorBidi" w:hAnsiTheme="majorBidi" w:cstheme="majorBidi"/>
          <w:sz w:val="24"/>
          <w:szCs w:val="24"/>
        </w:rPr>
        <w:t>omparing case material across these three countries is a proven selection strategy</w:t>
      </w:r>
      <w:r w:rsidR="00845C79">
        <w:rPr>
          <w:rFonts w:asciiTheme="majorBidi" w:hAnsiTheme="majorBidi" w:cstheme="majorBidi"/>
          <w:sz w:val="24"/>
          <w:szCs w:val="24"/>
        </w:rPr>
        <w:t xml:space="preserve"> i</w:t>
      </w:r>
      <w:r w:rsidR="00A52E6D">
        <w:rPr>
          <w:rFonts w:asciiTheme="majorBidi" w:hAnsiTheme="majorBidi" w:cstheme="majorBidi"/>
          <w:sz w:val="24"/>
          <w:szCs w:val="24"/>
        </w:rPr>
        <w:t>n</w:t>
      </w:r>
      <w:r w:rsidR="00845C79" w:rsidRPr="00EF7113">
        <w:rPr>
          <w:rFonts w:asciiTheme="majorBidi" w:hAnsiTheme="majorBidi" w:cstheme="majorBidi"/>
          <w:sz w:val="24"/>
          <w:szCs w:val="24"/>
        </w:rPr>
        <w:t xml:space="preserve"> political science and public administration scholarship</w:t>
      </w:r>
      <w:r w:rsidR="00A52E6D">
        <w:rPr>
          <w:rFonts w:asciiTheme="majorBidi" w:hAnsiTheme="majorBidi" w:cstheme="majorBidi"/>
          <w:sz w:val="24"/>
          <w:szCs w:val="24"/>
        </w:rPr>
        <w:t xml:space="preserve"> (</w:t>
      </w:r>
      <w:r w:rsidR="00845C79" w:rsidRPr="00EF7113">
        <w:rPr>
          <w:rFonts w:asciiTheme="majorBidi" w:hAnsiTheme="majorBidi" w:cstheme="majorBidi"/>
          <w:sz w:val="24"/>
          <w:szCs w:val="24"/>
        </w:rPr>
        <w:t>Rhodes et al. 2009; Marsh and Miller 2013; Grube and Howard 2017</w:t>
      </w:r>
      <w:r w:rsidR="00845C79">
        <w:rPr>
          <w:rFonts w:asciiTheme="majorBidi" w:hAnsiTheme="majorBidi" w:cstheme="majorBidi"/>
          <w:sz w:val="24"/>
          <w:szCs w:val="24"/>
        </w:rPr>
        <w:t>)</w:t>
      </w:r>
      <w:r w:rsidRPr="00EF7113">
        <w:rPr>
          <w:rFonts w:asciiTheme="majorBidi" w:hAnsiTheme="majorBidi" w:cstheme="majorBidi"/>
          <w:sz w:val="24"/>
          <w:szCs w:val="24"/>
        </w:rPr>
        <w:t>. Australia, New Zealand and England share a set of ‘family resemblances’ that enable fruitful comparison</w:t>
      </w:r>
      <w:r w:rsidR="008669FF" w:rsidRPr="001B0D9A">
        <w:rPr>
          <w:rFonts w:asciiTheme="majorBidi" w:hAnsiTheme="majorBidi" w:cstheme="majorBidi"/>
          <w:b/>
          <w:bCs/>
          <w:sz w:val="24"/>
          <w:szCs w:val="24"/>
        </w:rPr>
        <w:t xml:space="preserve"> </w:t>
      </w:r>
      <w:r w:rsidR="008669FF" w:rsidRPr="001B0D9A">
        <w:rPr>
          <w:rFonts w:asciiTheme="majorBidi" w:hAnsiTheme="majorBidi" w:cstheme="majorBidi"/>
          <w:sz w:val="24"/>
          <w:szCs w:val="24"/>
        </w:rPr>
        <w:t>[omitted]</w:t>
      </w:r>
      <w:r w:rsidRPr="001B0D9A">
        <w:rPr>
          <w:rFonts w:asciiTheme="majorBidi" w:hAnsiTheme="majorBidi" w:cstheme="majorBidi"/>
          <w:sz w:val="24"/>
          <w:szCs w:val="24"/>
        </w:rPr>
        <w:t>.</w:t>
      </w:r>
      <w:r w:rsidRPr="001B0D9A">
        <w:rPr>
          <w:rFonts w:asciiTheme="majorBidi" w:hAnsiTheme="majorBidi" w:cstheme="majorBidi"/>
          <w:b/>
          <w:bCs/>
          <w:sz w:val="24"/>
          <w:szCs w:val="24"/>
        </w:rPr>
        <w:t xml:space="preserve"> </w:t>
      </w:r>
      <w:r w:rsidR="00845C79">
        <w:rPr>
          <w:rFonts w:asciiTheme="majorBidi" w:hAnsiTheme="majorBidi" w:cstheme="majorBidi"/>
          <w:sz w:val="24"/>
          <w:szCs w:val="24"/>
        </w:rPr>
        <w:t>Not</w:t>
      </w:r>
      <w:r w:rsidRPr="00EF7113">
        <w:rPr>
          <w:rFonts w:asciiTheme="majorBidi" w:hAnsiTheme="majorBidi" w:cstheme="majorBidi"/>
          <w:sz w:val="24"/>
          <w:szCs w:val="24"/>
        </w:rPr>
        <w:t xml:space="preserve"> all backgrou</w:t>
      </w:r>
      <w:r w:rsidR="0058628B">
        <w:rPr>
          <w:rFonts w:asciiTheme="majorBidi" w:hAnsiTheme="majorBidi" w:cstheme="majorBidi"/>
          <w:sz w:val="24"/>
          <w:szCs w:val="24"/>
        </w:rPr>
        <w:t xml:space="preserve">nd features are kept constant since, for example, </w:t>
      </w:r>
      <w:r w:rsidRPr="00EF7113">
        <w:rPr>
          <w:rFonts w:asciiTheme="majorBidi" w:hAnsiTheme="majorBidi" w:cstheme="majorBidi"/>
          <w:sz w:val="24"/>
          <w:szCs w:val="24"/>
        </w:rPr>
        <w:t>New Zealand is relatively small, Australia has a federal syst</w:t>
      </w:r>
      <w:r w:rsidR="002438E0" w:rsidRPr="00EF7113">
        <w:rPr>
          <w:rFonts w:asciiTheme="majorBidi" w:hAnsiTheme="majorBidi" w:cstheme="majorBidi"/>
          <w:sz w:val="24"/>
          <w:szCs w:val="24"/>
        </w:rPr>
        <w:t xml:space="preserve">em of government, </w:t>
      </w:r>
      <w:r w:rsidR="0058628B">
        <w:rPr>
          <w:rFonts w:asciiTheme="majorBidi" w:hAnsiTheme="majorBidi" w:cstheme="majorBidi"/>
          <w:sz w:val="24"/>
          <w:szCs w:val="24"/>
        </w:rPr>
        <w:t xml:space="preserve">and </w:t>
      </w:r>
      <w:r w:rsidR="002438E0" w:rsidRPr="00EF7113">
        <w:rPr>
          <w:rFonts w:asciiTheme="majorBidi" w:hAnsiTheme="majorBidi" w:cstheme="majorBidi"/>
          <w:sz w:val="24"/>
          <w:szCs w:val="24"/>
        </w:rPr>
        <w:t xml:space="preserve">England has </w:t>
      </w:r>
      <w:r w:rsidRPr="00EF7113">
        <w:rPr>
          <w:rFonts w:asciiTheme="majorBidi" w:hAnsiTheme="majorBidi" w:cstheme="majorBidi"/>
          <w:sz w:val="24"/>
          <w:szCs w:val="24"/>
        </w:rPr>
        <w:t>complex multi-level governance arrangements that intersect and overlap</w:t>
      </w:r>
      <w:r w:rsidR="002438E0" w:rsidRPr="00EF7113">
        <w:rPr>
          <w:rFonts w:asciiTheme="majorBidi" w:hAnsiTheme="majorBidi" w:cstheme="majorBidi"/>
          <w:sz w:val="24"/>
          <w:szCs w:val="24"/>
        </w:rPr>
        <w:t>. Nevertheless, the three cases</w:t>
      </w:r>
      <w:r w:rsidRPr="00EF7113">
        <w:rPr>
          <w:rFonts w:asciiTheme="majorBidi" w:hAnsiTheme="majorBidi" w:cstheme="majorBidi"/>
          <w:sz w:val="24"/>
          <w:szCs w:val="24"/>
        </w:rPr>
        <w:t xml:space="preserve"> share an inherited set of cultural, political and administrative features and traditions, and they remain entangled in (mostly) informal relationships that enable sharing and mutual l</w:t>
      </w:r>
      <w:r w:rsidR="0058628B">
        <w:rPr>
          <w:rFonts w:asciiTheme="majorBidi" w:hAnsiTheme="majorBidi" w:cstheme="majorBidi"/>
          <w:sz w:val="24"/>
          <w:szCs w:val="24"/>
        </w:rPr>
        <w:t xml:space="preserve">earning across policy sectors. </w:t>
      </w:r>
      <w:r w:rsidRPr="00EF7113">
        <w:rPr>
          <w:rFonts w:asciiTheme="majorBidi" w:hAnsiTheme="majorBidi" w:cstheme="majorBidi"/>
          <w:sz w:val="24"/>
          <w:szCs w:val="24"/>
        </w:rPr>
        <w:t>Indeed, many of our interview participants had professional experience across these jurisdictions and almost all had strong fami</w:t>
      </w:r>
      <w:r w:rsidR="0058628B">
        <w:rPr>
          <w:rFonts w:asciiTheme="majorBidi" w:hAnsiTheme="majorBidi" w:cstheme="majorBidi"/>
          <w:sz w:val="24"/>
          <w:szCs w:val="24"/>
        </w:rPr>
        <w:t>liarity and close personal ties</w:t>
      </w:r>
      <w:r w:rsidRPr="00EF7113">
        <w:rPr>
          <w:rFonts w:asciiTheme="majorBidi" w:hAnsiTheme="majorBidi" w:cstheme="majorBidi"/>
          <w:sz w:val="24"/>
          <w:szCs w:val="24"/>
        </w:rPr>
        <w:t>. These recurring traits, traditions and ties can help to structure comparative analysis</w:t>
      </w:r>
      <w:r w:rsidR="000057DB">
        <w:rPr>
          <w:rFonts w:asciiTheme="majorBidi" w:hAnsiTheme="majorBidi" w:cstheme="majorBidi"/>
          <w:sz w:val="24"/>
          <w:szCs w:val="24"/>
        </w:rPr>
        <w:t xml:space="preserve"> and provide lessons from</w:t>
      </w:r>
      <w:r w:rsidRPr="00EF7113">
        <w:rPr>
          <w:rFonts w:asciiTheme="majorBidi" w:hAnsiTheme="majorBidi" w:cstheme="majorBidi"/>
          <w:sz w:val="24"/>
          <w:szCs w:val="24"/>
        </w:rPr>
        <w:t xml:space="preserve"> the contrasting </w:t>
      </w:r>
      <w:r w:rsidR="000057DB">
        <w:rPr>
          <w:rFonts w:asciiTheme="majorBidi" w:hAnsiTheme="majorBidi" w:cstheme="majorBidi"/>
          <w:sz w:val="24"/>
          <w:szCs w:val="24"/>
        </w:rPr>
        <w:t>experiences</w:t>
      </w:r>
      <w:r w:rsidR="000057DB" w:rsidRPr="00EF7113">
        <w:rPr>
          <w:rFonts w:asciiTheme="majorBidi" w:hAnsiTheme="majorBidi" w:cstheme="majorBidi"/>
          <w:sz w:val="24"/>
          <w:szCs w:val="24"/>
        </w:rPr>
        <w:t xml:space="preserve"> </w:t>
      </w:r>
      <w:r w:rsidRPr="00EF7113">
        <w:rPr>
          <w:rFonts w:asciiTheme="majorBidi" w:hAnsiTheme="majorBidi" w:cstheme="majorBidi"/>
          <w:sz w:val="24"/>
          <w:szCs w:val="24"/>
        </w:rPr>
        <w:t>of ANPHA, HPA and PHE.</w:t>
      </w:r>
    </w:p>
    <w:p w14:paraId="6F265409" w14:textId="34929D06" w:rsidR="000F68B0" w:rsidRPr="00EF7113" w:rsidRDefault="000F68B0"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lastRenderedPageBreak/>
        <w:t xml:space="preserve">Data collection for each case entailed extensive background desk research, focused on Parliamentary Hansard surrounding the establishment of each agency, policy documents outlining and refining its remit and responsibilities, and public-facing material </w:t>
      </w:r>
      <w:r w:rsidR="002438E0" w:rsidRPr="00EF7113">
        <w:rPr>
          <w:rFonts w:asciiTheme="majorBidi" w:hAnsiTheme="majorBidi" w:cstheme="majorBidi"/>
          <w:sz w:val="24"/>
          <w:szCs w:val="24"/>
        </w:rPr>
        <w:t>archived</w:t>
      </w:r>
      <w:r w:rsidRPr="00EF7113">
        <w:rPr>
          <w:rFonts w:asciiTheme="majorBidi" w:hAnsiTheme="majorBidi" w:cstheme="majorBidi"/>
          <w:sz w:val="24"/>
          <w:szCs w:val="24"/>
        </w:rPr>
        <w:t xml:space="preserve"> on </w:t>
      </w:r>
      <w:r w:rsidR="002438E0" w:rsidRPr="00EF7113">
        <w:rPr>
          <w:rFonts w:asciiTheme="majorBidi" w:hAnsiTheme="majorBidi" w:cstheme="majorBidi"/>
          <w:sz w:val="24"/>
          <w:szCs w:val="24"/>
        </w:rPr>
        <w:t>relevant web pages</w:t>
      </w:r>
      <w:r w:rsidRPr="00EF7113">
        <w:rPr>
          <w:rFonts w:asciiTheme="majorBidi" w:hAnsiTheme="majorBidi" w:cstheme="majorBidi"/>
          <w:sz w:val="24"/>
          <w:szCs w:val="24"/>
        </w:rPr>
        <w:t>. The bulk of the an</w:t>
      </w:r>
      <w:r w:rsidR="007F4D46" w:rsidRPr="00EF7113">
        <w:rPr>
          <w:rFonts w:asciiTheme="majorBidi" w:hAnsiTheme="majorBidi" w:cstheme="majorBidi"/>
          <w:sz w:val="24"/>
          <w:szCs w:val="24"/>
        </w:rPr>
        <w:t>alysis, however, draws</w:t>
      </w:r>
      <w:r w:rsidRPr="00EF7113">
        <w:rPr>
          <w:rFonts w:asciiTheme="majorBidi" w:hAnsiTheme="majorBidi" w:cstheme="majorBidi"/>
          <w:sz w:val="24"/>
          <w:szCs w:val="24"/>
        </w:rPr>
        <w:t xml:space="preserve"> on the material collected through 25 semi-structured interviews with former and current agency executives and board members, and with stakeholders in government (across relevant departments and agencies) and beyond (including professional, charity and industry repre</w:t>
      </w:r>
      <w:r w:rsidR="008366BA">
        <w:rPr>
          <w:rFonts w:asciiTheme="majorBidi" w:hAnsiTheme="majorBidi" w:cstheme="majorBidi"/>
          <w:sz w:val="24"/>
          <w:szCs w:val="24"/>
        </w:rPr>
        <w:t>sentatives)</w:t>
      </w:r>
      <w:r w:rsidR="008366BA" w:rsidRPr="00EF7113">
        <w:rPr>
          <w:rFonts w:asciiTheme="majorBidi" w:hAnsiTheme="majorBidi" w:cstheme="majorBidi"/>
          <w:sz w:val="24"/>
          <w:szCs w:val="24"/>
        </w:rPr>
        <w:t xml:space="preserve">, conducted between September 2016 and October 2017. </w:t>
      </w:r>
    </w:p>
    <w:p w14:paraId="22DDBA87" w14:textId="2F498DDB" w:rsidR="00DE109F" w:rsidRDefault="00DE109F" w:rsidP="00A275BB">
      <w:pPr>
        <w:spacing w:line="480" w:lineRule="auto"/>
        <w:rPr>
          <w:rFonts w:asciiTheme="majorBidi" w:hAnsiTheme="majorBidi" w:cstheme="majorBidi"/>
          <w:sz w:val="24"/>
          <w:szCs w:val="24"/>
        </w:rPr>
      </w:pPr>
      <w:r>
        <w:rPr>
          <w:rFonts w:asciiTheme="majorBidi" w:hAnsiTheme="majorBidi" w:cstheme="majorBidi"/>
          <w:sz w:val="24"/>
          <w:szCs w:val="24"/>
        </w:rPr>
        <w:t>INSERT TABLE 1 ABOUT HERE</w:t>
      </w:r>
    </w:p>
    <w:p w14:paraId="2C72D934" w14:textId="594574A9" w:rsidR="000F68B0" w:rsidRDefault="0058628B" w:rsidP="00A275BB">
      <w:pPr>
        <w:spacing w:line="480" w:lineRule="auto"/>
        <w:rPr>
          <w:rFonts w:asciiTheme="majorBidi" w:hAnsiTheme="majorBidi" w:cstheme="majorBidi"/>
          <w:sz w:val="24"/>
          <w:szCs w:val="24"/>
        </w:rPr>
      </w:pPr>
      <w:r>
        <w:rPr>
          <w:rFonts w:asciiTheme="majorBidi" w:hAnsiTheme="majorBidi" w:cstheme="majorBidi"/>
          <w:sz w:val="24"/>
          <w:szCs w:val="24"/>
        </w:rPr>
        <w:t>W</w:t>
      </w:r>
      <w:r w:rsidR="000F68B0" w:rsidRPr="00EF7113">
        <w:rPr>
          <w:rFonts w:asciiTheme="majorBidi" w:hAnsiTheme="majorBidi" w:cstheme="majorBidi"/>
          <w:sz w:val="24"/>
          <w:szCs w:val="24"/>
        </w:rPr>
        <w:t xml:space="preserve">e were able to access key individuals across the Australian (10 interviewees) and English (8 interviewees) cases with relative ease, but found the New Zealand case more challenging. No one with formal </w:t>
      </w:r>
      <w:r>
        <w:rPr>
          <w:rFonts w:asciiTheme="majorBidi" w:hAnsiTheme="majorBidi" w:cstheme="majorBidi"/>
          <w:sz w:val="24"/>
          <w:szCs w:val="24"/>
        </w:rPr>
        <w:t>links to HPA (</w:t>
      </w:r>
      <w:r w:rsidR="007F4D46" w:rsidRPr="00EF7113">
        <w:rPr>
          <w:rFonts w:asciiTheme="majorBidi" w:hAnsiTheme="majorBidi" w:cstheme="majorBidi"/>
          <w:sz w:val="24"/>
          <w:szCs w:val="24"/>
        </w:rPr>
        <w:t>board member,</w:t>
      </w:r>
      <w:r w:rsidR="000F68B0" w:rsidRPr="00EF7113">
        <w:rPr>
          <w:rFonts w:asciiTheme="majorBidi" w:hAnsiTheme="majorBidi" w:cstheme="majorBidi"/>
          <w:sz w:val="24"/>
          <w:szCs w:val="24"/>
        </w:rPr>
        <w:t xml:space="preserve"> executive</w:t>
      </w:r>
      <w:r w:rsidR="007F4D46" w:rsidRPr="00EF7113">
        <w:rPr>
          <w:rFonts w:asciiTheme="majorBidi" w:hAnsiTheme="majorBidi" w:cstheme="majorBidi"/>
          <w:sz w:val="24"/>
          <w:szCs w:val="24"/>
        </w:rPr>
        <w:t xml:space="preserve"> or official</w:t>
      </w:r>
      <w:r w:rsidR="000F68B0" w:rsidRPr="00EF7113">
        <w:rPr>
          <w:rFonts w:asciiTheme="majorBidi" w:hAnsiTheme="majorBidi" w:cstheme="majorBidi"/>
          <w:sz w:val="24"/>
          <w:szCs w:val="24"/>
        </w:rPr>
        <w:t xml:space="preserve">) was willing to commit to an interview (though </w:t>
      </w:r>
      <w:r w:rsidR="00583AA2" w:rsidRPr="00EF7113">
        <w:rPr>
          <w:rFonts w:asciiTheme="majorBidi" w:hAnsiTheme="majorBidi" w:cstheme="majorBidi"/>
          <w:sz w:val="24"/>
          <w:szCs w:val="24"/>
        </w:rPr>
        <w:t>one person</w:t>
      </w:r>
      <w:r w:rsidR="000F68B0" w:rsidRPr="00EF7113">
        <w:rPr>
          <w:rFonts w:asciiTheme="majorBidi" w:hAnsiTheme="majorBidi" w:cstheme="majorBidi"/>
          <w:sz w:val="24"/>
          <w:szCs w:val="24"/>
        </w:rPr>
        <w:t xml:space="preserve"> did agree to formal correspondence via email) and several experts and </w:t>
      </w:r>
      <w:r w:rsidR="002438E0" w:rsidRPr="00EF7113">
        <w:rPr>
          <w:rFonts w:asciiTheme="majorBidi" w:hAnsiTheme="majorBidi" w:cstheme="majorBidi"/>
          <w:sz w:val="24"/>
          <w:szCs w:val="24"/>
        </w:rPr>
        <w:t>advocacy group</w:t>
      </w:r>
      <w:r w:rsidR="000F68B0" w:rsidRPr="00EF7113">
        <w:rPr>
          <w:rFonts w:asciiTheme="majorBidi" w:hAnsiTheme="majorBidi" w:cstheme="majorBidi"/>
          <w:sz w:val="24"/>
          <w:szCs w:val="24"/>
        </w:rPr>
        <w:t xml:space="preserve"> representatives were not at liberty to speak with us because of ongoing legal action. These challenges are indicative of the polarisation of preventative health in this case and the lack of legitimacy that the HPA enjoys</w:t>
      </w:r>
      <w:r w:rsidR="007F4D46" w:rsidRPr="00EF7113">
        <w:rPr>
          <w:rFonts w:asciiTheme="majorBidi" w:hAnsiTheme="majorBidi" w:cstheme="majorBidi"/>
          <w:sz w:val="24"/>
          <w:szCs w:val="24"/>
        </w:rPr>
        <w:t xml:space="preserve"> among stakeholders</w:t>
      </w:r>
      <w:r w:rsidR="000F68B0" w:rsidRPr="00EF7113">
        <w:rPr>
          <w:rFonts w:asciiTheme="majorBidi" w:hAnsiTheme="majorBidi" w:cstheme="majorBidi"/>
          <w:sz w:val="24"/>
          <w:szCs w:val="24"/>
        </w:rPr>
        <w:t>.</w:t>
      </w:r>
    </w:p>
    <w:p w14:paraId="74C55FB0" w14:textId="79F44703" w:rsidR="008366BA" w:rsidRDefault="001E26AF" w:rsidP="00A275BB">
      <w:pPr>
        <w:spacing w:line="480" w:lineRule="auto"/>
        <w:rPr>
          <w:rFonts w:asciiTheme="majorBidi" w:hAnsiTheme="majorBidi" w:cstheme="majorBidi"/>
          <w:sz w:val="24"/>
          <w:szCs w:val="24"/>
        </w:rPr>
      </w:pPr>
      <w:r>
        <w:rPr>
          <w:rFonts w:asciiTheme="majorBidi" w:hAnsiTheme="majorBidi" w:cstheme="majorBidi"/>
          <w:sz w:val="24"/>
          <w:szCs w:val="24"/>
        </w:rPr>
        <w:t>We</w:t>
      </w:r>
      <w:r w:rsidR="008366BA" w:rsidRPr="00EF7113">
        <w:rPr>
          <w:rFonts w:asciiTheme="majorBidi" w:hAnsiTheme="majorBidi" w:cstheme="majorBidi"/>
          <w:sz w:val="24"/>
          <w:szCs w:val="24"/>
        </w:rPr>
        <w:t xml:space="preserve"> identified </w:t>
      </w:r>
      <w:r>
        <w:rPr>
          <w:rFonts w:asciiTheme="majorBidi" w:hAnsiTheme="majorBidi" w:cstheme="majorBidi"/>
          <w:sz w:val="24"/>
          <w:szCs w:val="24"/>
        </w:rPr>
        <w:t xml:space="preserve">actors </w:t>
      </w:r>
      <w:r w:rsidR="008366BA" w:rsidRPr="00EF7113">
        <w:rPr>
          <w:rFonts w:asciiTheme="majorBidi" w:hAnsiTheme="majorBidi" w:cstheme="majorBidi"/>
          <w:sz w:val="24"/>
          <w:szCs w:val="24"/>
        </w:rPr>
        <w:t xml:space="preserve">through purposive sampling instructed by the </w:t>
      </w:r>
      <w:r w:rsidR="008366BA">
        <w:rPr>
          <w:rFonts w:asciiTheme="majorBidi" w:hAnsiTheme="majorBidi" w:cstheme="majorBidi"/>
          <w:sz w:val="24"/>
          <w:szCs w:val="24"/>
        </w:rPr>
        <w:t xml:space="preserve">initial </w:t>
      </w:r>
      <w:r w:rsidR="008366BA" w:rsidRPr="00EF7113">
        <w:rPr>
          <w:rFonts w:asciiTheme="majorBidi" w:hAnsiTheme="majorBidi" w:cstheme="majorBidi"/>
          <w:sz w:val="24"/>
          <w:szCs w:val="24"/>
        </w:rPr>
        <w:t xml:space="preserve">documentary analysis, with a small degree of ‘snowballing’ from initial research participants. We obtained ethical clearance from the University of Southampton before embarking on the fieldwork, a condition of which was that we promise to protect participant anonymity where possible. In practice, because of the small and intimate nature of the policy networks surrounding these agencies, it was not possible to guarantee anonymity for all actors. In such cases, we obtained </w:t>
      </w:r>
      <w:r w:rsidR="008366BA" w:rsidRPr="00EF7113">
        <w:rPr>
          <w:rFonts w:asciiTheme="majorBidi" w:hAnsiTheme="majorBidi" w:cstheme="majorBidi"/>
          <w:sz w:val="24"/>
          <w:szCs w:val="24"/>
        </w:rPr>
        <w:lastRenderedPageBreak/>
        <w:t xml:space="preserve">consent to quote participants ‘on the record’ and in some instances sent a transcript of audio-recorded interviews to participants for vetting and revision. </w:t>
      </w:r>
    </w:p>
    <w:p w14:paraId="48DFD3DD" w14:textId="0C0D0BEE" w:rsidR="008366BA" w:rsidRPr="00EF7113" w:rsidRDefault="00A82FCA" w:rsidP="00A275BB">
      <w:pPr>
        <w:spacing w:line="480" w:lineRule="auto"/>
        <w:rPr>
          <w:rFonts w:asciiTheme="majorBidi" w:hAnsiTheme="majorBidi" w:cstheme="majorBidi"/>
          <w:sz w:val="24"/>
          <w:szCs w:val="24"/>
        </w:rPr>
      </w:pPr>
      <w:r>
        <w:rPr>
          <w:rFonts w:asciiTheme="majorBidi" w:hAnsiTheme="majorBidi" w:cstheme="majorBidi"/>
          <w:sz w:val="24"/>
          <w:szCs w:val="24"/>
        </w:rPr>
        <w:t>We coded the</w:t>
      </w:r>
      <w:r w:rsidRPr="00EF7113">
        <w:rPr>
          <w:rFonts w:asciiTheme="majorBidi" w:hAnsiTheme="majorBidi" w:cstheme="majorBidi"/>
          <w:sz w:val="24"/>
          <w:szCs w:val="24"/>
        </w:rPr>
        <w:t xml:space="preserve"> </w:t>
      </w:r>
      <w:r w:rsidR="008366BA" w:rsidRPr="00EF7113">
        <w:rPr>
          <w:rFonts w:asciiTheme="majorBidi" w:hAnsiTheme="majorBidi" w:cstheme="majorBidi"/>
          <w:sz w:val="24"/>
          <w:szCs w:val="24"/>
        </w:rPr>
        <w:t xml:space="preserve">interview data </w:t>
      </w:r>
      <w:r>
        <w:rPr>
          <w:rFonts w:asciiTheme="majorBidi" w:hAnsiTheme="majorBidi" w:cstheme="majorBidi"/>
          <w:sz w:val="24"/>
          <w:szCs w:val="24"/>
        </w:rPr>
        <w:t xml:space="preserve">via </w:t>
      </w:r>
      <w:r w:rsidR="008366BA">
        <w:rPr>
          <w:rFonts w:asciiTheme="majorBidi" w:hAnsiTheme="majorBidi" w:cstheme="majorBidi"/>
          <w:sz w:val="24"/>
          <w:szCs w:val="24"/>
        </w:rPr>
        <w:t>a</w:t>
      </w:r>
      <w:r w:rsidR="008366BA" w:rsidRPr="00EF7113">
        <w:rPr>
          <w:rFonts w:asciiTheme="majorBidi" w:hAnsiTheme="majorBidi" w:cstheme="majorBidi"/>
          <w:sz w:val="24"/>
          <w:szCs w:val="24"/>
        </w:rPr>
        <w:t xml:space="preserve"> process </w:t>
      </w:r>
      <w:r w:rsidR="008366BA">
        <w:rPr>
          <w:rFonts w:asciiTheme="majorBidi" w:hAnsiTheme="majorBidi" w:cstheme="majorBidi"/>
          <w:sz w:val="24"/>
          <w:szCs w:val="24"/>
        </w:rPr>
        <w:t xml:space="preserve">of abduction </w:t>
      </w:r>
      <w:r w:rsidR="008366BA" w:rsidRPr="00EF7113">
        <w:rPr>
          <w:rFonts w:asciiTheme="majorBidi" w:hAnsiTheme="majorBidi" w:cstheme="majorBidi"/>
          <w:sz w:val="24"/>
          <w:szCs w:val="24"/>
        </w:rPr>
        <w:t xml:space="preserve">common to interpretive research (Yanow and Schwartz-Shea 2012). </w:t>
      </w:r>
      <w:r w:rsidR="008366BA">
        <w:rPr>
          <w:rFonts w:asciiTheme="majorBidi" w:hAnsiTheme="majorBidi" w:cstheme="majorBidi"/>
          <w:iCs/>
          <w:sz w:val="24"/>
          <w:szCs w:val="24"/>
        </w:rPr>
        <w:t>It</w:t>
      </w:r>
      <w:r w:rsidR="008366BA">
        <w:rPr>
          <w:rFonts w:asciiTheme="majorBidi" w:hAnsiTheme="majorBidi" w:cstheme="majorBidi"/>
          <w:sz w:val="24"/>
          <w:szCs w:val="24"/>
        </w:rPr>
        <w:t xml:space="preserve"> entails</w:t>
      </w:r>
      <w:r w:rsidR="008366BA" w:rsidRPr="00EF7113">
        <w:rPr>
          <w:rFonts w:asciiTheme="majorBidi" w:hAnsiTheme="majorBidi" w:cstheme="majorBidi"/>
          <w:sz w:val="24"/>
          <w:szCs w:val="24"/>
        </w:rPr>
        <w:t xml:space="preserve"> moving between the findings emerging in the empirical data and key themes emerging through critical engagement with the literature. </w:t>
      </w:r>
      <w:r w:rsidR="003A6D69">
        <w:rPr>
          <w:rFonts w:asciiTheme="majorBidi" w:hAnsiTheme="majorBidi" w:cstheme="majorBidi"/>
          <w:sz w:val="24"/>
          <w:szCs w:val="24"/>
        </w:rPr>
        <w:t xml:space="preserve">It is an iterative - </w:t>
      </w:r>
      <w:r w:rsidR="008366BA" w:rsidRPr="00EF7113">
        <w:rPr>
          <w:rFonts w:asciiTheme="majorBidi" w:hAnsiTheme="majorBidi" w:cstheme="majorBidi"/>
          <w:sz w:val="24"/>
          <w:szCs w:val="24"/>
        </w:rPr>
        <w:t xml:space="preserve"> not hydraulic</w:t>
      </w:r>
      <w:r w:rsidR="003A6D69">
        <w:rPr>
          <w:rFonts w:asciiTheme="majorBidi" w:hAnsiTheme="majorBidi" w:cstheme="majorBidi"/>
          <w:sz w:val="24"/>
          <w:szCs w:val="24"/>
        </w:rPr>
        <w:t xml:space="preserve"> and </w:t>
      </w:r>
      <w:r w:rsidR="008366BA" w:rsidRPr="00EF7113">
        <w:rPr>
          <w:rFonts w:asciiTheme="majorBidi" w:hAnsiTheme="majorBidi" w:cstheme="majorBidi"/>
          <w:sz w:val="24"/>
          <w:szCs w:val="24"/>
        </w:rPr>
        <w:t xml:space="preserve">stepwise </w:t>
      </w:r>
      <w:r w:rsidR="003A6D69">
        <w:rPr>
          <w:rFonts w:asciiTheme="majorBidi" w:hAnsiTheme="majorBidi" w:cstheme="majorBidi"/>
          <w:sz w:val="24"/>
          <w:szCs w:val="24"/>
        </w:rPr>
        <w:t xml:space="preserve">– </w:t>
      </w:r>
      <w:r w:rsidR="008366BA" w:rsidRPr="00EF7113">
        <w:rPr>
          <w:rFonts w:asciiTheme="majorBidi" w:hAnsiTheme="majorBidi" w:cstheme="majorBidi"/>
          <w:sz w:val="24"/>
          <w:szCs w:val="24"/>
        </w:rPr>
        <w:t>process</w:t>
      </w:r>
      <w:r w:rsidR="003A6D69">
        <w:rPr>
          <w:rFonts w:asciiTheme="majorBidi" w:hAnsiTheme="majorBidi" w:cstheme="majorBidi"/>
          <w:sz w:val="24"/>
          <w:szCs w:val="24"/>
        </w:rPr>
        <w:t xml:space="preserve"> </w:t>
      </w:r>
      <w:r w:rsidR="008366BA">
        <w:rPr>
          <w:rFonts w:asciiTheme="majorBidi" w:hAnsiTheme="majorBidi" w:cstheme="majorBidi"/>
          <w:sz w:val="24"/>
          <w:szCs w:val="24"/>
        </w:rPr>
        <w:t>which prioritis</w:t>
      </w:r>
      <w:r>
        <w:rPr>
          <w:rFonts w:asciiTheme="majorBidi" w:hAnsiTheme="majorBidi" w:cstheme="majorBidi"/>
          <w:sz w:val="24"/>
          <w:szCs w:val="24"/>
        </w:rPr>
        <w:t>es</w:t>
      </w:r>
      <w:r w:rsidR="008366BA" w:rsidRPr="00EF7113">
        <w:rPr>
          <w:rFonts w:asciiTheme="majorBidi" w:hAnsiTheme="majorBidi" w:cstheme="majorBidi"/>
          <w:sz w:val="24"/>
          <w:szCs w:val="24"/>
        </w:rPr>
        <w:t xml:space="preserve"> reflection and refinement of the analytical categories and signific</w:t>
      </w:r>
      <w:r w:rsidR="008366BA">
        <w:rPr>
          <w:rFonts w:asciiTheme="majorBidi" w:hAnsiTheme="majorBidi" w:cstheme="majorBidi"/>
          <w:sz w:val="24"/>
          <w:szCs w:val="24"/>
        </w:rPr>
        <w:t xml:space="preserve">ant deliberation and judgment. </w:t>
      </w:r>
    </w:p>
    <w:p w14:paraId="779EACFE" w14:textId="6B8F552E" w:rsidR="008366BA" w:rsidRDefault="008669FF" w:rsidP="00A275BB">
      <w:pPr>
        <w:spacing w:line="480" w:lineRule="auto"/>
        <w:rPr>
          <w:rFonts w:asciiTheme="majorBidi" w:hAnsiTheme="majorBidi" w:cstheme="majorBidi"/>
          <w:sz w:val="24"/>
          <w:szCs w:val="24"/>
        </w:rPr>
      </w:pPr>
      <w:r>
        <w:rPr>
          <w:rFonts w:asciiTheme="majorBidi" w:hAnsiTheme="majorBidi" w:cstheme="majorBidi"/>
          <w:sz w:val="24"/>
          <w:szCs w:val="24"/>
        </w:rPr>
        <w:t>Author A</w:t>
      </w:r>
      <w:r w:rsidR="008366BA" w:rsidRPr="00EF7113">
        <w:rPr>
          <w:rFonts w:asciiTheme="majorBidi" w:hAnsiTheme="majorBidi" w:cstheme="majorBidi"/>
          <w:sz w:val="24"/>
          <w:szCs w:val="24"/>
        </w:rPr>
        <w:t xml:space="preserve"> contacted participants, conducted the interviews and manually coded</w:t>
      </w:r>
      <w:r>
        <w:rPr>
          <w:rFonts w:asciiTheme="majorBidi" w:hAnsiTheme="majorBidi" w:cstheme="majorBidi"/>
          <w:sz w:val="24"/>
          <w:szCs w:val="24"/>
        </w:rPr>
        <w:t xml:space="preserve"> the interview material. Authors B and C</w:t>
      </w:r>
      <w:r w:rsidR="008366BA" w:rsidRPr="00EF7113">
        <w:rPr>
          <w:rFonts w:asciiTheme="majorBidi" w:hAnsiTheme="majorBidi" w:cstheme="majorBidi"/>
          <w:sz w:val="24"/>
          <w:szCs w:val="24"/>
        </w:rPr>
        <w:t xml:space="preserve"> </w:t>
      </w:r>
      <w:r w:rsidR="008366BA">
        <w:rPr>
          <w:rFonts w:asciiTheme="majorBidi" w:hAnsiTheme="majorBidi" w:cstheme="majorBidi"/>
          <w:sz w:val="24"/>
          <w:szCs w:val="24"/>
        </w:rPr>
        <w:t>produced a ‘synthetic’ review of policy theory and the secondary literature on</w:t>
      </w:r>
      <w:r w:rsidR="008366BA" w:rsidRPr="00EF7113">
        <w:rPr>
          <w:rFonts w:asciiTheme="majorBidi" w:hAnsiTheme="majorBidi" w:cstheme="majorBidi"/>
          <w:sz w:val="24"/>
          <w:szCs w:val="24"/>
        </w:rPr>
        <w:t xml:space="preserve"> prevention policy and institutionalisation (see </w:t>
      </w:r>
      <w:r>
        <w:rPr>
          <w:rFonts w:asciiTheme="majorBidi" w:hAnsiTheme="majorBidi" w:cstheme="majorBidi"/>
          <w:sz w:val="24"/>
          <w:szCs w:val="24"/>
        </w:rPr>
        <w:t>[omitted]</w:t>
      </w:r>
      <w:r w:rsidR="008366BA" w:rsidRPr="00EF7113">
        <w:rPr>
          <w:rFonts w:asciiTheme="majorBidi" w:hAnsiTheme="majorBidi" w:cstheme="majorBidi"/>
          <w:sz w:val="24"/>
          <w:szCs w:val="24"/>
        </w:rPr>
        <w:t xml:space="preserve">) to help situate the initial enquiry and present the eventual findings.  </w:t>
      </w:r>
    </w:p>
    <w:p w14:paraId="55F561B7" w14:textId="77777777" w:rsidR="001B0D9A" w:rsidRPr="00EF7113" w:rsidRDefault="001B0D9A" w:rsidP="00A275BB">
      <w:pPr>
        <w:spacing w:line="480" w:lineRule="auto"/>
        <w:rPr>
          <w:rFonts w:asciiTheme="majorBidi" w:hAnsiTheme="majorBidi" w:cstheme="majorBidi"/>
          <w:sz w:val="24"/>
          <w:szCs w:val="24"/>
        </w:rPr>
      </w:pPr>
    </w:p>
    <w:p w14:paraId="48BC0F30" w14:textId="77777777" w:rsidR="001F1D37" w:rsidRPr="00EF7113" w:rsidRDefault="00031498" w:rsidP="00A275BB">
      <w:pPr>
        <w:spacing w:line="480" w:lineRule="auto"/>
        <w:rPr>
          <w:rFonts w:asciiTheme="majorBidi" w:hAnsiTheme="majorBidi" w:cstheme="majorBidi"/>
          <w:b/>
          <w:bCs/>
          <w:sz w:val="24"/>
          <w:szCs w:val="24"/>
        </w:rPr>
      </w:pPr>
      <w:r w:rsidRPr="00EF7113">
        <w:rPr>
          <w:rFonts w:asciiTheme="majorBidi" w:hAnsiTheme="majorBidi" w:cstheme="majorBidi"/>
          <w:b/>
          <w:bCs/>
          <w:sz w:val="24"/>
          <w:szCs w:val="24"/>
        </w:rPr>
        <w:t>Case 1: The Australian National Preventative Health Agency</w:t>
      </w:r>
    </w:p>
    <w:p w14:paraId="096DE03F" w14:textId="194CEB3D" w:rsidR="000A4342" w:rsidRPr="00EF7113" w:rsidRDefault="001F1D37"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The Australian National Preventative Health Agency was established in 2011 on the back of concerted public health advocacy</w:t>
      </w:r>
      <w:r w:rsidR="001C1882" w:rsidRPr="00EF7113">
        <w:rPr>
          <w:rFonts w:asciiTheme="majorBidi" w:hAnsiTheme="majorBidi" w:cstheme="majorBidi"/>
          <w:sz w:val="24"/>
          <w:szCs w:val="24"/>
        </w:rPr>
        <w:t>.</w:t>
      </w:r>
      <w:r w:rsidR="001C1882" w:rsidRPr="00EF7113">
        <w:rPr>
          <w:rFonts w:asciiTheme="majorBidi" w:hAnsiTheme="majorBidi" w:cstheme="majorBidi"/>
          <w:color w:val="FF0000"/>
          <w:sz w:val="24"/>
          <w:szCs w:val="24"/>
        </w:rPr>
        <w:t xml:space="preserve"> </w:t>
      </w:r>
      <w:r w:rsidR="001C1882" w:rsidRPr="00EF7113">
        <w:rPr>
          <w:rFonts w:asciiTheme="majorBidi" w:hAnsiTheme="majorBidi" w:cstheme="majorBidi"/>
          <w:sz w:val="24"/>
          <w:szCs w:val="24"/>
        </w:rPr>
        <w:t>Its chief</w:t>
      </w:r>
      <w:r w:rsidR="00A52E6D">
        <w:rPr>
          <w:rFonts w:asciiTheme="majorBidi" w:hAnsiTheme="majorBidi" w:cstheme="majorBidi"/>
          <w:sz w:val="24"/>
          <w:szCs w:val="24"/>
        </w:rPr>
        <w:t xml:space="preserve"> value, as expressed by Health M</w:t>
      </w:r>
      <w:r w:rsidR="001C1882" w:rsidRPr="00EF7113">
        <w:rPr>
          <w:rFonts w:asciiTheme="majorBidi" w:hAnsiTheme="majorBidi" w:cstheme="majorBidi"/>
          <w:sz w:val="24"/>
          <w:szCs w:val="24"/>
        </w:rPr>
        <w:t>inister Nicola Roxon in the initial mission documents, was to offer national leadership in the “ramping up” of the prevention agenda:</w:t>
      </w:r>
    </w:p>
    <w:p w14:paraId="6313CEF3" w14:textId="230C0D4F" w:rsidR="001C1882" w:rsidRPr="00EF7113" w:rsidRDefault="00895E3C" w:rsidP="00A275BB">
      <w:pPr>
        <w:spacing w:line="480" w:lineRule="auto"/>
        <w:ind w:left="720"/>
        <w:rPr>
          <w:rFonts w:asciiTheme="majorBidi" w:hAnsiTheme="majorBidi" w:cstheme="majorBidi"/>
          <w:sz w:val="24"/>
          <w:szCs w:val="24"/>
        </w:rPr>
      </w:pPr>
      <w:r>
        <w:rPr>
          <w:rFonts w:asciiTheme="majorBidi" w:hAnsiTheme="majorBidi" w:cstheme="majorBidi"/>
          <w:sz w:val="24"/>
          <w:szCs w:val="24"/>
        </w:rPr>
        <w:t>[T</w:t>
      </w:r>
      <w:r w:rsidR="001C1882" w:rsidRPr="00EF7113">
        <w:rPr>
          <w:rFonts w:asciiTheme="majorBidi" w:hAnsiTheme="majorBidi" w:cstheme="majorBidi"/>
          <w:sz w:val="24"/>
          <w:szCs w:val="24"/>
        </w:rPr>
        <w:t>here</w:t>
      </w:r>
      <w:r>
        <w:rPr>
          <w:rFonts w:asciiTheme="majorBidi" w:hAnsiTheme="majorBidi" w:cstheme="majorBidi"/>
          <w:sz w:val="24"/>
          <w:szCs w:val="24"/>
        </w:rPr>
        <w:t>]</w:t>
      </w:r>
      <w:r w:rsidR="001C1882" w:rsidRPr="00EF7113">
        <w:rPr>
          <w:rFonts w:asciiTheme="majorBidi" w:hAnsiTheme="majorBidi" w:cstheme="majorBidi"/>
          <w:sz w:val="24"/>
          <w:szCs w:val="24"/>
        </w:rPr>
        <w:t xml:space="preserve"> has never been a more important time to tackle preventable diseases. That is why the Gillard Government established the Australian National Preventive Health Agency (ANPHA) as Australia’s first national preventive health agency with the capacity to lead, support and coordinate the “ramping up” of prevention and health promotion effort. (Roxon in ANPHA 2011)</w:t>
      </w:r>
    </w:p>
    <w:p w14:paraId="206D96A7" w14:textId="6CA04AED" w:rsidR="002438E0" w:rsidRPr="00EF7113" w:rsidRDefault="00342E81"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lastRenderedPageBreak/>
        <w:t>The agency</w:t>
      </w:r>
      <w:r w:rsidR="001B2D7D" w:rsidRPr="00EF7113">
        <w:rPr>
          <w:rFonts w:asciiTheme="majorBidi" w:hAnsiTheme="majorBidi" w:cstheme="majorBidi"/>
          <w:sz w:val="24"/>
          <w:szCs w:val="24"/>
        </w:rPr>
        <w:t xml:space="preserve"> lasted</w:t>
      </w:r>
      <w:r w:rsidR="005273BB" w:rsidRPr="00EF7113">
        <w:rPr>
          <w:rFonts w:asciiTheme="majorBidi" w:hAnsiTheme="majorBidi" w:cstheme="majorBidi"/>
          <w:sz w:val="24"/>
          <w:szCs w:val="24"/>
        </w:rPr>
        <w:t xml:space="preserve"> less than</w:t>
      </w:r>
      <w:r w:rsidR="001B2D7D" w:rsidRPr="00EF7113">
        <w:rPr>
          <w:rFonts w:asciiTheme="majorBidi" w:hAnsiTheme="majorBidi" w:cstheme="majorBidi"/>
          <w:sz w:val="24"/>
          <w:szCs w:val="24"/>
        </w:rPr>
        <w:t xml:space="preserve"> 2 years before being de-funded </w:t>
      </w:r>
      <w:r w:rsidR="002C3F9C" w:rsidRPr="00EF7113">
        <w:rPr>
          <w:rFonts w:asciiTheme="majorBidi" w:hAnsiTheme="majorBidi" w:cstheme="majorBidi"/>
          <w:sz w:val="24"/>
          <w:szCs w:val="24"/>
        </w:rPr>
        <w:t xml:space="preserve">in 2013. The incoming Coalition government had attempted to shut it down on the basis of ‘duplication of effort’ with its parent Department of Health, but could not achieve the requisite numbers in the House. </w:t>
      </w:r>
      <w:r w:rsidR="00A52E6D">
        <w:rPr>
          <w:rFonts w:asciiTheme="majorBidi" w:hAnsiTheme="majorBidi" w:cstheme="majorBidi"/>
          <w:sz w:val="24"/>
          <w:szCs w:val="24"/>
        </w:rPr>
        <w:t>ANPHA</w:t>
      </w:r>
      <w:r w:rsidR="002C3F9C" w:rsidRPr="00EF7113">
        <w:rPr>
          <w:rFonts w:asciiTheme="majorBidi" w:hAnsiTheme="majorBidi" w:cstheme="majorBidi"/>
          <w:sz w:val="24"/>
          <w:szCs w:val="24"/>
        </w:rPr>
        <w:t xml:space="preserve"> therefore reached a messy denouement, de-funded but not abolished amid a climate of distrust</w:t>
      </w:r>
      <w:r w:rsidR="00297826" w:rsidRPr="00EF7113">
        <w:rPr>
          <w:rFonts w:asciiTheme="majorBidi" w:hAnsiTheme="majorBidi" w:cstheme="majorBidi"/>
          <w:sz w:val="24"/>
          <w:szCs w:val="24"/>
        </w:rPr>
        <w:t>. This disquiet spilled over into a scandal in the local tabloid n</w:t>
      </w:r>
      <w:r w:rsidR="008C2CD6">
        <w:rPr>
          <w:rFonts w:asciiTheme="majorBidi" w:hAnsiTheme="majorBidi" w:cstheme="majorBidi"/>
          <w:sz w:val="24"/>
          <w:szCs w:val="24"/>
        </w:rPr>
        <w:t xml:space="preserve">ewspapers, regarding </w:t>
      </w:r>
      <w:r w:rsidR="00297826" w:rsidRPr="00EF7113">
        <w:rPr>
          <w:rFonts w:asciiTheme="majorBidi" w:hAnsiTheme="majorBidi" w:cstheme="majorBidi"/>
          <w:sz w:val="24"/>
          <w:szCs w:val="24"/>
        </w:rPr>
        <w:t>an acrimonious contractual dispute</w:t>
      </w:r>
      <w:r w:rsidR="005273BB" w:rsidRPr="00EF7113">
        <w:rPr>
          <w:rFonts w:asciiTheme="majorBidi" w:hAnsiTheme="majorBidi" w:cstheme="majorBidi"/>
          <w:sz w:val="24"/>
          <w:szCs w:val="24"/>
        </w:rPr>
        <w:t xml:space="preserve"> between the government and</w:t>
      </w:r>
      <w:r w:rsidR="00297826" w:rsidRPr="00EF7113">
        <w:rPr>
          <w:rFonts w:asciiTheme="majorBidi" w:hAnsiTheme="majorBidi" w:cstheme="majorBidi"/>
          <w:sz w:val="24"/>
          <w:szCs w:val="24"/>
        </w:rPr>
        <w:t xml:space="preserve"> ANPHA’s chief executive.</w:t>
      </w:r>
      <w:r w:rsidR="008C2CD6">
        <w:rPr>
          <w:rFonts w:asciiTheme="majorBidi" w:hAnsiTheme="majorBidi" w:cstheme="majorBidi"/>
          <w:sz w:val="24"/>
          <w:szCs w:val="24"/>
        </w:rPr>
        <w:t xml:space="preserve"> W</w:t>
      </w:r>
      <w:r w:rsidR="002C3F9C" w:rsidRPr="00EF7113">
        <w:rPr>
          <w:rFonts w:asciiTheme="majorBidi" w:hAnsiTheme="majorBidi" w:cstheme="majorBidi"/>
          <w:sz w:val="24"/>
          <w:szCs w:val="24"/>
        </w:rPr>
        <w:t xml:space="preserve">hat </w:t>
      </w:r>
      <w:r w:rsidR="005273BB" w:rsidRPr="00EF7113">
        <w:rPr>
          <w:rFonts w:asciiTheme="majorBidi" w:hAnsiTheme="majorBidi" w:cstheme="majorBidi"/>
          <w:sz w:val="24"/>
          <w:szCs w:val="24"/>
        </w:rPr>
        <w:t>generate</w:t>
      </w:r>
      <w:r w:rsidR="008C2CD6">
        <w:rPr>
          <w:rFonts w:asciiTheme="majorBidi" w:hAnsiTheme="majorBidi" w:cstheme="majorBidi"/>
          <w:sz w:val="24"/>
          <w:szCs w:val="24"/>
        </w:rPr>
        <w:t>d</w:t>
      </w:r>
      <w:r w:rsidR="005273BB" w:rsidRPr="00EF7113">
        <w:rPr>
          <w:rFonts w:asciiTheme="majorBidi" w:hAnsiTheme="majorBidi" w:cstheme="majorBidi"/>
          <w:sz w:val="24"/>
          <w:szCs w:val="24"/>
        </w:rPr>
        <w:t xml:space="preserve"> this antipathy and controversy</w:t>
      </w:r>
      <w:r w:rsidR="002C3F9C" w:rsidRPr="00EF7113">
        <w:rPr>
          <w:rFonts w:asciiTheme="majorBidi" w:hAnsiTheme="majorBidi" w:cstheme="majorBidi"/>
          <w:sz w:val="24"/>
          <w:szCs w:val="24"/>
        </w:rPr>
        <w:t>?</w:t>
      </w:r>
    </w:p>
    <w:p w14:paraId="4EE38EE5" w14:textId="77777777" w:rsidR="00B54CF0" w:rsidRPr="00EF7113" w:rsidRDefault="00B54CF0" w:rsidP="00A275BB">
      <w:pPr>
        <w:spacing w:line="480" w:lineRule="auto"/>
        <w:rPr>
          <w:rFonts w:asciiTheme="majorBidi" w:hAnsiTheme="majorBidi" w:cstheme="majorBidi"/>
          <w:i/>
          <w:iCs/>
          <w:sz w:val="24"/>
          <w:szCs w:val="24"/>
        </w:rPr>
      </w:pPr>
      <w:r w:rsidRPr="00EF7113">
        <w:rPr>
          <w:rFonts w:asciiTheme="majorBidi" w:hAnsiTheme="majorBidi" w:cstheme="majorBidi"/>
          <w:i/>
          <w:iCs/>
          <w:sz w:val="24"/>
          <w:szCs w:val="24"/>
        </w:rPr>
        <w:t>Salience: Too hot</w:t>
      </w:r>
    </w:p>
    <w:p w14:paraId="0AEDBEF0" w14:textId="4B8EFEF5" w:rsidR="00B54CF0" w:rsidRPr="00EF7113" w:rsidRDefault="00B54CF0"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ANPHA</w:t>
      </w:r>
      <w:r w:rsidR="007F4D46" w:rsidRPr="00EF7113">
        <w:rPr>
          <w:rFonts w:asciiTheme="majorBidi" w:hAnsiTheme="majorBidi" w:cstheme="majorBidi"/>
          <w:sz w:val="24"/>
          <w:szCs w:val="24"/>
        </w:rPr>
        <w:t xml:space="preserve"> was</w:t>
      </w:r>
      <w:r w:rsidRPr="00EF7113">
        <w:rPr>
          <w:rFonts w:asciiTheme="majorBidi" w:hAnsiTheme="majorBidi" w:cstheme="majorBidi"/>
          <w:sz w:val="24"/>
          <w:szCs w:val="24"/>
        </w:rPr>
        <w:t xml:space="preserve"> an idea that had been floating around </w:t>
      </w:r>
      <w:r w:rsidR="007F4D46" w:rsidRPr="00EF7113">
        <w:rPr>
          <w:rFonts w:asciiTheme="majorBidi" w:hAnsiTheme="majorBidi" w:cstheme="majorBidi"/>
          <w:sz w:val="24"/>
          <w:szCs w:val="24"/>
        </w:rPr>
        <w:t xml:space="preserve">in Australia </w:t>
      </w:r>
      <w:r w:rsidRPr="00EF7113">
        <w:rPr>
          <w:rFonts w:asciiTheme="majorBidi" w:hAnsiTheme="majorBidi" w:cstheme="majorBidi"/>
          <w:sz w:val="24"/>
          <w:szCs w:val="24"/>
        </w:rPr>
        <w:t>for a long time</w:t>
      </w:r>
      <w:r w:rsidR="00297826" w:rsidRPr="00EF7113">
        <w:rPr>
          <w:rFonts w:asciiTheme="majorBidi" w:hAnsiTheme="majorBidi" w:cstheme="majorBidi"/>
          <w:sz w:val="24"/>
          <w:szCs w:val="24"/>
        </w:rPr>
        <w:t>. It was</w:t>
      </w:r>
      <w:r w:rsidR="002C3F9C" w:rsidRPr="00EF7113">
        <w:rPr>
          <w:rFonts w:asciiTheme="majorBidi" w:hAnsiTheme="majorBidi" w:cstheme="majorBidi"/>
          <w:sz w:val="24"/>
          <w:szCs w:val="24"/>
        </w:rPr>
        <w:t xml:space="preserve"> </w:t>
      </w:r>
      <w:r w:rsidR="005A41A3">
        <w:rPr>
          <w:rFonts w:asciiTheme="majorBidi" w:hAnsiTheme="majorBidi" w:cstheme="majorBidi"/>
          <w:sz w:val="24"/>
          <w:szCs w:val="24"/>
        </w:rPr>
        <w:t>pushed strongly by</w:t>
      </w:r>
      <w:r w:rsidR="002C3F9C" w:rsidRPr="00EF7113">
        <w:rPr>
          <w:rFonts w:asciiTheme="majorBidi" w:hAnsiTheme="majorBidi" w:cstheme="majorBidi"/>
          <w:sz w:val="24"/>
          <w:szCs w:val="24"/>
        </w:rPr>
        <w:t xml:space="preserve"> influential public health expert advocates</w:t>
      </w:r>
      <w:r w:rsidRPr="00EF7113">
        <w:rPr>
          <w:rFonts w:asciiTheme="majorBidi" w:hAnsiTheme="majorBidi" w:cstheme="majorBidi"/>
          <w:sz w:val="24"/>
          <w:szCs w:val="24"/>
        </w:rPr>
        <w:t xml:space="preserve"> </w:t>
      </w:r>
      <w:r w:rsidR="002C3F9C" w:rsidRPr="00EF7113">
        <w:rPr>
          <w:rFonts w:asciiTheme="majorBidi" w:hAnsiTheme="majorBidi" w:cstheme="majorBidi"/>
          <w:sz w:val="24"/>
          <w:szCs w:val="24"/>
        </w:rPr>
        <w:t>who had been instrumental in</w:t>
      </w:r>
      <w:r w:rsidRPr="00EF7113">
        <w:rPr>
          <w:rFonts w:asciiTheme="majorBidi" w:hAnsiTheme="majorBidi" w:cstheme="majorBidi"/>
          <w:sz w:val="24"/>
          <w:szCs w:val="24"/>
        </w:rPr>
        <w:t xml:space="preserve"> the success of VicHealth and its world-leading role in tobacco control policy</w:t>
      </w:r>
      <w:r w:rsidR="002C3F9C" w:rsidRPr="00EF7113">
        <w:rPr>
          <w:rFonts w:asciiTheme="majorBidi" w:hAnsiTheme="majorBidi" w:cstheme="majorBidi"/>
          <w:sz w:val="24"/>
          <w:szCs w:val="24"/>
        </w:rPr>
        <w:t xml:space="preserve"> (Galbally 2004</w:t>
      </w:r>
      <w:r w:rsidR="00297826" w:rsidRPr="00EF7113">
        <w:rPr>
          <w:rFonts w:asciiTheme="majorBidi" w:hAnsiTheme="majorBidi" w:cstheme="majorBidi"/>
          <w:sz w:val="24"/>
          <w:szCs w:val="24"/>
        </w:rPr>
        <w:t>). This long-cherished plan</w:t>
      </w:r>
      <w:r w:rsidR="002C3F9C" w:rsidRPr="00EF7113">
        <w:rPr>
          <w:rFonts w:asciiTheme="majorBidi" w:hAnsiTheme="majorBidi" w:cstheme="majorBidi"/>
          <w:sz w:val="24"/>
          <w:szCs w:val="24"/>
        </w:rPr>
        <w:t xml:space="preserve"> </w:t>
      </w:r>
      <w:r w:rsidR="00297826" w:rsidRPr="00EF7113">
        <w:rPr>
          <w:rFonts w:asciiTheme="majorBidi" w:hAnsiTheme="majorBidi" w:cstheme="majorBidi"/>
          <w:sz w:val="24"/>
          <w:szCs w:val="24"/>
        </w:rPr>
        <w:t>for institutional leadership</w:t>
      </w:r>
      <w:r w:rsidRPr="00EF7113">
        <w:rPr>
          <w:rFonts w:asciiTheme="majorBidi" w:hAnsiTheme="majorBidi" w:cstheme="majorBidi"/>
          <w:sz w:val="24"/>
          <w:szCs w:val="24"/>
        </w:rPr>
        <w:t xml:space="preserve"> gained traction with the election of a Labor Government in 2007</w:t>
      </w:r>
      <w:r w:rsidR="002C3F9C" w:rsidRPr="00EF7113">
        <w:rPr>
          <w:rFonts w:asciiTheme="majorBidi" w:hAnsiTheme="majorBidi" w:cstheme="majorBidi"/>
          <w:sz w:val="24"/>
          <w:szCs w:val="24"/>
        </w:rPr>
        <w:t>,</w:t>
      </w:r>
      <w:r w:rsidRPr="00EF7113">
        <w:rPr>
          <w:rFonts w:asciiTheme="majorBidi" w:hAnsiTheme="majorBidi" w:cstheme="majorBidi"/>
          <w:sz w:val="24"/>
          <w:szCs w:val="24"/>
        </w:rPr>
        <w:t xml:space="preserve"> after </w:t>
      </w:r>
      <w:r w:rsidR="00205D60">
        <w:rPr>
          <w:rFonts w:asciiTheme="majorBidi" w:hAnsiTheme="majorBidi" w:cstheme="majorBidi"/>
          <w:sz w:val="24"/>
          <w:szCs w:val="24"/>
        </w:rPr>
        <w:t>four</w:t>
      </w:r>
      <w:r w:rsidRPr="00EF7113">
        <w:rPr>
          <w:rFonts w:asciiTheme="majorBidi" w:hAnsiTheme="majorBidi" w:cstheme="majorBidi"/>
          <w:sz w:val="24"/>
          <w:szCs w:val="24"/>
        </w:rPr>
        <w:t xml:space="preserve"> terms of</w:t>
      </w:r>
      <w:r w:rsidR="002C3F9C" w:rsidRPr="00EF7113">
        <w:rPr>
          <w:rFonts w:asciiTheme="majorBidi" w:hAnsiTheme="majorBidi" w:cstheme="majorBidi"/>
          <w:sz w:val="24"/>
          <w:szCs w:val="24"/>
        </w:rPr>
        <w:t xml:space="preserve"> J</w:t>
      </w:r>
      <w:r w:rsidRPr="00EF7113">
        <w:rPr>
          <w:rFonts w:asciiTheme="majorBidi" w:hAnsiTheme="majorBidi" w:cstheme="majorBidi"/>
          <w:sz w:val="24"/>
          <w:szCs w:val="24"/>
        </w:rPr>
        <w:t>ohn Howard’s</w:t>
      </w:r>
      <w:r w:rsidR="002C3F9C" w:rsidRPr="00EF7113">
        <w:rPr>
          <w:rFonts w:asciiTheme="majorBidi" w:hAnsiTheme="majorBidi" w:cstheme="majorBidi"/>
          <w:sz w:val="24"/>
          <w:szCs w:val="24"/>
        </w:rPr>
        <w:t xml:space="preserve"> conservative</w:t>
      </w:r>
      <w:r w:rsidRPr="00EF7113">
        <w:rPr>
          <w:rFonts w:asciiTheme="majorBidi" w:hAnsiTheme="majorBidi" w:cstheme="majorBidi"/>
          <w:sz w:val="24"/>
          <w:szCs w:val="24"/>
        </w:rPr>
        <w:t xml:space="preserve"> Coalition. Labor had signalled greater emphasis on preventative health in the lead-up to the campaign and the new Minister of Health, Nicola Roxon, was especially receptive to prevention ideas. The specific plan for a dedicated agency first emerged formally on the national agenda as a Big Idea thrown up in the 2020 Summit (a showpiece innovation in expert engagement early in the new government’s term)</w:t>
      </w:r>
      <w:r w:rsidR="002C3F9C" w:rsidRPr="00EF7113">
        <w:rPr>
          <w:rFonts w:asciiTheme="majorBidi" w:hAnsiTheme="majorBidi" w:cstheme="majorBidi"/>
          <w:sz w:val="24"/>
          <w:szCs w:val="24"/>
        </w:rPr>
        <w:t>. I</w:t>
      </w:r>
      <w:r w:rsidRPr="00EF7113">
        <w:rPr>
          <w:rFonts w:asciiTheme="majorBidi" w:hAnsiTheme="majorBidi" w:cstheme="majorBidi"/>
          <w:sz w:val="24"/>
          <w:szCs w:val="24"/>
        </w:rPr>
        <w:t xml:space="preserve">t was </w:t>
      </w:r>
      <w:r w:rsidR="002C3F9C" w:rsidRPr="00EF7113">
        <w:rPr>
          <w:rFonts w:asciiTheme="majorBidi" w:hAnsiTheme="majorBidi" w:cstheme="majorBidi"/>
          <w:sz w:val="24"/>
          <w:szCs w:val="24"/>
        </w:rPr>
        <w:t xml:space="preserve">fleshed out </w:t>
      </w:r>
      <w:r w:rsidRPr="00EF7113">
        <w:rPr>
          <w:rFonts w:asciiTheme="majorBidi" w:hAnsiTheme="majorBidi" w:cstheme="majorBidi"/>
          <w:sz w:val="24"/>
          <w:szCs w:val="24"/>
        </w:rPr>
        <w:t>in the National Preventative Health Taskforce (expert panel convened by the government).</w:t>
      </w:r>
    </w:p>
    <w:p w14:paraId="5DC2A533" w14:textId="2EE62FDB" w:rsidR="00B54CF0" w:rsidRPr="00EF7113" w:rsidRDefault="005A41A3" w:rsidP="00DB606A">
      <w:pPr>
        <w:spacing w:line="480" w:lineRule="auto"/>
        <w:rPr>
          <w:rFonts w:asciiTheme="majorBidi" w:hAnsiTheme="majorBidi" w:cstheme="majorBidi"/>
          <w:sz w:val="24"/>
          <w:szCs w:val="24"/>
        </w:rPr>
      </w:pPr>
      <w:r>
        <w:rPr>
          <w:rFonts w:asciiTheme="majorBidi" w:hAnsiTheme="majorBidi" w:cstheme="majorBidi"/>
          <w:sz w:val="24"/>
          <w:szCs w:val="24"/>
        </w:rPr>
        <w:t>This history highlights</w:t>
      </w:r>
      <w:r w:rsidR="00030DEE" w:rsidRPr="00EF7113">
        <w:rPr>
          <w:rFonts w:asciiTheme="majorBidi" w:hAnsiTheme="majorBidi" w:cstheme="majorBidi"/>
          <w:sz w:val="24"/>
          <w:szCs w:val="24"/>
        </w:rPr>
        <w:t xml:space="preserve"> two related</w:t>
      </w:r>
      <w:r w:rsidR="00B54CF0" w:rsidRPr="00EF7113">
        <w:rPr>
          <w:rFonts w:asciiTheme="majorBidi" w:hAnsiTheme="majorBidi" w:cstheme="majorBidi"/>
          <w:sz w:val="24"/>
          <w:szCs w:val="24"/>
        </w:rPr>
        <w:t xml:space="preserve"> problems</w:t>
      </w:r>
      <w:r w:rsidR="00030DEE" w:rsidRPr="00EF7113">
        <w:rPr>
          <w:rFonts w:asciiTheme="majorBidi" w:hAnsiTheme="majorBidi" w:cstheme="majorBidi"/>
          <w:sz w:val="24"/>
          <w:szCs w:val="24"/>
        </w:rPr>
        <w:t xml:space="preserve"> in relation to salience. </w:t>
      </w:r>
      <w:r>
        <w:rPr>
          <w:rFonts w:asciiTheme="majorBidi" w:hAnsiTheme="majorBidi" w:cstheme="majorBidi"/>
          <w:sz w:val="24"/>
          <w:szCs w:val="24"/>
        </w:rPr>
        <w:t>First,</w:t>
      </w:r>
      <w:r w:rsidR="00B54CF0" w:rsidRPr="00EF7113">
        <w:rPr>
          <w:rFonts w:asciiTheme="majorBidi" w:hAnsiTheme="majorBidi" w:cstheme="majorBidi"/>
          <w:sz w:val="24"/>
          <w:szCs w:val="24"/>
        </w:rPr>
        <w:t xml:space="preserve"> it </w:t>
      </w:r>
      <w:r w:rsidR="00C26D58" w:rsidRPr="00EF7113">
        <w:rPr>
          <w:rFonts w:asciiTheme="majorBidi" w:hAnsiTheme="majorBidi" w:cstheme="majorBidi"/>
          <w:sz w:val="24"/>
          <w:szCs w:val="24"/>
        </w:rPr>
        <w:t xml:space="preserve">made ANPHA a </w:t>
      </w:r>
      <w:r w:rsidR="00402773">
        <w:rPr>
          <w:rFonts w:asciiTheme="majorBidi" w:hAnsiTheme="majorBidi" w:cstheme="majorBidi"/>
          <w:sz w:val="24"/>
          <w:szCs w:val="24"/>
        </w:rPr>
        <w:t>partisan institution</w:t>
      </w:r>
      <w:r>
        <w:rPr>
          <w:rFonts w:asciiTheme="majorBidi" w:hAnsiTheme="majorBidi" w:cstheme="majorBidi"/>
          <w:sz w:val="24"/>
          <w:szCs w:val="24"/>
        </w:rPr>
        <w:t xml:space="preserve">. Its </w:t>
      </w:r>
      <w:r w:rsidR="00A52E6D">
        <w:rPr>
          <w:rFonts w:asciiTheme="majorBidi" w:hAnsiTheme="majorBidi" w:cstheme="majorBidi"/>
          <w:sz w:val="24"/>
          <w:szCs w:val="24"/>
        </w:rPr>
        <w:t>origin</w:t>
      </w:r>
      <w:r w:rsidR="00402773">
        <w:rPr>
          <w:rFonts w:asciiTheme="majorBidi" w:hAnsiTheme="majorBidi" w:cstheme="majorBidi"/>
          <w:sz w:val="24"/>
          <w:szCs w:val="24"/>
        </w:rPr>
        <w:t xml:space="preserve"> thwarted the efforts of </w:t>
      </w:r>
      <w:r w:rsidR="00297826" w:rsidRPr="00EF7113">
        <w:rPr>
          <w:rFonts w:asciiTheme="majorBidi" w:hAnsiTheme="majorBidi" w:cstheme="majorBidi"/>
          <w:sz w:val="24"/>
          <w:szCs w:val="24"/>
        </w:rPr>
        <w:t>ANPHA’s leadership to build and sustain relationships with t</w:t>
      </w:r>
      <w:r w:rsidR="00402773">
        <w:rPr>
          <w:rFonts w:asciiTheme="majorBidi" w:hAnsiTheme="majorBidi" w:cstheme="majorBidi"/>
          <w:sz w:val="24"/>
          <w:szCs w:val="24"/>
        </w:rPr>
        <w:t>he Opposition</w:t>
      </w:r>
      <w:r w:rsidR="00030DEE" w:rsidRPr="00EF7113">
        <w:rPr>
          <w:rFonts w:asciiTheme="majorBidi" w:hAnsiTheme="majorBidi" w:cstheme="majorBidi"/>
          <w:sz w:val="24"/>
          <w:szCs w:val="24"/>
        </w:rPr>
        <w:t>.</w:t>
      </w:r>
      <w:r>
        <w:rPr>
          <w:rFonts w:asciiTheme="majorBidi" w:hAnsiTheme="majorBidi" w:cstheme="majorBidi"/>
          <w:sz w:val="24"/>
          <w:szCs w:val="24"/>
        </w:rPr>
        <w:t xml:space="preserve"> S</w:t>
      </w:r>
      <w:r w:rsidR="00030DEE" w:rsidRPr="00EF7113">
        <w:rPr>
          <w:rFonts w:asciiTheme="majorBidi" w:hAnsiTheme="majorBidi" w:cstheme="majorBidi"/>
          <w:sz w:val="24"/>
          <w:szCs w:val="24"/>
        </w:rPr>
        <w:t>econd</w:t>
      </w:r>
      <w:r>
        <w:rPr>
          <w:rFonts w:asciiTheme="majorBidi" w:hAnsiTheme="majorBidi" w:cstheme="majorBidi"/>
          <w:sz w:val="24"/>
          <w:szCs w:val="24"/>
        </w:rPr>
        <w:t xml:space="preserve">, </w:t>
      </w:r>
      <w:r w:rsidR="00C26D58" w:rsidRPr="00EF7113">
        <w:rPr>
          <w:rFonts w:asciiTheme="majorBidi" w:hAnsiTheme="majorBidi" w:cstheme="majorBidi"/>
          <w:sz w:val="24"/>
          <w:szCs w:val="24"/>
        </w:rPr>
        <w:t xml:space="preserve">these </w:t>
      </w:r>
      <w:r>
        <w:rPr>
          <w:rFonts w:asciiTheme="majorBidi" w:hAnsiTheme="majorBidi" w:cstheme="majorBidi"/>
          <w:sz w:val="24"/>
          <w:szCs w:val="24"/>
        </w:rPr>
        <w:t>initial</w:t>
      </w:r>
      <w:r w:rsidR="00C26D58" w:rsidRPr="00EF7113">
        <w:rPr>
          <w:rFonts w:asciiTheme="majorBidi" w:hAnsiTheme="majorBidi" w:cstheme="majorBidi"/>
          <w:sz w:val="24"/>
          <w:szCs w:val="24"/>
        </w:rPr>
        <w:t xml:space="preserve"> institutional processes left a</w:t>
      </w:r>
      <w:r w:rsidR="00031498" w:rsidRPr="00EF7113">
        <w:rPr>
          <w:rFonts w:asciiTheme="majorBidi" w:hAnsiTheme="majorBidi" w:cstheme="majorBidi"/>
          <w:sz w:val="24"/>
          <w:szCs w:val="24"/>
        </w:rPr>
        <w:t>n unfortunate</w:t>
      </w:r>
      <w:r w:rsidR="00C26D58" w:rsidRPr="00EF7113">
        <w:rPr>
          <w:rFonts w:asciiTheme="majorBidi" w:hAnsiTheme="majorBidi" w:cstheme="majorBidi"/>
          <w:sz w:val="24"/>
          <w:szCs w:val="24"/>
        </w:rPr>
        <w:t xml:space="preserve"> legacy: ANPHA’s remit echoed that of the Taskforce, clustered around the major causes of prevent</w:t>
      </w:r>
      <w:r>
        <w:rPr>
          <w:rFonts w:asciiTheme="majorBidi" w:hAnsiTheme="majorBidi" w:cstheme="majorBidi"/>
          <w:sz w:val="24"/>
          <w:szCs w:val="24"/>
        </w:rPr>
        <w:t>able non-communicable diseases (</w:t>
      </w:r>
      <w:r w:rsidR="00C26D58" w:rsidRPr="00EF7113">
        <w:rPr>
          <w:rFonts w:asciiTheme="majorBidi" w:hAnsiTheme="majorBidi" w:cstheme="majorBidi"/>
          <w:sz w:val="24"/>
          <w:szCs w:val="24"/>
        </w:rPr>
        <w:t>tobacco, alcohol, obesity</w:t>
      </w:r>
      <w:r>
        <w:rPr>
          <w:rFonts w:asciiTheme="majorBidi" w:hAnsiTheme="majorBidi" w:cstheme="majorBidi"/>
          <w:sz w:val="24"/>
          <w:szCs w:val="24"/>
        </w:rPr>
        <w:t>)</w:t>
      </w:r>
      <w:r w:rsidR="00C26D58" w:rsidRPr="00EF7113">
        <w:rPr>
          <w:rFonts w:asciiTheme="majorBidi" w:hAnsiTheme="majorBidi" w:cstheme="majorBidi"/>
          <w:sz w:val="24"/>
          <w:szCs w:val="24"/>
        </w:rPr>
        <w:t xml:space="preserve">. </w:t>
      </w:r>
      <w:r w:rsidR="00DB606A">
        <w:rPr>
          <w:rFonts w:asciiTheme="majorBidi" w:hAnsiTheme="majorBidi" w:cstheme="majorBidi"/>
          <w:sz w:val="24"/>
          <w:szCs w:val="24"/>
        </w:rPr>
        <w:t xml:space="preserve">Exemplifying </w:t>
      </w:r>
      <w:r w:rsidR="00DB606A">
        <w:rPr>
          <w:rFonts w:asciiTheme="majorBidi" w:hAnsiTheme="majorBidi" w:cstheme="majorBidi"/>
          <w:sz w:val="24"/>
          <w:szCs w:val="24"/>
        </w:rPr>
        <w:lastRenderedPageBreak/>
        <w:t xml:space="preserve">the staunch industry resistance in Baker et al.’s (2017) recent account of the politics surrounding obesity in Australia, </w:t>
      </w:r>
      <w:r w:rsidR="00C26D58" w:rsidRPr="00EF7113">
        <w:rPr>
          <w:rFonts w:asciiTheme="majorBidi" w:hAnsiTheme="majorBidi" w:cstheme="majorBidi"/>
          <w:sz w:val="24"/>
          <w:szCs w:val="24"/>
        </w:rPr>
        <w:t xml:space="preserve">ANPHA was constituted directly in opposition to </w:t>
      </w:r>
      <w:r w:rsidR="007F4D46" w:rsidRPr="00EF7113">
        <w:rPr>
          <w:rFonts w:asciiTheme="majorBidi" w:hAnsiTheme="majorBidi" w:cstheme="majorBidi"/>
          <w:sz w:val="24"/>
          <w:szCs w:val="24"/>
        </w:rPr>
        <w:t>Big Tobacco, Big A</w:t>
      </w:r>
      <w:r w:rsidR="002C3F9C" w:rsidRPr="00EF7113">
        <w:rPr>
          <w:rFonts w:asciiTheme="majorBidi" w:hAnsiTheme="majorBidi" w:cstheme="majorBidi"/>
          <w:sz w:val="24"/>
          <w:szCs w:val="24"/>
        </w:rPr>
        <w:t>lcohol and</w:t>
      </w:r>
      <w:r w:rsidR="007F4D46" w:rsidRPr="00EF7113">
        <w:rPr>
          <w:rFonts w:asciiTheme="majorBidi" w:hAnsiTheme="majorBidi" w:cstheme="majorBidi"/>
          <w:sz w:val="24"/>
          <w:szCs w:val="24"/>
        </w:rPr>
        <w:t xml:space="preserve"> Big F</w:t>
      </w:r>
      <w:r w:rsidR="002C3F9C" w:rsidRPr="00EF7113">
        <w:rPr>
          <w:rFonts w:asciiTheme="majorBidi" w:hAnsiTheme="majorBidi" w:cstheme="majorBidi"/>
          <w:sz w:val="24"/>
          <w:szCs w:val="24"/>
        </w:rPr>
        <w:t>oo</w:t>
      </w:r>
      <w:r w:rsidR="007F4D46" w:rsidRPr="00EF7113">
        <w:rPr>
          <w:rFonts w:asciiTheme="majorBidi" w:hAnsiTheme="majorBidi" w:cstheme="majorBidi"/>
          <w:sz w:val="24"/>
          <w:szCs w:val="24"/>
        </w:rPr>
        <w:t>d</w:t>
      </w:r>
      <w:r w:rsidR="00C26D58" w:rsidRPr="00EF7113">
        <w:rPr>
          <w:rFonts w:asciiTheme="majorBidi" w:hAnsiTheme="majorBidi" w:cstheme="majorBidi"/>
          <w:sz w:val="24"/>
          <w:szCs w:val="24"/>
        </w:rPr>
        <w:t>.  It had powerful enemies from the outset</w:t>
      </w:r>
      <w:r w:rsidR="00A52E6D">
        <w:rPr>
          <w:rFonts w:asciiTheme="majorBidi" w:hAnsiTheme="majorBidi" w:cstheme="majorBidi"/>
          <w:sz w:val="24"/>
          <w:szCs w:val="24"/>
        </w:rPr>
        <w:t>, as one official mused</w:t>
      </w:r>
      <w:r w:rsidR="00C26D58" w:rsidRPr="00EF7113">
        <w:rPr>
          <w:rFonts w:asciiTheme="majorBidi" w:hAnsiTheme="majorBidi" w:cstheme="majorBidi"/>
          <w:sz w:val="24"/>
          <w:szCs w:val="24"/>
        </w:rPr>
        <w:t>:</w:t>
      </w:r>
    </w:p>
    <w:p w14:paraId="27393D2A" w14:textId="0CC88F2B" w:rsidR="002438E0" w:rsidRPr="00EF7113" w:rsidRDefault="00DC0A9F" w:rsidP="00A275BB">
      <w:pPr>
        <w:spacing w:line="480" w:lineRule="auto"/>
        <w:ind w:left="720"/>
        <w:rPr>
          <w:rFonts w:asciiTheme="majorBidi" w:hAnsiTheme="majorBidi" w:cstheme="majorBidi"/>
          <w:sz w:val="24"/>
          <w:szCs w:val="24"/>
        </w:rPr>
      </w:pPr>
      <w:r>
        <w:rPr>
          <w:rFonts w:asciiTheme="majorBidi" w:hAnsiTheme="majorBidi" w:cstheme="majorBidi"/>
          <w:sz w:val="24"/>
          <w:szCs w:val="24"/>
        </w:rPr>
        <w:t>[We]</w:t>
      </w:r>
      <w:r w:rsidR="00C4452A" w:rsidRPr="00EF7113">
        <w:rPr>
          <w:rFonts w:asciiTheme="majorBidi" w:hAnsiTheme="majorBidi" w:cstheme="majorBidi"/>
          <w:sz w:val="24"/>
          <w:szCs w:val="24"/>
        </w:rPr>
        <w:t xml:space="preserve"> got rung by the secretary and told to lay off the alcohol industry. </w:t>
      </w:r>
      <w:r>
        <w:rPr>
          <w:rFonts w:asciiTheme="majorBidi" w:hAnsiTheme="majorBidi" w:cstheme="majorBidi"/>
          <w:sz w:val="24"/>
          <w:szCs w:val="24"/>
        </w:rPr>
        <w:t>[The alcohol industry]</w:t>
      </w:r>
      <w:r w:rsidR="00C4452A" w:rsidRPr="00EF7113">
        <w:rPr>
          <w:rFonts w:asciiTheme="majorBidi" w:hAnsiTheme="majorBidi" w:cstheme="majorBidi"/>
          <w:sz w:val="24"/>
          <w:szCs w:val="24"/>
        </w:rPr>
        <w:t xml:space="preserve"> were in with the Minister. The Minister’s advisor was telling </w:t>
      </w:r>
      <w:r>
        <w:rPr>
          <w:rFonts w:asciiTheme="majorBidi" w:hAnsiTheme="majorBidi" w:cstheme="majorBidi"/>
          <w:sz w:val="24"/>
          <w:szCs w:val="24"/>
        </w:rPr>
        <w:t>us</w:t>
      </w:r>
      <w:r w:rsidRPr="00EF7113">
        <w:rPr>
          <w:rFonts w:asciiTheme="majorBidi" w:hAnsiTheme="majorBidi" w:cstheme="majorBidi"/>
          <w:sz w:val="24"/>
          <w:szCs w:val="24"/>
        </w:rPr>
        <w:t xml:space="preserve"> </w:t>
      </w:r>
      <w:r w:rsidR="00C4452A" w:rsidRPr="00EF7113">
        <w:rPr>
          <w:rFonts w:asciiTheme="majorBidi" w:hAnsiTheme="majorBidi" w:cstheme="majorBidi"/>
          <w:sz w:val="24"/>
          <w:szCs w:val="24"/>
        </w:rPr>
        <w:t>they weren’t so bad, and to lay off them. This is a Labor Minister!</w:t>
      </w:r>
    </w:p>
    <w:p w14:paraId="60818FE5" w14:textId="77777777" w:rsidR="001F1D37" w:rsidRPr="00EF7113" w:rsidRDefault="00213114" w:rsidP="00A275BB">
      <w:pPr>
        <w:spacing w:line="480" w:lineRule="auto"/>
        <w:rPr>
          <w:rFonts w:asciiTheme="majorBidi" w:hAnsiTheme="majorBidi" w:cstheme="majorBidi"/>
          <w:i/>
          <w:iCs/>
          <w:sz w:val="24"/>
          <w:szCs w:val="24"/>
        </w:rPr>
      </w:pPr>
      <w:r w:rsidRPr="00EF7113">
        <w:rPr>
          <w:rFonts w:asciiTheme="majorBidi" w:hAnsiTheme="majorBidi" w:cstheme="majorBidi"/>
          <w:i/>
          <w:iCs/>
          <w:sz w:val="24"/>
          <w:szCs w:val="24"/>
        </w:rPr>
        <w:t xml:space="preserve">Scope: Small capacity, </w:t>
      </w:r>
      <w:r w:rsidR="00C26D58" w:rsidRPr="00EF7113">
        <w:rPr>
          <w:rFonts w:asciiTheme="majorBidi" w:hAnsiTheme="majorBidi" w:cstheme="majorBidi"/>
          <w:i/>
          <w:iCs/>
          <w:sz w:val="24"/>
          <w:szCs w:val="24"/>
        </w:rPr>
        <w:t xml:space="preserve">unruly remit </w:t>
      </w:r>
    </w:p>
    <w:p w14:paraId="657A3807" w14:textId="4F9ABEE8" w:rsidR="005273BB" w:rsidRPr="00EF7113" w:rsidRDefault="00213114"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ANPHA’s remit</w:t>
      </w:r>
      <w:r w:rsidR="0048739E" w:rsidRPr="00EF7113">
        <w:rPr>
          <w:rFonts w:asciiTheme="majorBidi" w:hAnsiTheme="majorBidi" w:cstheme="majorBidi"/>
          <w:sz w:val="24"/>
          <w:szCs w:val="24"/>
        </w:rPr>
        <w:t xml:space="preserve"> was to produce a wide variety of out</w:t>
      </w:r>
      <w:r w:rsidR="007F4D46" w:rsidRPr="00EF7113">
        <w:rPr>
          <w:rFonts w:asciiTheme="majorBidi" w:hAnsiTheme="majorBidi" w:cstheme="majorBidi"/>
          <w:sz w:val="24"/>
          <w:szCs w:val="24"/>
        </w:rPr>
        <w:t>puts</w:t>
      </w:r>
      <w:r w:rsidR="0048739E" w:rsidRPr="00EF7113">
        <w:rPr>
          <w:rFonts w:asciiTheme="majorBidi" w:hAnsiTheme="majorBidi" w:cstheme="majorBidi"/>
          <w:sz w:val="24"/>
          <w:szCs w:val="24"/>
        </w:rPr>
        <w:t xml:space="preserve">. As forgers of a brand new agency, the initial staff spent its early life working out what to do. </w:t>
      </w:r>
      <w:r w:rsidR="005273BB" w:rsidRPr="00EF7113">
        <w:rPr>
          <w:rFonts w:asciiTheme="majorBidi" w:hAnsiTheme="majorBidi" w:cstheme="majorBidi"/>
          <w:sz w:val="24"/>
          <w:szCs w:val="24"/>
        </w:rPr>
        <w:t>An industry representative put it witheringly:</w:t>
      </w:r>
    </w:p>
    <w:p w14:paraId="1CC45DB4" w14:textId="77777777" w:rsidR="005273BB" w:rsidRPr="00EF7113" w:rsidRDefault="00EC4AE0"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I think it was set up as a gesture</w:t>
      </w:r>
      <w:r w:rsidR="00213114" w:rsidRPr="00EF7113">
        <w:rPr>
          <w:rFonts w:asciiTheme="majorBidi" w:hAnsiTheme="majorBidi" w:cstheme="majorBidi"/>
          <w:sz w:val="24"/>
          <w:szCs w:val="24"/>
        </w:rPr>
        <w:t xml:space="preserve"> to the public h</w:t>
      </w:r>
      <w:r w:rsidR="00030DEE" w:rsidRPr="00EF7113">
        <w:rPr>
          <w:rFonts w:asciiTheme="majorBidi" w:hAnsiTheme="majorBidi" w:cstheme="majorBidi"/>
          <w:sz w:val="24"/>
          <w:szCs w:val="24"/>
        </w:rPr>
        <w:t xml:space="preserve">ealth lobby, </w:t>
      </w:r>
      <w:r w:rsidRPr="00EF7113">
        <w:rPr>
          <w:rFonts w:asciiTheme="majorBidi" w:hAnsiTheme="majorBidi" w:cstheme="majorBidi"/>
          <w:sz w:val="24"/>
          <w:szCs w:val="24"/>
        </w:rPr>
        <w:t xml:space="preserve">saying ‘Okay, you’ve asked for it, so here it is.’  And </w:t>
      </w:r>
      <w:r w:rsidR="00213114" w:rsidRPr="00EF7113">
        <w:rPr>
          <w:rFonts w:asciiTheme="majorBidi" w:hAnsiTheme="majorBidi" w:cstheme="majorBidi"/>
          <w:sz w:val="24"/>
          <w:szCs w:val="24"/>
        </w:rPr>
        <w:t>I suspect the public h</w:t>
      </w:r>
      <w:r w:rsidRPr="00EF7113">
        <w:rPr>
          <w:rFonts w:asciiTheme="majorBidi" w:hAnsiTheme="majorBidi" w:cstheme="majorBidi"/>
          <w:sz w:val="24"/>
          <w:szCs w:val="24"/>
        </w:rPr>
        <w:t>ealth lobby were surprised when they got this, and they hadn’t thought enough and given the government enough insight as to what they expected it would do.  I think it was the classic case of, you know, ‘Be careful for what you ask for because you might actually get it!’</w:t>
      </w:r>
    </w:p>
    <w:p w14:paraId="520EC81E" w14:textId="18055270" w:rsidR="0048739E" w:rsidRPr="00EF7113" w:rsidRDefault="005A41A3" w:rsidP="00A275BB">
      <w:pPr>
        <w:spacing w:line="480" w:lineRule="auto"/>
        <w:rPr>
          <w:rFonts w:asciiTheme="majorBidi" w:hAnsiTheme="majorBidi" w:cstheme="majorBidi"/>
          <w:sz w:val="24"/>
          <w:szCs w:val="24"/>
        </w:rPr>
      </w:pPr>
      <w:r>
        <w:rPr>
          <w:rFonts w:asciiTheme="majorBidi" w:hAnsiTheme="majorBidi" w:cstheme="majorBidi"/>
          <w:sz w:val="24"/>
          <w:szCs w:val="24"/>
        </w:rPr>
        <w:t>F</w:t>
      </w:r>
      <w:r w:rsidR="00EC4AE0" w:rsidRPr="00EF7113">
        <w:rPr>
          <w:rFonts w:asciiTheme="majorBidi" w:hAnsiTheme="majorBidi" w:cstheme="majorBidi"/>
          <w:sz w:val="24"/>
          <w:szCs w:val="24"/>
        </w:rPr>
        <w:t>rom the perspective of public health advocates and the officials involved,</w:t>
      </w:r>
      <w:r w:rsidR="0048739E" w:rsidRPr="00EF7113">
        <w:rPr>
          <w:rFonts w:asciiTheme="majorBidi" w:hAnsiTheme="majorBidi" w:cstheme="majorBidi"/>
          <w:sz w:val="24"/>
          <w:szCs w:val="24"/>
        </w:rPr>
        <w:t xml:space="preserve"> </w:t>
      </w:r>
      <w:r w:rsidR="00EC4AE0" w:rsidRPr="00EF7113">
        <w:rPr>
          <w:rFonts w:asciiTheme="majorBidi" w:hAnsiTheme="majorBidi" w:cstheme="majorBidi"/>
          <w:sz w:val="24"/>
          <w:szCs w:val="24"/>
        </w:rPr>
        <w:t>the issue was a lack of resources and ca</w:t>
      </w:r>
      <w:r w:rsidR="00561B89" w:rsidRPr="00EF7113">
        <w:rPr>
          <w:rFonts w:asciiTheme="majorBidi" w:hAnsiTheme="majorBidi" w:cstheme="majorBidi"/>
          <w:sz w:val="24"/>
          <w:szCs w:val="24"/>
        </w:rPr>
        <w:t>pacity</w:t>
      </w:r>
      <w:r w:rsidR="0048739E" w:rsidRPr="00EF7113">
        <w:rPr>
          <w:rFonts w:asciiTheme="majorBidi" w:hAnsiTheme="majorBidi" w:cstheme="majorBidi"/>
          <w:sz w:val="24"/>
          <w:szCs w:val="24"/>
        </w:rPr>
        <w:t>. ANPHA was run on a shoestring, with a skeleton staff mostly relo</w:t>
      </w:r>
      <w:r w:rsidR="005273BB" w:rsidRPr="00EF7113">
        <w:rPr>
          <w:rFonts w:asciiTheme="majorBidi" w:hAnsiTheme="majorBidi" w:cstheme="majorBidi"/>
          <w:sz w:val="24"/>
          <w:szCs w:val="24"/>
        </w:rPr>
        <w:t>cated to a small office across town</w:t>
      </w:r>
      <w:r w:rsidR="0048739E" w:rsidRPr="00EF7113">
        <w:rPr>
          <w:rFonts w:asciiTheme="majorBidi" w:hAnsiTheme="majorBidi" w:cstheme="majorBidi"/>
          <w:sz w:val="24"/>
          <w:szCs w:val="24"/>
        </w:rPr>
        <w:t xml:space="preserve"> from the He</w:t>
      </w:r>
      <w:r w:rsidR="00EC4AE0" w:rsidRPr="00EF7113">
        <w:rPr>
          <w:rFonts w:asciiTheme="majorBidi" w:hAnsiTheme="majorBidi" w:cstheme="majorBidi"/>
          <w:sz w:val="24"/>
          <w:szCs w:val="24"/>
        </w:rPr>
        <w:t xml:space="preserve">alth Department. </w:t>
      </w:r>
      <w:r w:rsidR="0048739E" w:rsidRPr="00EF7113">
        <w:rPr>
          <w:rFonts w:asciiTheme="majorBidi" w:hAnsiTheme="majorBidi" w:cstheme="majorBidi"/>
          <w:sz w:val="24"/>
          <w:szCs w:val="24"/>
        </w:rPr>
        <w:t>This combination made ANPHA’s sustainability unlikely. It had a big</w:t>
      </w:r>
      <w:r w:rsidR="007F4D46" w:rsidRPr="00EF7113">
        <w:rPr>
          <w:rFonts w:asciiTheme="majorBidi" w:hAnsiTheme="majorBidi" w:cstheme="majorBidi"/>
          <w:sz w:val="24"/>
          <w:szCs w:val="24"/>
        </w:rPr>
        <w:t xml:space="preserve"> and unruly</w:t>
      </w:r>
      <w:r w:rsidR="00DC19C8">
        <w:rPr>
          <w:rFonts w:asciiTheme="majorBidi" w:hAnsiTheme="majorBidi" w:cstheme="majorBidi"/>
          <w:sz w:val="24"/>
          <w:szCs w:val="24"/>
        </w:rPr>
        <w:t xml:space="preserve"> remit and routine </w:t>
      </w:r>
      <w:r w:rsidR="0048739E" w:rsidRPr="00EF7113">
        <w:rPr>
          <w:rFonts w:asciiTheme="majorBidi" w:hAnsiTheme="majorBidi" w:cstheme="majorBidi"/>
          <w:sz w:val="24"/>
          <w:szCs w:val="24"/>
        </w:rPr>
        <w:t xml:space="preserve">contact with other powerful bodies. </w:t>
      </w:r>
      <w:r w:rsidR="00DC19C8">
        <w:rPr>
          <w:rFonts w:asciiTheme="majorBidi" w:hAnsiTheme="majorBidi" w:cstheme="majorBidi"/>
          <w:sz w:val="24"/>
          <w:szCs w:val="24"/>
        </w:rPr>
        <w:t xml:space="preserve">In particular, the Department of Health’s leadership was </w:t>
      </w:r>
      <w:r w:rsidR="005273BB" w:rsidRPr="00EF7113">
        <w:rPr>
          <w:rFonts w:asciiTheme="majorBidi" w:hAnsiTheme="majorBidi" w:cstheme="majorBidi"/>
          <w:sz w:val="24"/>
          <w:szCs w:val="24"/>
        </w:rPr>
        <w:t xml:space="preserve">widely seen as </w:t>
      </w:r>
      <w:r w:rsidR="004C6DB6" w:rsidRPr="00EF7113">
        <w:rPr>
          <w:rFonts w:asciiTheme="majorBidi" w:hAnsiTheme="majorBidi" w:cstheme="majorBidi"/>
          <w:sz w:val="24"/>
          <w:szCs w:val="24"/>
        </w:rPr>
        <w:t xml:space="preserve">patch protective. </w:t>
      </w:r>
      <w:r w:rsidR="007F4D46" w:rsidRPr="00EF7113">
        <w:rPr>
          <w:rFonts w:asciiTheme="majorBidi" w:hAnsiTheme="majorBidi" w:cstheme="majorBidi"/>
          <w:sz w:val="24"/>
          <w:szCs w:val="24"/>
        </w:rPr>
        <w:t>Most of the i</w:t>
      </w:r>
      <w:r w:rsidR="00402773">
        <w:rPr>
          <w:rFonts w:asciiTheme="majorBidi" w:hAnsiTheme="majorBidi" w:cstheme="majorBidi"/>
          <w:sz w:val="24"/>
          <w:szCs w:val="24"/>
        </w:rPr>
        <w:t>nterview participants noted intense</w:t>
      </w:r>
      <w:r w:rsidR="007F4D46" w:rsidRPr="00EF7113">
        <w:rPr>
          <w:rFonts w:asciiTheme="majorBidi" w:hAnsiTheme="majorBidi" w:cstheme="majorBidi"/>
          <w:sz w:val="24"/>
          <w:szCs w:val="24"/>
        </w:rPr>
        <w:t xml:space="preserve"> </w:t>
      </w:r>
      <w:r w:rsidR="00402773" w:rsidRPr="00EF7113">
        <w:rPr>
          <w:rFonts w:asciiTheme="majorBidi" w:hAnsiTheme="majorBidi" w:cstheme="majorBidi"/>
          <w:sz w:val="24"/>
          <w:szCs w:val="24"/>
        </w:rPr>
        <w:t>hostil</w:t>
      </w:r>
      <w:r w:rsidR="00402773">
        <w:rPr>
          <w:rFonts w:asciiTheme="majorBidi" w:hAnsiTheme="majorBidi" w:cstheme="majorBidi"/>
          <w:sz w:val="24"/>
          <w:szCs w:val="24"/>
        </w:rPr>
        <w:t>ity</w:t>
      </w:r>
      <w:r w:rsidR="00402773" w:rsidRPr="00EF7113">
        <w:rPr>
          <w:rFonts w:asciiTheme="majorBidi" w:hAnsiTheme="majorBidi" w:cstheme="majorBidi"/>
          <w:sz w:val="24"/>
          <w:szCs w:val="24"/>
        </w:rPr>
        <w:t xml:space="preserve"> to ANPHA </w:t>
      </w:r>
      <w:r w:rsidR="00DC19C8">
        <w:rPr>
          <w:rFonts w:asciiTheme="majorBidi" w:hAnsiTheme="majorBidi" w:cstheme="majorBidi"/>
          <w:sz w:val="24"/>
          <w:szCs w:val="24"/>
        </w:rPr>
        <w:t xml:space="preserve">(although </w:t>
      </w:r>
      <w:r w:rsidR="007F4D46" w:rsidRPr="00EF7113">
        <w:rPr>
          <w:rFonts w:asciiTheme="majorBidi" w:hAnsiTheme="majorBidi" w:cstheme="majorBidi"/>
          <w:sz w:val="24"/>
          <w:szCs w:val="24"/>
        </w:rPr>
        <w:t>few were willing to go on the record</w:t>
      </w:r>
      <w:r w:rsidR="00DC19C8">
        <w:rPr>
          <w:rFonts w:asciiTheme="majorBidi" w:hAnsiTheme="majorBidi" w:cstheme="majorBidi"/>
          <w:sz w:val="24"/>
          <w:szCs w:val="24"/>
        </w:rPr>
        <w:t>)</w:t>
      </w:r>
      <w:r w:rsidR="004C6DB6" w:rsidRPr="00EF7113">
        <w:rPr>
          <w:rFonts w:asciiTheme="majorBidi" w:hAnsiTheme="majorBidi" w:cstheme="majorBidi"/>
          <w:sz w:val="24"/>
          <w:szCs w:val="24"/>
        </w:rPr>
        <w:t>:</w:t>
      </w:r>
    </w:p>
    <w:p w14:paraId="4BD910B1" w14:textId="77777777" w:rsidR="00402773" w:rsidRDefault="00B4042C"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lastRenderedPageBreak/>
        <w:t>Jane Halton, the Secretary of the Department, was really opposed to the idea and it was only really that the Minister said, ‘No, it’s going to happen,’ that ANPHA was created. But it was always a bit constrained in terms of its budget, its operational capacity, its independence.</w:t>
      </w:r>
    </w:p>
    <w:p w14:paraId="59EC4C72" w14:textId="1E3EFBBF" w:rsidR="002438E0" w:rsidRPr="00EF7113" w:rsidRDefault="00402773"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The</w:t>
      </w:r>
      <w:r>
        <w:rPr>
          <w:rFonts w:asciiTheme="majorBidi" w:hAnsiTheme="majorBidi" w:cstheme="majorBidi"/>
          <w:sz w:val="24"/>
          <w:szCs w:val="24"/>
        </w:rPr>
        <w:t xml:space="preserve"> </w:t>
      </w:r>
      <w:r w:rsidRPr="00EF7113">
        <w:rPr>
          <w:rFonts w:asciiTheme="majorBidi" w:hAnsiTheme="majorBidi" w:cstheme="majorBidi"/>
          <w:sz w:val="24"/>
          <w:szCs w:val="24"/>
        </w:rPr>
        <w:t xml:space="preserve">task </w:t>
      </w:r>
      <w:r w:rsidR="00A52E6D">
        <w:rPr>
          <w:rFonts w:asciiTheme="majorBidi" w:hAnsiTheme="majorBidi" w:cstheme="majorBidi"/>
          <w:sz w:val="24"/>
          <w:szCs w:val="24"/>
        </w:rPr>
        <w:t xml:space="preserve">of appealing to and appeasing these stakeholders </w:t>
      </w:r>
      <w:r w:rsidRPr="00EF7113">
        <w:rPr>
          <w:rFonts w:asciiTheme="majorBidi" w:hAnsiTheme="majorBidi" w:cstheme="majorBidi"/>
          <w:sz w:val="24"/>
          <w:szCs w:val="24"/>
        </w:rPr>
        <w:t>was, in the word of one experienced campaigner, ‘like dancing with an octopus’.</w:t>
      </w:r>
      <w:r w:rsidR="00677DCD" w:rsidRPr="00EF7113">
        <w:rPr>
          <w:rFonts w:asciiTheme="majorBidi" w:hAnsiTheme="majorBidi" w:cstheme="majorBidi"/>
          <w:sz w:val="24"/>
          <w:szCs w:val="24"/>
        </w:rPr>
        <w:t xml:space="preserve"> </w:t>
      </w:r>
    </w:p>
    <w:p w14:paraId="118452F3" w14:textId="08D1E63E" w:rsidR="004C6DB6" w:rsidRPr="00EF7113" w:rsidRDefault="004C6DB6" w:rsidP="00A275BB">
      <w:pPr>
        <w:spacing w:line="480" w:lineRule="auto"/>
        <w:rPr>
          <w:rFonts w:asciiTheme="majorBidi" w:hAnsiTheme="majorBidi" w:cstheme="majorBidi"/>
          <w:i/>
          <w:iCs/>
          <w:color w:val="FF0000"/>
          <w:sz w:val="24"/>
          <w:szCs w:val="24"/>
        </w:rPr>
      </w:pPr>
      <w:r w:rsidRPr="00EF7113">
        <w:rPr>
          <w:rFonts w:asciiTheme="majorBidi" w:hAnsiTheme="majorBidi" w:cstheme="majorBidi"/>
          <w:i/>
          <w:iCs/>
          <w:sz w:val="24"/>
          <w:szCs w:val="24"/>
        </w:rPr>
        <w:t xml:space="preserve">Standing: </w:t>
      </w:r>
      <w:r w:rsidR="00342E81" w:rsidRPr="00EF7113">
        <w:rPr>
          <w:rFonts w:asciiTheme="majorBidi" w:hAnsiTheme="majorBidi" w:cstheme="majorBidi"/>
          <w:i/>
          <w:iCs/>
          <w:sz w:val="24"/>
          <w:szCs w:val="24"/>
        </w:rPr>
        <w:t>No ‘quick wins’</w:t>
      </w:r>
    </w:p>
    <w:p w14:paraId="1C6EECA0" w14:textId="0BD285E7" w:rsidR="00031498" w:rsidRPr="00EF7113" w:rsidRDefault="00031498"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Many of our participants attributed </w:t>
      </w:r>
      <w:r w:rsidR="00A52E6D">
        <w:rPr>
          <w:rFonts w:asciiTheme="majorBidi" w:hAnsiTheme="majorBidi" w:cstheme="majorBidi"/>
          <w:sz w:val="24"/>
          <w:szCs w:val="24"/>
        </w:rPr>
        <w:t>ANPHA’s failure</w:t>
      </w:r>
      <w:r w:rsidRPr="00EF7113">
        <w:rPr>
          <w:rFonts w:asciiTheme="majorBidi" w:hAnsiTheme="majorBidi" w:cstheme="majorBidi"/>
          <w:sz w:val="24"/>
          <w:szCs w:val="24"/>
        </w:rPr>
        <w:t xml:space="preserve"> to a lack of strong institutional standing</w:t>
      </w:r>
      <w:r w:rsidR="00B4042C" w:rsidRPr="00EF7113">
        <w:rPr>
          <w:rFonts w:asciiTheme="majorBidi" w:hAnsiTheme="majorBidi" w:cstheme="majorBidi"/>
          <w:sz w:val="24"/>
          <w:szCs w:val="24"/>
        </w:rPr>
        <w:t xml:space="preserve">. </w:t>
      </w:r>
      <w:r w:rsidR="00205D60">
        <w:rPr>
          <w:rFonts w:asciiTheme="majorBidi" w:hAnsiTheme="majorBidi" w:cstheme="majorBidi"/>
          <w:sz w:val="24"/>
          <w:szCs w:val="24"/>
        </w:rPr>
        <w:t xml:space="preserve">Although branded as an agency, in practice ANPHA lacked many features associated with a fully autonomous status. It </w:t>
      </w:r>
      <w:r w:rsidR="00B4042C" w:rsidRPr="00EF7113">
        <w:rPr>
          <w:rFonts w:asciiTheme="majorBidi" w:hAnsiTheme="majorBidi" w:cstheme="majorBidi"/>
          <w:sz w:val="24"/>
          <w:szCs w:val="24"/>
        </w:rPr>
        <w:t>remained under the thumb of the Department, lacking its own protected budget, direct line to the Minister or Treasury, or independent and empowered board. One advisory group member surmis</w:t>
      </w:r>
      <w:r w:rsidRPr="00EF7113">
        <w:rPr>
          <w:rFonts w:asciiTheme="majorBidi" w:hAnsiTheme="majorBidi" w:cstheme="majorBidi"/>
          <w:sz w:val="24"/>
          <w:szCs w:val="24"/>
        </w:rPr>
        <w:t>ed:</w:t>
      </w:r>
    </w:p>
    <w:p w14:paraId="66788060" w14:textId="77777777" w:rsidR="005273BB" w:rsidRPr="00EF7113" w:rsidRDefault="00B4042C"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What we wanted to happen was clear: we wanted a separate agency that would be responsible for prevention policy. And the structure was wrong from the outset.</w:t>
      </w:r>
    </w:p>
    <w:p w14:paraId="37E1E34E" w14:textId="1E874F6F" w:rsidR="00031498" w:rsidRPr="00EF7113" w:rsidRDefault="004E73D7" w:rsidP="00A275BB">
      <w:pPr>
        <w:spacing w:line="480" w:lineRule="auto"/>
        <w:rPr>
          <w:rFonts w:asciiTheme="majorBidi" w:hAnsiTheme="majorBidi" w:cstheme="majorBidi"/>
          <w:sz w:val="24"/>
          <w:szCs w:val="24"/>
        </w:rPr>
      </w:pPr>
      <w:r>
        <w:rPr>
          <w:rFonts w:asciiTheme="majorBidi" w:hAnsiTheme="majorBidi" w:cstheme="majorBidi"/>
          <w:sz w:val="24"/>
          <w:szCs w:val="24"/>
        </w:rPr>
        <w:t>T</w:t>
      </w:r>
      <w:r w:rsidR="00031498" w:rsidRPr="00EF7113">
        <w:rPr>
          <w:rFonts w:asciiTheme="majorBidi" w:hAnsiTheme="majorBidi" w:cstheme="majorBidi"/>
          <w:sz w:val="24"/>
          <w:szCs w:val="24"/>
        </w:rPr>
        <w:t xml:space="preserve">his institutional architecture </w:t>
      </w:r>
      <w:r w:rsidR="004C35B7" w:rsidRPr="00EF7113">
        <w:rPr>
          <w:rFonts w:asciiTheme="majorBidi" w:hAnsiTheme="majorBidi" w:cstheme="majorBidi"/>
          <w:sz w:val="24"/>
          <w:szCs w:val="24"/>
        </w:rPr>
        <w:t xml:space="preserve">reflected and reinforced the wariness that key actors in and outside government </w:t>
      </w:r>
      <w:r>
        <w:rPr>
          <w:rFonts w:asciiTheme="majorBidi" w:hAnsiTheme="majorBidi" w:cstheme="majorBidi"/>
          <w:sz w:val="24"/>
          <w:szCs w:val="24"/>
        </w:rPr>
        <w:t xml:space="preserve">had </w:t>
      </w:r>
      <w:r w:rsidR="004C35B7" w:rsidRPr="00EF7113">
        <w:rPr>
          <w:rFonts w:asciiTheme="majorBidi" w:hAnsiTheme="majorBidi" w:cstheme="majorBidi"/>
          <w:sz w:val="24"/>
          <w:szCs w:val="24"/>
        </w:rPr>
        <w:t>about the new age</w:t>
      </w:r>
      <w:r w:rsidR="00122AD4" w:rsidRPr="00EF7113">
        <w:rPr>
          <w:rFonts w:asciiTheme="majorBidi" w:hAnsiTheme="majorBidi" w:cstheme="majorBidi"/>
          <w:sz w:val="24"/>
          <w:szCs w:val="24"/>
        </w:rPr>
        <w:t>ncy</w:t>
      </w:r>
      <w:r w:rsidR="00DB606A">
        <w:rPr>
          <w:rFonts w:asciiTheme="majorBidi" w:hAnsiTheme="majorBidi" w:cstheme="majorBidi"/>
          <w:sz w:val="24"/>
          <w:szCs w:val="24"/>
        </w:rPr>
        <w:t xml:space="preserve"> (see also Baker et al. 2017)</w:t>
      </w:r>
      <w:r w:rsidR="00213114" w:rsidRPr="00EF7113">
        <w:rPr>
          <w:rFonts w:asciiTheme="majorBidi" w:hAnsiTheme="majorBidi" w:cstheme="majorBidi"/>
          <w:sz w:val="24"/>
          <w:szCs w:val="24"/>
        </w:rPr>
        <w:t>. A senior civil servant</w:t>
      </w:r>
      <w:r w:rsidR="004C35B7" w:rsidRPr="00EF7113">
        <w:rPr>
          <w:rFonts w:asciiTheme="majorBidi" w:hAnsiTheme="majorBidi" w:cstheme="majorBidi"/>
          <w:sz w:val="24"/>
          <w:szCs w:val="24"/>
        </w:rPr>
        <w:t xml:space="preserve"> explained:</w:t>
      </w:r>
      <w:r w:rsidR="00031498" w:rsidRPr="00EF7113">
        <w:rPr>
          <w:rFonts w:asciiTheme="majorBidi" w:hAnsiTheme="majorBidi" w:cstheme="majorBidi"/>
          <w:sz w:val="24"/>
          <w:szCs w:val="24"/>
        </w:rPr>
        <w:t xml:space="preserve"> </w:t>
      </w:r>
    </w:p>
    <w:p w14:paraId="6FD9E78C" w14:textId="77777777" w:rsidR="005273BB" w:rsidRPr="00EF7113" w:rsidRDefault="00122AD4"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[Public health] people really wanted – you know, if it was going to be able to do the things that the Commonwealth Department couldn’t do – they wanted it to be really independent.  But that was a very hard ask, especially when, increasingly, Treasuries don’t want a plethora of new agencies and bodies.</w:t>
      </w:r>
    </w:p>
    <w:p w14:paraId="1594D940" w14:textId="4FDB52F1" w:rsidR="000E5D5E" w:rsidRPr="00EF7113" w:rsidRDefault="000E5D5E"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I</w:t>
      </w:r>
      <w:r w:rsidR="00031498" w:rsidRPr="00EF7113">
        <w:rPr>
          <w:rFonts w:asciiTheme="majorBidi" w:hAnsiTheme="majorBidi" w:cstheme="majorBidi"/>
          <w:sz w:val="24"/>
          <w:szCs w:val="24"/>
        </w:rPr>
        <w:t>n any case,</w:t>
      </w:r>
      <w:r w:rsidRPr="00EF7113">
        <w:rPr>
          <w:rFonts w:asciiTheme="majorBidi" w:hAnsiTheme="majorBidi" w:cstheme="majorBidi"/>
          <w:sz w:val="24"/>
          <w:szCs w:val="24"/>
        </w:rPr>
        <w:t xml:space="preserve"> the failure to</w:t>
      </w:r>
      <w:r w:rsidR="00342E81" w:rsidRPr="00EF7113">
        <w:rPr>
          <w:rFonts w:asciiTheme="majorBidi" w:hAnsiTheme="majorBidi" w:cstheme="majorBidi"/>
          <w:sz w:val="24"/>
          <w:szCs w:val="24"/>
        </w:rPr>
        <w:t xml:space="preserve"> get ‘quick wins’</w:t>
      </w:r>
      <w:r w:rsidR="00402773">
        <w:rPr>
          <w:rFonts w:asciiTheme="majorBidi" w:hAnsiTheme="majorBidi" w:cstheme="majorBidi"/>
          <w:sz w:val="24"/>
          <w:szCs w:val="24"/>
        </w:rPr>
        <w:t xml:space="preserve"> </w:t>
      </w:r>
      <w:r w:rsidRPr="00EF7113">
        <w:rPr>
          <w:rFonts w:asciiTheme="majorBidi" w:hAnsiTheme="majorBidi" w:cstheme="majorBidi"/>
          <w:sz w:val="24"/>
          <w:szCs w:val="24"/>
        </w:rPr>
        <w:t xml:space="preserve">sealed its fate. The unclear remit and </w:t>
      </w:r>
      <w:r w:rsidR="001B2D7D" w:rsidRPr="00EF7113">
        <w:rPr>
          <w:rFonts w:asciiTheme="majorBidi" w:hAnsiTheme="majorBidi" w:cstheme="majorBidi"/>
          <w:sz w:val="24"/>
          <w:szCs w:val="24"/>
        </w:rPr>
        <w:t>piecemeal</w:t>
      </w:r>
      <w:r w:rsidRPr="00EF7113">
        <w:rPr>
          <w:rFonts w:asciiTheme="majorBidi" w:hAnsiTheme="majorBidi" w:cstheme="majorBidi"/>
          <w:sz w:val="24"/>
          <w:szCs w:val="24"/>
        </w:rPr>
        <w:t xml:space="preserve"> programme of work made it difficul</w:t>
      </w:r>
      <w:r w:rsidR="001B2D7D" w:rsidRPr="00EF7113">
        <w:rPr>
          <w:rFonts w:asciiTheme="majorBidi" w:hAnsiTheme="majorBidi" w:cstheme="majorBidi"/>
          <w:sz w:val="24"/>
          <w:szCs w:val="24"/>
        </w:rPr>
        <w:t>t to build a reputation for</w:t>
      </w:r>
      <w:r w:rsidRPr="00EF7113">
        <w:rPr>
          <w:rFonts w:asciiTheme="majorBidi" w:hAnsiTheme="majorBidi" w:cstheme="majorBidi"/>
          <w:sz w:val="24"/>
          <w:szCs w:val="24"/>
        </w:rPr>
        <w:t xml:space="preserve"> credible performance.</w:t>
      </w:r>
      <w:r w:rsidR="00A52E6D">
        <w:rPr>
          <w:rFonts w:asciiTheme="majorBidi" w:hAnsiTheme="majorBidi" w:cstheme="majorBidi"/>
          <w:sz w:val="24"/>
          <w:szCs w:val="24"/>
        </w:rPr>
        <w:t xml:space="preserve"> It had </w:t>
      </w:r>
      <w:r w:rsidR="00A52E6D">
        <w:rPr>
          <w:rFonts w:asciiTheme="majorBidi" w:hAnsiTheme="majorBidi" w:cstheme="majorBidi"/>
          <w:sz w:val="24"/>
          <w:szCs w:val="24"/>
        </w:rPr>
        <w:lastRenderedPageBreak/>
        <w:t>only a small, short-term tranche of funding for research grants, and otherwise largely absorbed existing social marketing programmes</w:t>
      </w:r>
      <w:r w:rsidR="00E7704B">
        <w:rPr>
          <w:rFonts w:asciiTheme="majorBidi" w:hAnsiTheme="majorBidi" w:cstheme="majorBidi"/>
          <w:sz w:val="24"/>
          <w:szCs w:val="24"/>
        </w:rPr>
        <w:t xml:space="preserve"> from the line department</w:t>
      </w:r>
      <w:r w:rsidR="00A52E6D">
        <w:rPr>
          <w:rFonts w:asciiTheme="majorBidi" w:hAnsiTheme="majorBidi" w:cstheme="majorBidi"/>
          <w:sz w:val="24"/>
          <w:szCs w:val="24"/>
        </w:rPr>
        <w:t>.</w:t>
      </w:r>
      <w:r w:rsidRPr="00EF7113">
        <w:rPr>
          <w:rFonts w:asciiTheme="majorBidi" w:hAnsiTheme="majorBidi" w:cstheme="majorBidi"/>
          <w:sz w:val="24"/>
          <w:szCs w:val="24"/>
        </w:rPr>
        <w:t xml:space="preserve"> </w:t>
      </w:r>
      <w:r w:rsidR="001B2D7D" w:rsidRPr="00EF7113">
        <w:rPr>
          <w:rFonts w:asciiTheme="majorBidi" w:hAnsiTheme="majorBidi" w:cstheme="majorBidi"/>
          <w:sz w:val="24"/>
          <w:szCs w:val="24"/>
        </w:rPr>
        <w:t xml:space="preserve">In fact, there was a strong feeling that </w:t>
      </w:r>
      <w:r w:rsidR="00A52E6D">
        <w:rPr>
          <w:rFonts w:asciiTheme="majorBidi" w:hAnsiTheme="majorBidi" w:cstheme="majorBidi"/>
          <w:sz w:val="24"/>
          <w:szCs w:val="24"/>
        </w:rPr>
        <w:t xml:space="preserve">absorbing this work </w:t>
      </w:r>
      <w:r w:rsidR="001B2D7D" w:rsidRPr="00EF7113">
        <w:rPr>
          <w:rFonts w:asciiTheme="majorBidi" w:hAnsiTheme="majorBidi" w:cstheme="majorBidi"/>
          <w:sz w:val="24"/>
          <w:szCs w:val="24"/>
        </w:rPr>
        <w:t xml:space="preserve">might have done </w:t>
      </w:r>
      <w:r w:rsidR="00A52E6D">
        <w:rPr>
          <w:rFonts w:asciiTheme="majorBidi" w:hAnsiTheme="majorBidi" w:cstheme="majorBidi"/>
          <w:sz w:val="24"/>
          <w:szCs w:val="24"/>
        </w:rPr>
        <w:t xml:space="preserve">ANPHA </w:t>
      </w:r>
      <w:r w:rsidR="001B2D7D" w:rsidRPr="00EF7113">
        <w:rPr>
          <w:rFonts w:asciiTheme="majorBidi" w:hAnsiTheme="majorBidi" w:cstheme="majorBidi"/>
          <w:sz w:val="24"/>
          <w:szCs w:val="24"/>
        </w:rPr>
        <w:t>more reputational harm than good</w:t>
      </w:r>
      <w:r w:rsidRPr="00EF7113">
        <w:rPr>
          <w:rFonts w:asciiTheme="majorBidi" w:hAnsiTheme="majorBidi" w:cstheme="majorBidi"/>
          <w:sz w:val="24"/>
          <w:szCs w:val="24"/>
        </w:rPr>
        <w:t>:</w:t>
      </w:r>
    </w:p>
    <w:p w14:paraId="0A5F3B9A" w14:textId="1467B417" w:rsidR="00EC4AE0" w:rsidRPr="00EF7113" w:rsidRDefault="00EC4AE0"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I think they felt a bit constrained as far as what they could do, so they kind of had to prove themselves by not being too controversial.</w:t>
      </w:r>
      <w:r w:rsidR="00205D60">
        <w:rPr>
          <w:rFonts w:asciiTheme="majorBidi" w:hAnsiTheme="majorBidi" w:cstheme="majorBidi"/>
          <w:sz w:val="24"/>
          <w:szCs w:val="24"/>
        </w:rPr>
        <w:t xml:space="preserve"> … R</w:t>
      </w:r>
      <w:r w:rsidRPr="00EF7113">
        <w:rPr>
          <w:rFonts w:asciiTheme="majorBidi" w:hAnsiTheme="majorBidi" w:cstheme="majorBidi"/>
          <w:sz w:val="24"/>
          <w:szCs w:val="24"/>
        </w:rPr>
        <w:t xml:space="preserve">eally I was pretty frustrated with that … it was spectacularly unsuccessful.  </w:t>
      </w:r>
    </w:p>
    <w:p w14:paraId="0404B5AB" w14:textId="45F141E7" w:rsidR="00031498" w:rsidRPr="00EF7113" w:rsidRDefault="001B2D7D"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The leadership of ANPHA, hamstrung by capacity constraints, could not produce the sort of outcomes that would make it an indispensable part of the machinery of government. It thus became an obvious target of the incoming Coalition government’s plans for ‘quangocide’, and has lain dormant si</w:t>
      </w:r>
      <w:r w:rsidR="007F4D46" w:rsidRPr="00EF7113">
        <w:rPr>
          <w:rFonts w:asciiTheme="majorBidi" w:hAnsiTheme="majorBidi" w:cstheme="majorBidi"/>
          <w:sz w:val="24"/>
          <w:szCs w:val="24"/>
        </w:rPr>
        <w:t>nce.</w:t>
      </w:r>
    </w:p>
    <w:p w14:paraId="43BA17D2" w14:textId="77777777" w:rsidR="002C3F9C" w:rsidRPr="00EF7113" w:rsidRDefault="00031498" w:rsidP="00A275BB">
      <w:pPr>
        <w:spacing w:line="480" w:lineRule="auto"/>
        <w:rPr>
          <w:rFonts w:asciiTheme="majorBidi" w:hAnsiTheme="majorBidi" w:cstheme="majorBidi"/>
          <w:b/>
          <w:bCs/>
          <w:sz w:val="24"/>
          <w:szCs w:val="24"/>
        </w:rPr>
      </w:pPr>
      <w:r w:rsidRPr="00EF7113">
        <w:rPr>
          <w:rFonts w:asciiTheme="majorBidi" w:hAnsiTheme="majorBidi" w:cstheme="majorBidi"/>
          <w:b/>
          <w:bCs/>
          <w:sz w:val="24"/>
          <w:szCs w:val="24"/>
        </w:rPr>
        <w:t>Case 2: New Zealand’s Health Promotion Agency</w:t>
      </w:r>
    </w:p>
    <w:p w14:paraId="0F700A2A" w14:textId="1B0AAD3A" w:rsidR="000A4342" w:rsidRPr="00EF7113" w:rsidRDefault="00031498"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The Health Promotion Agency was esta</w:t>
      </w:r>
      <w:r w:rsidR="005273BB" w:rsidRPr="00EF7113">
        <w:rPr>
          <w:rFonts w:asciiTheme="majorBidi" w:hAnsiTheme="majorBidi" w:cstheme="majorBidi"/>
          <w:sz w:val="24"/>
          <w:szCs w:val="24"/>
        </w:rPr>
        <w:t>blished in 2012</w:t>
      </w:r>
      <w:r w:rsidRPr="00EF7113">
        <w:rPr>
          <w:rFonts w:asciiTheme="majorBidi" w:hAnsiTheme="majorBidi" w:cstheme="majorBidi"/>
          <w:sz w:val="24"/>
          <w:szCs w:val="24"/>
        </w:rPr>
        <w:t xml:space="preserve">. It was envisaged as an institution that would build on recent successes in reforming and enhancing primary healthcare and </w:t>
      </w:r>
      <w:r w:rsidR="003B7DE4">
        <w:rPr>
          <w:rFonts w:asciiTheme="majorBidi" w:hAnsiTheme="majorBidi" w:cstheme="majorBidi"/>
          <w:sz w:val="24"/>
          <w:szCs w:val="24"/>
        </w:rPr>
        <w:t>community health in New Zealand:</w:t>
      </w:r>
    </w:p>
    <w:p w14:paraId="6C8454B1" w14:textId="04D7E857" w:rsidR="00342E81" w:rsidRPr="00EF7113" w:rsidRDefault="00342E81"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The bill’s intention with the Health Promotion Agency is first and foremost to create an agency that will deliver better public heal</w:t>
      </w:r>
      <w:r w:rsidR="001232DA" w:rsidRPr="00EF7113">
        <w:rPr>
          <w:rFonts w:asciiTheme="majorBidi" w:hAnsiTheme="majorBidi" w:cstheme="majorBidi"/>
          <w:sz w:val="24"/>
          <w:szCs w:val="24"/>
        </w:rPr>
        <w:t xml:space="preserve">th outcomes for New Zealanders… </w:t>
      </w:r>
      <w:r w:rsidR="001232DA" w:rsidRPr="00EF7113">
        <w:rPr>
          <w:rFonts w:asciiTheme="majorBidi" w:hAnsiTheme="majorBidi" w:cstheme="majorBidi"/>
          <w:color w:val="000000"/>
          <w:sz w:val="24"/>
          <w:szCs w:val="24"/>
          <w:shd w:val="clear" w:color="auto" w:fill="FFFFFF"/>
        </w:rPr>
        <w:t xml:space="preserve">A </w:t>
      </w:r>
      <w:r w:rsidRPr="00EF7113">
        <w:rPr>
          <w:rFonts w:asciiTheme="majorBidi" w:hAnsiTheme="majorBidi" w:cstheme="majorBidi"/>
          <w:sz w:val="24"/>
          <w:szCs w:val="24"/>
        </w:rPr>
        <w:t>more integrated and efficient approach to health promotion across the range of public health issues will, in turn, deliver better public health outcomes.</w:t>
      </w:r>
      <w:r w:rsidR="001232DA" w:rsidRPr="00EF7113">
        <w:rPr>
          <w:rFonts w:asciiTheme="majorBidi" w:hAnsiTheme="majorBidi" w:cstheme="majorBidi"/>
          <w:sz w:val="24"/>
          <w:szCs w:val="24"/>
        </w:rPr>
        <w:t xml:space="preserve"> (Goodhew, 2012)</w:t>
      </w:r>
    </w:p>
    <w:p w14:paraId="55309DB1" w14:textId="4179027B" w:rsidR="00031498" w:rsidRPr="00EF7113" w:rsidRDefault="00DC0A9F" w:rsidP="00A275BB">
      <w:pPr>
        <w:spacing w:line="480" w:lineRule="auto"/>
        <w:rPr>
          <w:rFonts w:asciiTheme="majorBidi" w:hAnsiTheme="majorBidi" w:cstheme="majorBidi"/>
          <w:sz w:val="24"/>
          <w:szCs w:val="24"/>
        </w:rPr>
      </w:pPr>
      <w:r>
        <w:rPr>
          <w:rFonts w:asciiTheme="majorBidi" w:hAnsiTheme="majorBidi" w:cstheme="majorBidi"/>
          <w:sz w:val="24"/>
          <w:szCs w:val="24"/>
        </w:rPr>
        <w:t xml:space="preserve">The HPA’s establishment was </w:t>
      </w:r>
      <w:r w:rsidR="00752B57">
        <w:rPr>
          <w:rFonts w:asciiTheme="majorBidi" w:hAnsiTheme="majorBidi" w:cstheme="majorBidi"/>
          <w:sz w:val="24"/>
          <w:szCs w:val="24"/>
        </w:rPr>
        <w:t>impacted by</w:t>
      </w:r>
      <w:r>
        <w:rPr>
          <w:rFonts w:asciiTheme="majorBidi" w:hAnsiTheme="majorBidi" w:cstheme="majorBidi"/>
          <w:sz w:val="24"/>
          <w:szCs w:val="24"/>
        </w:rPr>
        <w:t xml:space="preserve"> the legacy of </w:t>
      </w:r>
      <w:r w:rsidR="001B0D9A">
        <w:rPr>
          <w:rFonts w:asciiTheme="majorBidi" w:hAnsiTheme="majorBidi" w:cstheme="majorBidi"/>
          <w:sz w:val="24"/>
          <w:szCs w:val="24"/>
        </w:rPr>
        <w:t xml:space="preserve">an earlier effort at substantive institutionalisation in preventative health, </w:t>
      </w:r>
      <w:r>
        <w:rPr>
          <w:rFonts w:asciiTheme="majorBidi" w:hAnsiTheme="majorBidi" w:cstheme="majorBidi"/>
          <w:sz w:val="24"/>
          <w:szCs w:val="24"/>
        </w:rPr>
        <w:t xml:space="preserve">the quickly aborted Public Health Commission </w:t>
      </w:r>
      <w:r w:rsidR="001B0D9A">
        <w:rPr>
          <w:rFonts w:asciiTheme="majorBidi" w:hAnsiTheme="majorBidi" w:cstheme="majorBidi"/>
          <w:sz w:val="24"/>
          <w:szCs w:val="24"/>
        </w:rPr>
        <w:t>in the mid-1990s. M</w:t>
      </w:r>
      <w:r>
        <w:rPr>
          <w:rFonts w:asciiTheme="majorBidi" w:hAnsiTheme="majorBidi" w:cstheme="majorBidi"/>
          <w:sz w:val="24"/>
          <w:szCs w:val="24"/>
        </w:rPr>
        <w:t xml:space="preserve">irroring ANPHA’s more recent experience in Australia, the Commission had been quickly disestablished due largely to an antagonistic relationship with the Ministry </w:t>
      </w:r>
      <w:r>
        <w:rPr>
          <w:rFonts w:asciiTheme="majorBidi" w:hAnsiTheme="majorBidi" w:cstheme="majorBidi"/>
          <w:sz w:val="24"/>
          <w:szCs w:val="24"/>
        </w:rPr>
        <w:lastRenderedPageBreak/>
        <w:t>of Health and powerful vested interests in industry (se</w:t>
      </w:r>
      <w:r w:rsidR="001B0D9A">
        <w:rPr>
          <w:rFonts w:asciiTheme="majorBidi" w:hAnsiTheme="majorBidi" w:cstheme="majorBidi"/>
          <w:sz w:val="24"/>
          <w:szCs w:val="24"/>
        </w:rPr>
        <w:t>e Hornblow 1997). As such, HPA was to take a very different tack. Its</w:t>
      </w:r>
      <w:r>
        <w:rPr>
          <w:rFonts w:asciiTheme="majorBidi" w:hAnsiTheme="majorBidi" w:cstheme="majorBidi"/>
          <w:sz w:val="24"/>
          <w:szCs w:val="24"/>
        </w:rPr>
        <w:t xml:space="preserve"> officials set about quietly notching up ‘quick wins’ on uncontroversial issues and</w:t>
      </w:r>
      <w:r w:rsidR="00A82FCA">
        <w:rPr>
          <w:rFonts w:asciiTheme="majorBidi" w:hAnsiTheme="majorBidi" w:cstheme="majorBidi"/>
          <w:sz w:val="24"/>
          <w:szCs w:val="24"/>
        </w:rPr>
        <w:t xml:space="preserve"> </w:t>
      </w:r>
      <w:r w:rsidR="007F4D46" w:rsidRPr="00EF7113">
        <w:rPr>
          <w:rFonts w:asciiTheme="majorBidi" w:hAnsiTheme="majorBidi" w:cstheme="majorBidi"/>
          <w:sz w:val="24"/>
          <w:szCs w:val="24"/>
        </w:rPr>
        <w:t>cultivat</w:t>
      </w:r>
      <w:r>
        <w:rPr>
          <w:rFonts w:asciiTheme="majorBidi" w:hAnsiTheme="majorBidi" w:cstheme="majorBidi"/>
          <w:sz w:val="24"/>
          <w:szCs w:val="24"/>
        </w:rPr>
        <w:t>ing</w:t>
      </w:r>
      <w:r w:rsidR="004C35B7" w:rsidRPr="00EF7113">
        <w:rPr>
          <w:rFonts w:asciiTheme="majorBidi" w:hAnsiTheme="majorBidi" w:cstheme="majorBidi"/>
          <w:sz w:val="24"/>
          <w:szCs w:val="24"/>
        </w:rPr>
        <w:t xml:space="preserve"> a subterranean public profile</w:t>
      </w:r>
      <w:r>
        <w:rPr>
          <w:rFonts w:asciiTheme="majorBidi" w:hAnsiTheme="majorBidi" w:cstheme="majorBidi"/>
          <w:sz w:val="24"/>
          <w:szCs w:val="24"/>
        </w:rPr>
        <w:t xml:space="preserve"> that would not draw the agency into controversy. However, the HPA</w:t>
      </w:r>
      <w:r w:rsidR="004C35B7" w:rsidRPr="00EF7113">
        <w:rPr>
          <w:rFonts w:asciiTheme="majorBidi" w:hAnsiTheme="majorBidi" w:cstheme="majorBidi"/>
          <w:sz w:val="24"/>
          <w:szCs w:val="24"/>
        </w:rPr>
        <w:t xml:space="preserve"> was</w:t>
      </w:r>
      <w:r>
        <w:rPr>
          <w:rFonts w:asciiTheme="majorBidi" w:hAnsiTheme="majorBidi" w:cstheme="majorBidi"/>
          <w:sz w:val="24"/>
          <w:szCs w:val="24"/>
        </w:rPr>
        <w:t xml:space="preserve"> suddenly thrust into the national spotlight when it</w:t>
      </w:r>
      <w:r w:rsidR="004C35B7" w:rsidRPr="00EF7113">
        <w:rPr>
          <w:rFonts w:asciiTheme="majorBidi" w:hAnsiTheme="majorBidi" w:cstheme="majorBidi"/>
          <w:sz w:val="24"/>
          <w:szCs w:val="24"/>
        </w:rPr>
        <w:t xml:space="preserve"> </w:t>
      </w:r>
      <w:r>
        <w:rPr>
          <w:rFonts w:asciiTheme="majorBidi" w:hAnsiTheme="majorBidi" w:cstheme="majorBidi"/>
          <w:sz w:val="24"/>
          <w:szCs w:val="24"/>
        </w:rPr>
        <w:t xml:space="preserve">was </w:t>
      </w:r>
      <w:r w:rsidR="004C35B7" w:rsidRPr="00EF7113">
        <w:rPr>
          <w:rFonts w:asciiTheme="majorBidi" w:hAnsiTheme="majorBidi" w:cstheme="majorBidi"/>
          <w:sz w:val="24"/>
          <w:szCs w:val="24"/>
        </w:rPr>
        <w:t xml:space="preserve">implicated in investigative journalist Nikki Hager’s </w:t>
      </w:r>
      <w:r w:rsidR="00390C1D">
        <w:rPr>
          <w:rFonts w:asciiTheme="majorBidi" w:hAnsiTheme="majorBidi" w:cstheme="majorBidi"/>
          <w:sz w:val="24"/>
          <w:szCs w:val="24"/>
        </w:rPr>
        <w:t xml:space="preserve">(2014) </w:t>
      </w:r>
      <w:r w:rsidR="004C35B7" w:rsidRPr="00EF7113">
        <w:rPr>
          <w:rFonts w:asciiTheme="majorBidi" w:hAnsiTheme="majorBidi" w:cstheme="majorBidi"/>
          <w:sz w:val="24"/>
          <w:szCs w:val="24"/>
        </w:rPr>
        <w:t xml:space="preserve">explosive </w:t>
      </w:r>
      <w:r w:rsidR="004C35B7" w:rsidRPr="00EF7113">
        <w:rPr>
          <w:rFonts w:asciiTheme="majorBidi" w:hAnsiTheme="majorBidi" w:cstheme="majorBidi"/>
          <w:i/>
          <w:iCs/>
          <w:sz w:val="24"/>
          <w:szCs w:val="24"/>
        </w:rPr>
        <w:t>Dirty Politics</w:t>
      </w:r>
      <w:r>
        <w:rPr>
          <w:rFonts w:asciiTheme="majorBidi" w:hAnsiTheme="majorBidi" w:cstheme="majorBidi"/>
          <w:sz w:val="24"/>
          <w:szCs w:val="24"/>
        </w:rPr>
        <w:t>. Hager’s</w:t>
      </w:r>
      <w:r w:rsidR="004C35B7" w:rsidRPr="00EF7113">
        <w:rPr>
          <w:rFonts w:asciiTheme="majorBidi" w:hAnsiTheme="majorBidi" w:cstheme="majorBidi"/>
          <w:sz w:val="24"/>
          <w:szCs w:val="24"/>
        </w:rPr>
        <w:t xml:space="preserve"> book</w:t>
      </w:r>
      <w:r>
        <w:rPr>
          <w:rFonts w:asciiTheme="majorBidi" w:hAnsiTheme="majorBidi" w:cstheme="majorBidi"/>
          <w:sz w:val="24"/>
          <w:szCs w:val="24"/>
        </w:rPr>
        <w:t>, which</w:t>
      </w:r>
      <w:r w:rsidR="004C35B7" w:rsidRPr="00EF7113">
        <w:rPr>
          <w:rFonts w:asciiTheme="majorBidi" w:hAnsiTheme="majorBidi" w:cstheme="majorBidi"/>
          <w:sz w:val="24"/>
          <w:szCs w:val="24"/>
        </w:rPr>
        <w:t xml:space="preserve"> </w:t>
      </w:r>
      <w:r>
        <w:rPr>
          <w:rFonts w:asciiTheme="majorBidi" w:hAnsiTheme="majorBidi" w:cstheme="majorBidi"/>
          <w:sz w:val="24"/>
          <w:szCs w:val="24"/>
        </w:rPr>
        <w:t xml:space="preserve">took over the national news cycle when </w:t>
      </w:r>
      <w:r w:rsidR="004C35B7" w:rsidRPr="00EF7113">
        <w:rPr>
          <w:rFonts w:asciiTheme="majorBidi" w:hAnsiTheme="majorBidi" w:cstheme="majorBidi"/>
          <w:sz w:val="24"/>
          <w:szCs w:val="24"/>
        </w:rPr>
        <w:t xml:space="preserve">launched </w:t>
      </w:r>
      <w:r w:rsidR="007F4D46" w:rsidRPr="00EF7113">
        <w:rPr>
          <w:rFonts w:asciiTheme="majorBidi" w:hAnsiTheme="majorBidi" w:cstheme="majorBidi"/>
          <w:sz w:val="24"/>
          <w:szCs w:val="24"/>
        </w:rPr>
        <w:t>during</w:t>
      </w:r>
      <w:r w:rsidR="004C35B7" w:rsidRPr="00EF7113">
        <w:rPr>
          <w:rFonts w:asciiTheme="majorBidi" w:hAnsiTheme="majorBidi" w:cstheme="majorBidi"/>
          <w:sz w:val="24"/>
          <w:szCs w:val="24"/>
        </w:rPr>
        <w:t xml:space="preserve"> the 2014 General Election</w:t>
      </w:r>
      <w:r w:rsidR="007F4D46" w:rsidRPr="00EF7113">
        <w:rPr>
          <w:rFonts w:asciiTheme="majorBidi" w:hAnsiTheme="majorBidi" w:cstheme="majorBidi"/>
          <w:sz w:val="24"/>
          <w:szCs w:val="24"/>
        </w:rPr>
        <w:t xml:space="preserve"> campaign</w:t>
      </w:r>
      <w:r>
        <w:rPr>
          <w:rFonts w:asciiTheme="majorBidi" w:hAnsiTheme="majorBidi" w:cstheme="majorBidi"/>
          <w:sz w:val="24"/>
          <w:szCs w:val="24"/>
        </w:rPr>
        <w:t>,</w:t>
      </w:r>
      <w:r w:rsidR="004C35B7" w:rsidRPr="00EF7113">
        <w:rPr>
          <w:rFonts w:asciiTheme="majorBidi" w:hAnsiTheme="majorBidi" w:cstheme="majorBidi"/>
          <w:sz w:val="24"/>
          <w:szCs w:val="24"/>
        </w:rPr>
        <w:t xml:space="preserve"> impugned the reputation of the National government and revealed the role of </w:t>
      </w:r>
      <w:r w:rsidR="00402773">
        <w:rPr>
          <w:rFonts w:asciiTheme="majorBidi" w:hAnsiTheme="majorBidi" w:cstheme="majorBidi"/>
          <w:sz w:val="24"/>
          <w:szCs w:val="24"/>
        </w:rPr>
        <w:t>government officials and aides</w:t>
      </w:r>
      <w:r w:rsidR="004C35B7" w:rsidRPr="00EF7113">
        <w:rPr>
          <w:rFonts w:asciiTheme="majorBidi" w:hAnsiTheme="majorBidi" w:cstheme="majorBidi"/>
          <w:sz w:val="24"/>
          <w:szCs w:val="24"/>
        </w:rPr>
        <w:t xml:space="preserve"> in a ‘black ops’ communications strategy. It had emerged in the course of Hager’s investigation that Katherine Rich, former National MP</w:t>
      </w:r>
      <w:r w:rsidR="00231EB6">
        <w:rPr>
          <w:rFonts w:asciiTheme="majorBidi" w:hAnsiTheme="majorBidi" w:cstheme="majorBidi"/>
          <w:sz w:val="24"/>
          <w:szCs w:val="24"/>
        </w:rPr>
        <w:t>, HPA board member</w:t>
      </w:r>
      <w:r w:rsidR="00623B0C">
        <w:rPr>
          <w:rFonts w:asciiTheme="majorBidi" w:hAnsiTheme="majorBidi" w:cstheme="majorBidi"/>
          <w:sz w:val="24"/>
          <w:szCs w:val="24"/>
        </w:rPr>
        <w:t xml:space="preserve"> and then head of NZ’s</w:t>
      </w:r>
      <w:r w:rsidR="00BC2B67" w:rsidRPr="00EF7113">
        <w:rPr>
          <w:rFonts w:asciiTheme="majorBidi" w:hAnsiTheme="majorBidi" w:cstheme="majorBidi"/>
          <w:sz w:val="24"/>
          <w:szCs w:val="24"/>
        </w:rPr>
        <w:t xml:space="preserve"> peak food lobby group, had links to a PR firm which</w:t>
      </w:r>
      <w:r w:rsidR="004C35B7" w:rsidRPr="00EF7113">
        <w:rPr>
          <w:rFonts w:asciiTheme="majorBidi" w:hAnsiTheme="majorBidi" w:cstheme="majorBidi"/>
          <w:sz w:val="24"/>
          <w:szCs w:val="24"/>
        </w:rPr>
        <w:t xml:space="preserve"> </w:t>
      </w:r>
      <w:r w:rsidR="00BC2B67" w:rsidRPr="00EF7113">
        <w:rPr>
          <w:rFonts w:asciiTheme="majorBidi" w:hAnsiTheme="majorBidi" w:cstheme="majorBidi"/>
          <w:sz w:val="24"/>
          <w:szCs w:val="24"/>
        </w:rPr>
        <w:t xml:space="preserve">consistently </w:t>
      </w:r>
      <w:r w:rsidR="004C35B7" w:rsidRPr="00EF7113">
        <w:rPr>
          <w:rFonts w:asciiTheme="majorBidi" w:hAnsiTheme="majorBidi" w:cstheme="majorBidi"/>
          <w:sz w:val="24"/>
          <w:szCs w:val="24"/>
        </w:rPr>
        <w:t>plant</w:t>
      </w:r>
      <w:r w:rsidR="00BC2B67" w:rsidRPr="00EF7113">
        <w:rPr>
          <w:rFonts w:asciiTheme="majorBidi" w:hAnsiTheme="majorBidi" w:cstheme="majorBidi"/>
          <w:sz w:val="24"/>
          <w:szCs w:val="24"/>
        </w:rPr>
        <w:t>ed</w:t>
      </w:r>
      <w:r w:rsidR="004C35B7" w:rsidRPr="00EF7113">
        <w:rPr>
          <w:rFonts w:asciiTheme="majorBidi" w:hAnsiTheme="majorBidi" w:cstheme="majorBidi"/>
          <w:sz w:val="24"/>
          <w:szCs w:val="24"/>
        </w:rPr>
        <w:t xml:space="preserve"> and promote</w:t>
      </w:r>
      <w:r w:rsidR="00BC2B67" w:rsidRPr="00EF7113">
        <w:rPr>
          <w:rFonts w:asciiTheme="majorBidi" w:hAnsiTheme="majorBidi" w:cstheme="majorBidi"/>
          <w:sz w:val="24"/>
          <w:szCs w:val="24"/>
        </w:rPr>
        <w:t>d</w:t>
      </w:r>
      <w:r w:rsidR="004C35B7" w:rsidRPr="00EF7113">
        <w:rPr>
          <w:rFonts w:asciiTheme="majorBidi" w:hAnsiTheme="majorBidi" w:cstheme="majorBidi"/>
          <w:sz w:val="24"/>
          <w:szCs w:val="24"/>
        </w:rPr>
        <w:t xml:space="preserve"> stories attacking the credibility of public health advocates. These revelations sparked outra</w:t>
      </w:r>
      <w:r w:rsidR="00BC2B67" w:rsidRPr="00EF7113">
        <w:rPr>
          <w:rFonts w:asciiTheme="majorBidi" w:hAnsiTheme="majorBidi" w:cstheme="majorBidi"/>
          <w:sz w:val="24"/>
          <w:szCs w:val="24"/>
        </w:rPr>
        <w:t>ge in the public health community. The scandal set in train an acrimonious debate</w:t>
      </w:r>
      <w:r w:rsidR="003B7DE4">
        <w:rPr>
          <w:rFonts w:asciiTheme="majorBidi" w:hAnsiTheme="majorBidi" w:cstheme="majorBidi"/>
          <w:sz w:val="24"/>
          <w:szCs w:val="24"/>
        </w:rPr>
        <w:t xml:space="preserve">, </w:t>
      </w:r>
      <w:r w:rsidR="002A03E4" w:rsidRPr="00EF7113">
        <w:rPr>
          <w:rFonts w:asciiTheme="majorBidi" w:hAnsiTheme="majorBidi" w:cstheme="majorBidi"/>
          <w:sz w:val="24"/>
          <w:szCs w:val="24"/>
        </w:rPr>
        <w:t>including a public letter signed by 33 scientists asking the government to respond to a perceived conflict of interest on the HPA board</w:t>
      </w:r>
      <w:r w:rsidR="00561B89" w:rsidRPr="00EF7113">
        <w:rPr>
          <w:rFonts w:asciiTheme="majorBidi" w:hAnsiTheme="majorBidi" w:cstheme="majorBidi"/>
          <w:sz w:val="24"/>
          <w:szCs w:val="24"/>
        </w:rPr>
        <w:t xml:space="preserve">. The outcry was </w:t>
      </w:r>
      <w:r w:rsidR="00BC2B67" w:rsidRPr="00EF7113">
        <w:rPr>
          <w:rFonts w:asciiTheme="majorBidi" w:hAnsiTheme="majorBidi" w:cstheme="majorBidi"/>
          <w:sz w:val="24"/>
          <w:szCs w:val="24"/>
        </w:rPr>
        <w:t>followed swiftly by litigation on both sides.</w:t>
      </w:r>
      <w:r w:rsidR="004C35B7" w:rsidRPr="00EF7113">
        <w:rPr>
          <w:rFonts w:asciiTheme="majorBidi" w:hAnsiTheme="majorBidi" w:cstheme="majorBidi"/>
          <w:sz w:val="24"/>
          <w:szCs w:val="24"/>
        </w:rPr>
        <w:t xml:space="preserve"> </w:t>
      </w:r>
      <w:r w:rsidR="00BC2B67" w:rsidRPr="00EF7113">
        <w:rPr>
          <w:rFonts w:asciiTheme="majorBidi" w:hAnsiTheme="majorBidi" w:cstheme="majorBidi"/>
          <w:sz w:val="24"/>
          <w:szCs w:val="24"/>
        </w:rPr>
        <w:t xml:space="preserve">The response of the HPA </w:t>
      </w:r>
      <w:r w:rsidR="003B7DE4">
        <w:rPr>
          <w:rFonts w:asciiTheme="majorBidi" w:hAnsiTheme="majorBidi" w:cstheme="majorBidi"/>
          <w:sz w:val="24"/>
          <w:szCs w:val="24"/>
        </w:rPr>
        <w:t xml:space="preserve">has been to go to ground again, </w:t>
      </w:r>
      <w:r w:rsidR="00BC2B67" w:rsidRPr="00EF7113">
        <w:rPr>
          <w:rFonts w:asciiTheme="majorBidi" w:hAnsiTheme="majorBidi" w:cstheme="majorBidi"/>
          <w:sz w:val="24"/>
          <w:szCs w:val="24"/>
        </w:rPr>
        <w:t xml:space="preserve">such that there was sufficient </w:t>
      </w:r>
      <w:r w:rsidR="00E7704B">
        <w:rPr>
          <w:rFonts w:asciiTheme="majorBidi" w:hAnsiTheme="majorBidi" w:cstheme="majorBidi"/>
          <w:sz w:val="24"/>
          <w:szCs w:val="24"/>
        </w:rPr>
        <w:t xml:space="preserve">anxiety, </w:t>
      </w:r>
      <w:r w:rsidR="00E7704B" w:rsidRPr="003B7DE4">
        <w:rPr>
          <w:rFonts w:asciiTheme="majorBidi" w:hAnsiTheme="majorBidi" w:cstheme="majorBidi"/>
          <w:i/>
          <w:sz w:val="24"/>
          <w:szCs w:val="24"/>
        </w:rPr>
        <w:t>over two years later</w:t>
      </w:r>
      <w:r w:rsidR="00E7704B">
        <w:rPr>
          <w:rFonts w:asciiTheme="majorBidi" w:hAnsiTheme="majorBidi" w:cstheme="majorBidi"/>
          <w:sz w:val="24"/>
          <w:szCs w:val="24"/>
        </w:rPr>
        <w:t xml:space="preserve">, </w:t>
      </w:r>
      <w:r w:rsidR="00BC2B67" w:rsidRPr="00EF7113">
        <w:rPr>
          <w:rFonts w:asciiTheme="majorBidi" w:hAnsiTheme="majorBidi" w:cstheme="majorBidi"/>
          <w:sz w:val="24"/>
          <w:szCs w:val="24"/>
        </w:rPr>
        <w:t>that no o</w:t>
      </w:r>
      <w:r w:rsidR="003B7DE4">
        <w:rPr>
          <w:rFonts w:asciiTheme="majorBidi" w:hAnsiTheme="majorBidi" w:cstheme="majorBidi"/>
          <w:sz w:val="24"/>
          <w:szCs w:val="24"/>
        </w:rPr>
        <w:t>ne would speak with us directly</w:t>
      </w:r>
      <w:r w:rsidR="00BC2B67" w:rsidRPr="00EF7113">
        <w:rPr>
          <w:rFonts w:asciiTheme="majorBidi" w:hAnsiTheme="majorBidi" w:cstheme="majorBidi"/>
          <w:sz w:val="24"/>
          <w:szCs w:val="24"/>
        </w:rPr>
        <w:t xml:space="preserve">. </w:t>
      </w:r>
    </w:p>
    <w:p w14:paraId="593DA999" w14:textId="1D16EDE7" w:rsidR="002438E0" w:rsidRPr="00EF7113" w:rsidRDefault="00BC2B67"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HPA has thus enjoyed greater ‘success’ than its ANPHA counterpart in terms of </w:t>
      </w:r>
      <w:r w:rsidRPr="003B7DE4">
        <w:rPr>
          <w:rFonts w:asciiTheme="majorBidi" w:hAnsiTheme="majorBidi" w:cstheme="majorBidi"/>
          <w:i/>
          <w:sz w:val="24"/>
          <w:szCs w:val="24"/>
        </w:rPr>
        <w:t>longevity</w:t>
      </w:r>
      <w:r w:rsidRPr="00EF7113">
        <w:rPr>
          <w:rFonts w:asciiTheme="majorBidi" w:hAnsiTheme="majorBidi" w:cstheme="majorBidi"/>
          <w:sz w:val="24"/>
          <w:szCs w:val="24"/>
        </w:rPr>
        <w:t xml:space="preserve">, but has </w:t>
      </w:r>
      <w:r w:rsidR="001B0D9A">
        <w:rPr>
          <w:rFonts w:asciiTheme="majorBidi" w:hAnsiTheme="majorBidi" w:cstheme="majorBidi"/>
          <w:sz w:val="24"/>
          <w:szCs w:val="24"/>
        </w:rPr>
        <w:t xml:space="preserve">thus far </w:t>
      </w:r>
      <w:r w:rsidRPr="00EF7113">
        <w:rPr>
          <w:rFonts w:asciiTheme="majorBidi" w:hAnsiTheme="majorBidi" w:cstheme="majorBidi"/>
          <w:sz w:val="24"/>
          <w:szCs w:val="24"/>
        </w:rPr>
        <w:t xml:space="preserve">been </w:t>
      </w:r>
      <w:r w:rsidR="00DC0A9F">
        <w:rPr>
          <w:rFonts w:asciiTheme="majorBidi" w:hAnsiTheme="majorBidi" w:cstheme="majorBidi"/>
          <w:sz w:val="24"/>
          <w:szCs w:val="24"/>
        </w:rPr>
        <w:t>equally limited</w:t>
      </w:r>
      <w:r w:rsidRPr="00EF7113">
        <w:rPr>
          <w:rFonts w:asciiTheme="majorBidi" w:hAnsiTheme="majorBidi" w:cstheme="majorBidi"/>
          <w:sz w:val="24"/>
          <w:szCs w:val="24"/>
        </w:rPr>
        <w:t xml:space="preserve"> in terms of its capacity to institutionalize prevent</w:t>
      </w:r>
      <w:r w:rsidR="007F4D46" w:rsidRPr="00EF7113">
        <w:rPr>
          <w:rFonts w:asciiTheme="majorBidi" w:hAnsiTheme="majorBidi" w:cstheme="majorBidi"/>
          <w:sz w:val="24"/>
          <w:szCs w:val="24"/>
        </w:rPr>
        <w:t>ative health. How might we explain this</w:t>
      </w:r>
      <w:r w:rsidRPr="00EF7113">
        <w:rPr>
          <w:rFonts w:asciiTheme="majorBidi" w:hAnsiTheme="majorBidi" w:cstheme="majorBidi"/>
          <w:sz w:val="24"/>
          <w:szCs w:val="24"/>
        </w:rPr>
        <w:t>?</w:t>
      </w:r>
    </w:p>
    <w:p w14:paraId="1E2CDB7A" w14:textId="77777777" w:rsidR="004D6699" w:rsidRPr="00EF7113" w:rsidRDefault="004D6699" w:rsidP="00A275BB">
      <w:pPr>
        <w:spacing w:line="480" w:lineRule="auto"/>
        <w:rPr>
          <w:rFonts w:asciiTheme="majorBidi" w:hAnsiTheme="majorBidi" w:cstheme="majorBidi"/>
          <w:i/>
          <w:iCs/>
          <w:sz w:val="24"/>
          <w:szCs w:val="24"/>
        </w:rPr>
      </w:pPr>
      <w:r w:rsidRPr="00EF7113">
        <w:rPr>
          <w:rFonts w:asciiTheme="majorBidi" w:hAnsiTheme="majorBidi" w:cstheme="majorBidi"/>
          <w:i/>
          <w:iCs/>
          <w:sz w:val="24"/>
          <w:szCs w:val="24"/>
        </w:rPr>
        <w:t>Salience: Too cold</w:t>
      </w:r>
    </w:p>
    <w:p w14:paraId="45B4A1D4" w14:textId="0DD9ABD1" w:rsidR="004D6699" w:rsidRPr="00EF7113" w:rsidRDefault="004D6699"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HPA’s relationship to political salience is in many respects the opposite extreme to the experience of ANPHA.</w:t>
      </w:r>
      <w:r w:rsidR="003B7DE4">
        <w:rPr>
          <w:rFonts w:asciiTheme="majorBidi" w:hAnsiTheme="majorBidi" w:cstheme="majorBidi"/>
          <w:sz w:val="24"/>
          <w:szCs w:val="24"/>
        </w:rPr>
        <w:t xml:space="preserve"> </w:t>
      </w:r>
      <w:r w:rsidRPr="00EF7113">
        <w:rPr>
          <w:rFonts w:asciiTheme="majorBidi" w:hAnsiTheme="majorBidi" w:cstheme="majorBidi"/>
          <w:sz w:val="24"/>
          <w:szCs w:val="24"/>
        </w:rPr>
        <w:t>First, HPA began life with a tightly circumscribed remit on health promotion, especially via social marketing. Social marketing</w:t>
      </w:r>
      <w:r w:rsidR="00B8673D" w:rsidRPr="00EF7113">
        <w:rPr>
          <w:rFonts w:asciiTheme="majorBidi" w:hAnsiTheme="majorBidi" w:cstheme="majorBidi"/>
          <w:sz w:val="24"/>
          <w:szCs w:val="24"/>
        </w:rPr>
        <w:t xml:space="preserve">, in the absence of broader </w:t>
      </w:r>
      <w:r w:rsidR="00B8673D" w:rsidRPr="00EF7113">
        <w:rPr>
          <w:rFonts w:asciiTheme="majorBidi" w:hAnsiTheme="majorBidi" w:cstheme="majorBidi"/>
          <w:sz w:val="24"/>
          <w:szCs w:val="24"/>
        </w:rPr>
        <w:lastRenderedPageBreak/>
        <w:t>structural changes</w:t>
      </w:r>
      <w:r w:rsidR="00F83B65" w:rsidRPr="00EF7113">
        <w:rPr>
          <w:rFonts w:asciiTheme="majorBidi" w:hAnsiTheme="majorBidi" w:cstheme="majorBidi"/>
          <w:sz w:val="24"/>
          <w:szCs w:val="24"/>
        </w:rPr>
        <w:t xml:space="preserve">, </w:t>
      </w:r>
      <w:r w:rsidR="00B8673D" w:rsidRPr="00EF7113">
        <w:rPr>
          <w:rFonts w:asciiTheme="majorBidi" w:hAnsiTheme="majorBidi" w:cstheme="majorBidi"/>
          <w:sz w:val="24"/>
          <w:szCs w:val="24"/>
        </w:rPr>
        <w:t xml:space="preserve">is often </w:t>
      </w:r>
      <w:r w:rsidR="00F83B65" w:rsidRPr="00EF7113">
        <w:rPr>
          <w:rFonts w:asciiTheme="majorBidi" w:hAnsiTheme="majorBidi" w:cstheme="majorBidi"/>
          <w:sz w:val="24"/>
          <w:szCs w:val="24"/>
        </w:rPr>
        <w:t xml:space="preserve">characterised often as something that governments like to do </w:t>
      </w:r>
      <w:r w:rsidR="00F83B65" w:rsidRPr="00EF7113">
        <w:rPr>
          <w:rFonts w:asciiTheme="majorBidi" w:hAnsiTheme="majorBidi" w:cstheme="majorBidi"/>
          <w:i/>
          <w:iCs/>
          <w:sz w:val="24"/>
          <w:szCs w:val="24"/>
        </w:rPr>
        <w:t xml:space="preserve">to be seen </w:t>
      </w:r>
      <w:r w:rsidR="00F83B65" w:rsidRPr="00EF7113">
        <w:rPr>
          <w:rFonts w:asciiTheme="majorBidi" w:hAnsiTheme="majorBidi" w:cstheme="majorBidi"/>
          <w:sz w:val="24"/>
          <w:szCs w:val="24"/>
        </w:rPr>
        <w:t>to tackle chronic disease without making any of the hard or</w:t>
      </w:r>
      <w:r w:rsidR="005273BB" w:rsidRPr="00EF7113">
        <w:rPr>
          <w:rFonts w:asciiTheme="majorBidi" w:hAnsiTheme="majorBidi" w:cstheme="majorBidi"/>
          <w:sz w:val="24"/>
          <w:szCs w:val="24"/>
        </w:rPr>
        <w:t xml:space="preserve"> contentious decisions involved</w:t>
      </w:r>
      <w:r w:rsidR="003B7DE4">
        <w:rPr>
          <w:rFonts w:asciiTheme="majorBidi" w:hAnsiTheme="majorBidi" w:cstheme="majorBidi"/>
          <w:sz w:val="24"/>
          <w:szCs w:val="24"/>
        </w:rPr>
        <w:t xml:space="preserve"> (</w:t>
      </w:r>
      <w:r w:rsidR="00B8673D" w:rsidRPr="00EF7113">
        <w:rPr>
          <w:rFonts w:asciiTheme="majorBidi" w:hAnsiTheme="majorBidi" w:cstheme="majorBidi"/>
          <w:sz w:val="24"/>
          <w:szCs w:val="24"/>
        </w:rPr>
        <w:t>Rayner et al. 2006)</w:t>
      </w:r>
      <w:r w:rsidR="00EC4AE0" w:rsidRPr="00EF7113">
        <w:rPr>
          <w:rFonts w:asciiTheme="majorBidi" w:hAnsiTheme="majorBidi" w:cstheme="majorBidi"/>
          <w:sz w:val="24"/>
          <w:szCs w:val="24"/>
        </w:rPr>
        <w:t>.</w:t>
      </w:r>
    </w:p>
    <w:p w14:paraId="3DB120A7" w14:textId="42CF94F3" w:rsidR="004E5908" w:rsidRPr="00EF7113" w:rsidRDefault="00F83B65"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Second, HPA entailed a rather uneasy and incoherent compromise between the progressive forces of preventative health and the conservative National-led government and its allies in industry. The clearest symbol was the installation of Rich on the board, given her National Party background and role as food lobbyist. Preventative health advocates were caught </w:t>
      </w:r>
      <w:r w:rsidR="003B7DE4">
        <w:rPr>
          <w:rFonts w:asciiTheme="majorBidi" w:hAnsiTheme="majorBidi" w:cstheme="majorBidi"/>
          <w:sz w:val="24"/>
          <w:szCs w:val="24"/>
        </w:rPr>
        <w:t>i</w:t>
      </w:r>
      <w:r w:rsidR="00623B0C">
        <w:rPr>
          <w:rFonts w:asciiTheme="majorBidi" w:hAnsiTheme="majorBidi" w:cstheme="majorBidi"/>
          <w:sz w:val="24"/>
          <w:szCs w:val="24"/>
        </w:rPr>
        <w:t xml:space="preserve">n an awkward but familiar bind - </w:t>
      </w:r>
      <w:r w:rsidRPr="00EF7113">
        <w:rPr>
          <w:rFonts w:asciiTheme="majorBidi" w:hAnsiTheme="majorBidi" w:cstheme="majorBidi"/>
          <w:sz w:val="24"/>
          <w:szCs w:val="24"/>
        </w:rPr>
        <w:t xml:space="preserve">whether to work with the new institution for change from within or </w:t>
      </w:r>
      <w:r w:rsidR="003B7DE4">
        <w:rPr>
          <w:rFonts w:asciiTheme="majorBidi" w:hAnsiTheme="majorBidi" w:cstheme="majorBidi"/>
          <w:sz w:val="24"/>
          <w:szCs w:val="24"/>
        </w:rPr>
        <w:t>to critique it from the outside</w:t>
      </w:r>
      <w:r w:rsidR="004E5908" w:rsidRPr="00EF7113">
        <w:rPr>
          <w:rFonts w:asciiTheme="majorBidi" w:hAnsiTheme="majorBidi" w:cstheme="majorBidi"/>
          <w:sz w:val="24"/>
          <w:szCs w:val="24"/>
        </w:rPr>
        <w:t>:</w:t>
      </w:r>
    </w:p>
    <w:p w14:paraId="2DA039E9" w14:textId="127F6AEF" w:rsidR="002438E0" w:rsidRPr="00EF7113" w:rsidRDefault="004E3BFC"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 xml:space="preserve">This is a small country. We don’t have that many experts in anything that you can ensure that everybody’s a pure independent on everything, unless they’re so independent they’ve got no idea what they’re doing…. Quite simply, if I join the ones trying to get rid </w:t>
      </w:r>
      <w:r w:rsidR="00561B89" w:rsidRPr="00EF7113">
        <w:rPr>
          <w:rFonts w:asciiTheme="majorBidi" w:hAnsiTheme="majorBidi" w:cstheme="majorBidi"/>
          <w:sz w:val="24"/>
          <w:szCs w:val="24"/>
        </w:rPr>
        <w:t>of Katherine Rich:</w:t>
      </w:r>
      <w:r w:rsidRPr="00EF7113">
        <w:rPr>
          <w:rFonts w:asciiTheme="majorBidi" w:hAnsiTheme="majorBidi" w:cstheme="majorBidi"/>
          <w:sz w:val="24"/>
          <w:szCs w:val="24"/>
        </w:rPr>
        <w:t xml:space="preserve"> (a) I know it wouldn’t work and (b) I’d probably lose </w:t>
      </w:r>
      <w:r w:rsidR="00561B89" w:rsidRPr="00EF7113">
        <w:rPr>
          <w:rFonts w:asciiTheme="majorBidi" w:hAnsiTheme="majorBidi" w:cstheme="majorBidi"/>
          <w:sz w:val="24"/>
          <w:szCs w:val="24"/>
        </w:rPr>
        <w:t>[existing influence]</w:t>
      </w:r>
      <w:r w:rsidRPr="00EF7113">
        <w:rPr>
          <w:rFonts w:asciiTheme="majorBidi" w:hAnsiTheme="majorBidi" w:cstheme="majorBidi"/>
          <w:sz w:val="24"/>
          <w:szCs w:val="24"/>
        </w:rPr>
        <w:t>. I’m not prepared to sacrifice all the other useful things we do for the sake of trying to pin one person.</w:t>
      </w:r>
    </w:p>
    <w:p w14:paraId="74FAEBDA" w14:textId="77777777" w:rsidR="004E5908" w:rsidRPr="00EF7113" w:rsidRDefault="004E5908" w:rsidP="00A275BB">
      <w:pPr>
        <w:spacing w:line="480" w:lineRule="auto"/>
        <w:rPr>
          <w:rFonts w:asciiTheme="majorBidi" w:hAnsiTheme="majorBidi" w:cstheme="majorBidi"/>
          <w:i/>
          <w:iCs/>
          <w:sz w:val="24"/>
          <w:szCs w:val="24"/>
        </w:rPr>
      </w:pPr>
      <w:r w:rsidRPr="00EF7113">
        <w:rPr>
          <w:rFonts w:asciiTheme="majorBidi" w:hAnsiTheme="majorBidi" w:cstheme="majorBidi"/>
          <w:i/>
          <w:iCs/>
          <w:sz w:val="24"/>
          <w:szCs w:val="24"/>
        </w:rPr>
        <w:t>Scope: Reasonable capacity, narrow remit</w:t>
      </w:r>
    </w:p>
    <w:p w14:paraId="5937011B" w14:textId="1889BEA9" w:rsidR="004E5908" w:rsidRPr="00EF7113" w:rsidRDefault="004E5908"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HPA </w:t>
      </w:r>
      <w:r w:rsidR="003B7DE4">
        <w:rPr>
          <w:rFonts w:asciiTheme="majorBidi" w:hAnsiTheme="majorBidi" w:cstheme="majorBidi"/>
          <w:sz w:val="24"/>
          <w:szCs w:val="24"/>
        </w:rPr>
        <w:t>seeks to be</w:t>
      </w:r>
      <w:r w:rsidRPr="00EF7113">
        <w:rPr>
          <w:rFonts w:asciiTheme="majorBidi" w:hAnsiTheme="majorBidi" w:cstheme="majorBidi"/>
          <w:sz w:val="24"/>
          <w:szCs w:val="24"/>
        </w:rPr>
        <w:t xml:space="preserve"> </w:t>
      </w:r>
      <w:r w:rsidRPr="00EF7113">
        <w:rPr>
          <w:rFonts w:asciiTheme="majorBidi" w:hAnsiTheme="majorBidi" w:cstheme="majorBidi"/>
          <w:i/>
          <w:iCs/>
          <w:sz w:val="24"/>
          <w:szCs w:val="24"/>
        </w:rPr>
        <w:t>apolitical</w:t>
      </w:r>
      <w:r w:rsidR="003B7DE4">
        <w:rPr>
          <w:rFonts w:asciiTheme="majorBidi" w:hAnsiTheme="majorBidi" w:cstheme="majorBidi"/>
          <w:sz w:val="24"/>
          <w:szCs w:val="24"/>
        </w:rPr>
        <w:t>,</w:t>
      </w:r>
      <w:r w:rsidR="00F15C93" w:rsidRPr="00EF7113">
        <w:rPr>
          <w:rFonts w:asciiTheme="majorBidi" w:hAnsiTheme="majorBidi" w:cstheme="majorBidi"/>
          <w:sz w:val="24"/>
          <w:szCs w:val="24"/>
        </w:rPr>
        <w:t xml:space="preserve"> to </w:t>
      </w:r>
      <w:r w:rsidR="003B7DE4">
        <w:rPr>
          <w:rFonts w:asciiTheme="majorBidi" w:hAnsiTheme="majorBidi" w:cstheme="majorBidi"/>
          <w:sz w:val="24"/>
          <w:szCs w:val="24"/>
        </w:rPr>
        <w:t>project</w:t>
      </w:r>
      <w:r w:rsidR="00F15C93" w:rsidRPr="00EF7113">
        <w:rPr>
          <w:rFonts w:asciiTheme="majorBidi" w:hAnsiTheme="majorBidi" w:cstheme="majorBidi"/>
          <w:sz w:val="24"/>
          <w:szCs w:val="24"/>
        </w:rPr>
        <w:t xml:space="preserve"> </w:t>
      </w:r>
      <w:r w:rsidR="003B7DE4">
        <w:rPr>
          <w:rFonts w:asciiTheme="majorBidi" w:hAnsiTheme="majorBidi" w:cstheme="majorBidi"/>
          <w:sz w:val="24"/>
          <w:szCs w:val="24"/>
        </w:rPr>
        <w:t>the</w:t>
      </w:r>
      <w:r w:rsidR="00F15C93" w:rsidRPr="00EF7113">
        <w:rPr>
          <w:rFonts w:asciiTheme="majorBidi" w:hAnsiTheme="majorBidi" w:cstheme="majorBidi"/>
          <w:sz w:val="24"/>
          <w:szCs w:val="24"/>
        </w:rPr>
        <w:t xml:space="preserve"> arms-length independence that has long been central to the appeal of agencies. Even when under attack from public health advocates and </w:t>
      </w:r>
      <w:r w:rsidR="00402773">
        <w:rPr>
          <w:rFonts w:asciiTheme="majorBidi" w:hAnsiTheme="majorBidi" w:cstheme="majorBidi"/>
          <w:sz w:val="24"/>
          <w:szCs w:val="24"/>
        </w:rPr>
        <w:t xml:space="preserve">Opposition MPs </w:t>
      </w:r>
      <w:r w:rsidR="00F15C93" w:rsidRPr="00EF7113">
        <w:rPr>
          <w:rFonts w:asciiTheme="majorBidi" w:hAnsiTheme="majorBidi" w:cstheme="majorBidi"/>
          <w:sz w:val="24"/>
          <w:szCs w:val="24"/>
        </w:rPr>
        <w:t xml:space="preserve">in the wake of the </w:t>
      </w:r>
      <w:r w:rsidR="00F15C93" w:rsidRPr="00EF7113">
        <w:rPr>
          <w:rFonts w:asciiTheme="majorBidi" w:hAnsiTheme="majorBidi" w:cstheme="majorBidi"/>
          <w:i/>
          <w:iCs/>
          <w:sz w:val="24"/>
          <w:szCs w:val="24"/>
        </w:rPr>
        <w:t>Dirty Politics</w:t>
      </w:r>
      <w:r w:rsidR="00F15C93" w:rsidRPr="00EF7113">
        <w:rPr>
          <w:rFonts w:asciiTheme="majorBidi" w:hAnsiTheme="majorBidi" w:cstheme="majorBidi"/>
          <w:sz w:val="24"/>
          <w:szCs w:val="24"/>
        </w:rPr>
        <w:t xml:space="preserve"> scandal, HPA leadership has tried to ride out the contro</w:t>
      </w:r>
      <w:r w:rsidR="005273BB" w:rsidRPr="00EF7113">
        <w:rPr>
          <w:rFonts w:asciiTheme="majorBidi" w:hAnsiTheme="majorBidi" w:cstheme="majorBidi"/>
          <w:sz w:val="24"/>
          <w:szCs w:val="24"/>
        </w:rPr>
        <w:t>versy</w:t>
      </w:r>
      <w:r w:rsidR="00F15C93" w:rsidRPr="00EF7113">
        <w:rPr>
          <w:rFonts w:asciiTheme="majorBidi" w:hAnsiTheme="majorBidi" w:cstheme="majorBidi"/>
          <w:sz w:val="24"/>
          <w:szCs w:val="24"/>
        </w:rPr>
        <w:t>. They have sought refuge in the agency’s technical policy mission</w:t>
      </w:r>
      <w:r w:rsidR="002A03E4" w:rsidRPr="00EF7113">
        <w:rPr>
          <w:rFonts w:asciiTheme="majorBidi" w:hAnsiTheme="majorBidi" w:cstheme="majorBidi"/>
          <w:sz w:val="24"/>
          <w:szCs w:val="24"/>
        </w:rPr>
        <w:t>, and downplay</w:t>
      </w:r>
      <w:r w:rsidR="00402773">
        <w:rPr>
          <w:rFonts w:asciiTheme="majorBidi" w:hAnsiTheme="majorBidi" w:cstheme="majorBidi"/>
          <w:sz w:val="24"/>
          <w:szCs w:val="24"/>
        </w:rPr>
        <w:t>ed</w:t>
      </w:r>
      <w:r w:rsidR="002A03E4" w:rsidRPr="00EF7113">
        <w:rPr>
          <w:rFonts w:asciiTheme="majorBidi" w:hAnsiTheme="majorBidi" w:cstheme="majorBidi"/>
          <w:sz w:val="24"/>
          <w:szCs w:val="24"/>
        </w:rPr>
        <w:t xml:space="preserve"> or entirely ignore</w:t>
      </w:r>
      <w:r w:rsidR="00402773">
        <w:rPr>
          <w:rFonts w:asciiTheme="majorBidi" w:hAnsiTheme="majorBidi" w:cstheme="majorBidi"/>
          <w:sz w:val="24"/>
          <w:szCs w:val="24"/>
        </w:rPr>
        <w:t>d</w:t>
      </w:r>
      <w:r w:rsidR="002A03E4" w:rsidRPr="00EF7113">
        <w:rPr>
          <w:rFonts w:asciiTheme="majorBidi" w:hAnsiTheme="majorBidi" w:cstheme="majorBidi"/>
          <w:sz w:val="24"/>
          <w:szCs w:val="24"/>
        </w:rPr>
        <w:t xml:space="preserve"> political implications</w:t>
      </w:r>
      <w:r w:rsidR="00390C1D">
        <w:rPr>
          <w:rFonts w:asciiTheme="majorBidi" w:hAnsiTheme="majorBidi" w:cstheme="majorBidi"/>
          <w:sz w:val="24"/>
          <w:szCs w:val="24"/>
        </w:rPr>
        <w:t xml:space="preserve">, as </w:t>
      </w:r>
      <w:r w:rsidR="00390C1D" w:rsidRPr="00EF7113">
        <w:rPr>
          <w:rFonts w:asciiTheme="majorBidi" w:hAnsiTheme="majorBidi" w:cstheme="majorBidi"/>
          <w:sz w:val="24"/>
          <w:szCs w:val="24"/>
        </w:rPr>
        <w:t xml:space="preserve">journalist Peter Newport (2015) captured </w:t>
      </w:r>
      <w:r w:rsidR="002A03E4" w:rsidRPr="00EF7113">
        <w:rPr>
          <w:rFonts w:asciiTheme="majorBidi" w:hAnsiTheme="majorBidi" w:cstheme="majorBidi"/>
          <w:sz w:val="24"/>
          <w:szCs w:val="24"/>
        </w:rPr>
        <w:t xml:space="preserve">in a feature on the </w:t>
      </w:r>
      <w:r w:rsidRPr="00EF7113">
        <w:rPr>
          <w:rFonts w:asciiTheme="majorBidi" w:hAnsiTheme="majorBidi" w:cstheme="majorBidi"/>
          <w:sz w:val="24"/>
          <w:szCs w:val="24"/>
        </w:rPr>
        <w:t>scandal</w:t>
      </w:r>
      <w:r w:rsidR="00390C1D">
        <w:rPr>
          <w:rFonts w:asciiTheme="majorBidi" w:hAnsiTheme="majorBidi" w:cstheme="majorBidi"/>
          <w:sz w:val="24"/>
          <w:szCs w:val="24"/>
        </w:rPr>
        <w:t xml:space="preserve"> for </w:t>
      </w:r>
      <w:r w:rsidR="00390C1D" w:rsidRPr="00895E3C">
        <w:rPr>
          <w:rFonts w:asciiTheme="majorBidi" w:hAnsiTheme="majorBidi" w:cstheme="majorBidi"/>
          <w:i/>
          <w:iCs/>
          <w:sz w:val="24"/>
          <w:szCs w:val="24"/>
        </w:rPr>
        <w:t>Metro</w:t>
      </w:r>
      <w:r w:rsidR="00390C1D">
        <w:rPr>
          <w:rFonts w:asciiTheme="majorBidi" w:hAnsiTheme="majorBidi" w:cstheme="majorBidi"/>
          <w:sz w:val="24"/>
          <w:szCs w:val="24"/>
        </w:rPr>
        <w:t xml:space="preserve"> magazine</w:t>
      </w:r>
      <w:r w:rsidRPr="00EF7113">
        <w:rPr>
          <w:rFonts w:asciiTheme="majorBidi" w:hAnsiTheme="majorBidi" w:cstheme="majorBidi"/>
          <w:sz w:val="24"/>
          <w:szCs w:val="24"/>
        </w:rPr>
        <w:t>:</w:t>
      </w:r>
    </w:p>
    <w:p w14:paraId="2E324CD7" w14:textId="3764D772" w:rsidR="00213114" w:rsidRPr="00EF7113" w:rsidRDefault="002A03E4"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lastRenderedPageBreak/>
        <w:t>It took almost a week to get one sentence f</w:t>
      </w:r>
      <w:r w:rsidR="00895E3C">
        <w:rPr>
          <w:rFonts w:asciiTheme="majorBidi" w:hAnsiTheme="majorBidi" w:cstheme="majorBidi"/>
          <w:sz w:val="24"/>
          <w:szCs w:val="24"/>
        </w:rPr>
        <w:t>rom their chair, Dr Lee Mathias…</w:t>
      </w:r>
      <w:r w:rsidRPr="00EF7113">
        <w:rPr>
          <w:rFonts w:asciiTheme="majorBidi" w:hAnsiTheme="majorBidi" w:cstheme="majorBidi"/>
          <w:sz w:val="24"/>
          <w:szCs w:val="24"/>
        </w:rPr>
        <w:t xml:space="preserve"> “What about the detailed points in the scientists’ letter about a conf</w:t>
      </w:r>
      <w:r w:rsidR="00895E3C">
        <w:rPr>
          <w:rFonts w:asciiTheme="majorBidi" w:hAnsiTheme="majorBidi" w:cstheme="majorBidi"/>
          <w:sz w:val="24"/>
          <w:szCs w:val="24"/>
        </w:rPr>
        <w:t>lict of interest?” I persisted. [A communications manager]</w:t>
      </w:r>
      <w:r w:rsidRPr="00EF7113">
        <w:rPr>
          <w:rFonts w:asciiTheme="majorBidi" w:hAnsiTheme="majorBidi" w:cstheme="majorBidi"/>
          <w:sz w:val="24"/>
          <w:szCs w:val="24"/>
        </w:rPr>
        <w:t xml:space="preserve"> pointed out we had received the HPA’s official “single sentence statement” and hung up.</w:t>
      </w:r>
    </w:p>
    <w:p w14:paraId="76DA65A0" w14:textId="15242378" w:rsidR="002438E0" w:rsidRPr="00EF7113" w:rsidRDefault="003B7DE4" w:rsidP="00A275BB">
      <w:pPr>
        <w:spacing w:line="480" w:lineRule="auto"/>
        <w:rPr>
          <w:rFonts w:asciiTheme="majorBidi" w:hAnsiTheme="majorBidi" w:cstheme="majorBidi"/>
          <w:sz w:val="24"/>
          <w:szCs w:val="24"/>
        </w:rPr>
      </w:pPr>
      <w:r>
        <w:rPr>
          <w:rFonts w:asciiTheme="majorBidi" w:hAnsiTheme="majorBidi" w:cstheme="majorBidi"/>
          <w:sz w:val="24"/>
          <w:szCs w:val="24"/>
        </w:rPr>
        <w:t>Its</w:t>
      </w:r>
      <w:r w:rsidR="004E5908" w:rsidRPr="00EF7113">
        <w:rPr>
          <w:rFonts w:asciiTheme="majorBidi" w:hAnsiTheme="majorBidi" w:cstheme="majorBidi"/>
          <w:sz w:val="24"/>
          <w:szCs w:val="24"/>
        </w:rPr>
        <w:t xml:space="preserve"> capacity is tightly channelled and</w:t>
      </w:r>
      <w:r>
        <w:rPr>
          <w:rFonts w:asciiTheme="majorBidi" w:hAnsiTheme="majorBidi" w:cstheme="majorBidi"/>
          <w:sz w:val="24"/>
          <w:szCs w:val="24"/>
        </w:rPr>
        <w:t xml:space="preserve"> constrained. Health promotion </w:t>
      </w:r>
      <w:r w:rsidR="004E5908" w:rsidRPr="00EF7113">
        <w:rPr>
          <w:rFonts w:asciiTheme="majorBidi" w:hAnsiTheme="majorBidi" w:cstheme="majorBidi"/>
          <w:sz w:val="24"/>
          <w:szCs w:val="24"/>
        </w:rPr>
        <w:t>is interpreted as a technical exercise in adm</w:t>
      </w:r>
      <w:r w:rsidR="004E3BFC" w:rsidRPr="00EF7113">
        <w:rPr>
          <w:rFonts w:asciiTheme="majorBidi" w:hAnsiTheme="majorBidi" w:cstheme="majorBidi"/>
          <w:sz w:val="24"/>
          <w:szCs w:val="24"/>
        </w:rPr>
        <w:t>inistration and implementation.</w:t>
      </w:r>
    </w:p>
    <w:p w14:paraId="7896D46A" w14:textId="74777519" w:rsidR="004E5908" w:rsidRPr="00EF7113" w:rsidRDefault="004E5908" w:rsidP="00A275BB">
      <w:pPr>
        <w:spacing w:line="480" w:lineRule="auto"/>
        <w:rPr>
          <w:rFonts w:asciiTheme="majorBidi" w:hAnsiTheme="majorBidi" w:cstheme="majorBidi"/>
          <w:i/>
          <w:iCs/>
          <w:sz w:val="24"/>
          <w:szCs w:val="24"/>
        </w:rPr>
      </w:pPr>
      <w:r w:rsidRPr="00EF7113">
        <w:rPr>
          <w:rFonts w:asciiTheme="majorBidi" w:hAnsiTheme="majorBidi" w:cstheme="majorBidi"/>
          <w:i/>
          <w:iCs/>
          <w:sz w:val="24"/>
          <w:szCs w:val="24"/>
        </w:rPr>
        <w:t xml:space="preserve">Standing: </w:t>
      </w:r>
      <w:r w:rsidR="001B0D9A">
        <w:rPr>
          <w:rFonts w:asciiTheme="majorBidi" w:hAnsiTheme="majorBidi" w:cstheme="majorBidi"/>
          <w:i/>
          <w:iCs/>
          <w:sz w:val="24"/>
          <w:szCs w:val="24"/>
        </w:rPr>
        <w:t>Subordinate</w:t>
      </w:r>
    </w:p>
    <w:p w14:paraId="4D5FEC67" w14:textId="5738DAA8" w:rsidR="0066635C" w:rsidRPr="00EF7113" w:rsidRDefault="00F15C93"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HPA continues to enjoy </w:t>
      </w:r>
      <w:r w:rsidR="007F4D46" w:rsidRPr="00EF7113">
        <w:rPr>
          <w:rFonts w:asciiTheme="majorBidi" w:hAnsiTheme="majorBidi" w:cstheme="majorBidi"/>
          <w:sz w:val="24"/>
          <w:szCs w:val="24"/>
        </w:rPr>
        <w:t>legal</w:t>
      </w:r>
      <w:r w:rsidRPr="00EF7113">
        <w:rPr>
          <w:rFonts w:asciiTheme="majorBidi" w:hAnsiTheme="majorBidi" w:cstheme="majorBidi"/>
          <w:sz w:val="24"/>
          <w:szCs w:val="24"/>
        </w:rPr>
        <w:t xml:space="preserve"> standing as an arms-length agency, and a valuable source of expertise within government on social marketing. </w:t>
      </w:r>
      <w:r w:rsidR="003B7DE4">
        <w:rPr>
          <w:rFonts w:asciiTheme="majorBidi" w:hAnsiTheme="majorBidi" w:cstheme="majorBidi"/>
          <w:sz w:val="24"/>
          <w:szCs w:val="24"/>
        </w:rPr>
        <w:t>However,</w:t>
      </w:r>
      <w:r w:rsidRPr="00EF7113">
        <w:rPr>
          <w:rFonts w:asciiTheme="majorBidi" w:hAnsiTheme="majorBidi" w:cstheme="majorBidi"/>
          <w:sz w:val="24"/>
          <w:szCs w:val="24"/>
        </w:rPr>
        <w:t xml:space="preserve"> its informal standing among key stakeholders and in the public sphere </w:t>
      </w:r>
      <w:r w:rsidR="003B7DE4">
        <w:rPr>
          <w:rFonts w:asciiTheme="majorBidi" w:hAnsiTheme="majorBidi" w:cstheme="majorBidi"/>
          <w:sz w:val="24"/>
          <w:szCs w:val="24"/>
        </w:rPr>
        <w:t>is poor</w:t>
      </w:r>
      <w:r w:rsidRPr="00EF7113">
        <w:rPr>
          <w:rFonts w:asciiTheme="majorBidi" w:hAnsiTheme="majorBidi" w:cstheme="majorBidi"/>
          <w:sz w:val="24"/>
          <w:szCs w:val="24"/>
        </w:rPr>
        <w:t xml:space="preserve">. </w:t>
      </w:r>
      <w:r w:rsidR="00CA17F2">
        <w:rPr>
          <w:rFonts w:asciiTheme="majorBidi" w:hAnsiTheme="majorBidi" w:cstheme="majorBidi"/>
          <w:sz w:val="24"/>
          <w:szCs w:val="24"/>
        </w:rPr>
        <w:t>At the time, p</w:t>
      </w:r>
      <w:r w:rsidR="00C4452A" w:rsidRPr="00EF7113">
        <w:rPr>
          <w:rFonts w:asciiTheme="majorBidi" w:hAnsiTheme="majorBidi" w:cstheme="majorBidi"/>
          <w:sz w:val="24"/>
          <w:szCs w:val="24"/>
        </w:rPr>
        <w:t>rominent public health expert Professor Boyd Swinburn expressed outrage in his media commentary</w:t>
      </w:r>
      <w:r w:rsidR="0066635C" w:rsidRPr="00EF7113">
        <w:rPr>
          <w:rFonts w:asciiTheme="majorBidi" w:hAnsiTheme="majorBidi" w:cstheme="majorBidi"/>
          <w:sz w:val="24"/>
          <w:szCs w:val="24"/>
        </w:rPr>
        <w:t>:</w:t>
      </w:r>
    </w:p>
    <w:p w14:paraId="73FD1C08" w14:textId="1336B563" w:rsidR="004E3BFC" w:rsidRPr="00EF7113" w:rsidRDefault="00C4452A"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 xml:space="preserve">[Katherine Rich is] sitting on the board of the </w:t>
      </w:r>
      <w:r w:rsidR="00E22F19">
        <w:rPr>
          <w:rFonts w:asciiTheme="majorBidi" w:hAnsiTheme="majorBidi" w:cstheme="majorBidi"/>
          <w:sz w:val="24"/>
          <w:szCs w:val="24"/>
        </w:rPr>
        <w:t>H</w:t>
      </w:r>
      <w:r w:rsidRPr="00EF7113">
        <w:rPr>
          <w:rFonts w:asciiTheme="majorBidi" w:hAnsiTheme="majorBidi" w:cstheme="majorBidi"/>
          <w:sz w:val="24"/>
          <w:szCs w:val="24"/>
        </w:rPr>
        <w:t xml:space="preserve">ealth </w:t>
      </w:r>
      <w:r w:rsidR="00E22F19">
        <w:rPr>
          <w:rFonts w:asciiTheme="majorBidi" w:hAnsiTheme="majorBidi" w:cstheme="majorBidi"/>
          <w:sz w:val="24"/>
          <w:szCs w:val="24"/>
        </w:rPr>
        <w:t>P</w:t>
      </w:r>
      <w:r w:rsidRPr="00EF7113">
        <w:rPr>
          <w:rFonts w:asciiTheme="majorBidi" w:hAnsiTheme="majorBidi" w:cstheme="majorBidi"/>
          <w:sz w:val="24"/>
          <w:szCs w:val="24"/>
        </w:rPr>
        <w:t xml:space="preserve">romotion </w:t>
      </w:r>
      <w:r w:rsidR="00E22F19">
        <w:rPr>
          <w:rFonts w:asciiTheme="majorBidi" w:hAnsiTheme="majorBidi" w:cstheme="majorBidi"/>
          <w:sz w:val="24"/>
          <w:szCs w:val="24"/>
        </w:rPr>
        <w:t>A</w:t>
      </w:r>
      <w:r w:rsidRPr="00EF7113">
        <w:rPr>
          <w:rFonts w:asciiTheme="majorBidi" w:hAnsiTheme="majorBidi" w:cstheme="majorBidi"/>
          <w:sz w:val="24"/>
          <w:szCs w:val="24"/>
        </w:rPr>
        <w:t>gency, while at the same time she's denigrating public health professionals, and undermining public health policy (Radio NZ, 2014, Sept6).</w:t>
      </w:r>
    </w:p>
    <w:p w14:paraId="5E3B269B" w14:textId="33004E32" w:rsidR="0066635C" w:rsidRDefault="0066635C"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HPA </w:t>
      </w:r>
      <w:r w:rsidR="00F15C93" w:rsidRPr="00EF7113">
        <w:rPr>
          <w:rFonts w:asciiTheme="majorBidi" w:hAnsiTheme="majorBidi" w:cstheme="majorBidi"/>
          <w:sz w:val="24"/>
          <w:szCs w:val="24"/>
        </w:rPr>
        <w:t>is a st</w:t>
      </w:r>
      <w:r w:rsidRPr="00EF7113">
        <w:rPr>
          <w:rFonts w:asciiTheme="majorBidi" w:hAnsiTheme="majorBidi" w:cstheme="majorBidi"/>
          <w:sz w:val="24"/>
          <w:szCs w:val="24"/>
        </w:rPr>
        <w:t>ark example of how institutional</w:t>
      </w:r>
      <w:r w:rsidR="00F15C93" w:rsidRPr="00EF7113">
        <w:rPr>
          <w:rFonts w:asciiTheme="majorBidi" w:hAnsiTheme="majorBidi" w:cstheme="majorBidi"/>
          <w:sz w:val="24"/>
          <w:szCs w:val="24"/>
        </w:rPr>
        <w:t xml:space="preserve"> ‘success’ </w:t>
      </w:r>
      <w:r w:rsidRPr="00EF7113">
        <w:rPr>
          <w:rFonts w:asciiTheme="majorBidi" w:hAnsiTheme="majorBidi" w:cstheme="majorBidi"/>
          <w:sz w:val="24"/>
          <w:szCs w:val="24"/>
        </w:rPr>
        <w:t xml:space="preserve">as measured in longevity, capacity and formal standing </w:t>
      </w:r>
      <w:r w:rsidR="00F15C93" w:rsidRPr="00EF7113">
        <w:rPr>
          <w:rFonts w:asciiTheme="majorBidi" w:hAnsiTheme="majorBidi" w:cstheme="majorBidi"/>
          <w:sz w:val="24"/>
          <w:szCs w:val="24"/>
        </w:rPr>
        <w:t>does n</w:t>
      </w:r>
      <w:r w:rsidRPr="00EF7113">
        <w:rPr>
          <w:rFonts w:asciiTheme="majorBidi" w:hAnsiTheme="majorBidi" w:cstheme="majorBidi"/>
          <w:sz w:val="24"/>
          <w:szCs w:val="24"/>
        </w:rPr>
        <w:t xml:space="preserve">ot </w:t>
      </w:r>
      <w:r w:rsidR="003B7DE4">
        <w:rPr>
          <w:rFonts w:asciiTheme="majorBidi" w:hAnsiTheme="majorBidi" w:cstheme="majorBidi"/>
          <w:sz w:val="24"/>
          <w:szCs w:val="24"/>
        </w:rPr>
        <w:t>equal</w:t>
      </w:r>
      <w:r w:rsidRPr="00EF7113">
        <w:rPr>
          <w:rFonts w:asciiTheme="majorBidi" w:hAnsiTheme="majorBidi" w:cstheme="majorBidi"/>
          <w:sz w:val="24"/>
          <w:szCs w:val="24"/>
        </w:rPr>
        <w:t xml:space="preserve"> </w:t>
      </w:r>
      <w:r w:rsidR="00F15C93" w:rsidRPr="00EF7113">
        <w:rPr>
          <w:rFonts w:asciiTheme="majorBidi" w:hAnsiTheme="majorBidi" w:cstheme="majorBidi"/>
          <w:sz w:val="24"/>
          <w:szCs w:val="24"/>
        </w:rPr>
        <w:t>‘success’</w:t>
      </w:r>
      <w:r w:rsidRPr="00EF7113">
        <w:rPr>
          <w:rFonts w:asciiTheme="majorBidi" w:hAnsiTheme="majorBidi" w:cstheme="majorBidi"/>
          <w:sz w:val="24"/>
          <w:szCs w:val="24"/>
        </w:rPr>
        <w:t xml:space="preserve"> in terms of policy advocacy or outcomes</w:t>
      </w:r>
      <w:r w:rsidR="00F15C93" w:rsidRPr="00EF7113">
        <w:rPr>
          <w:rFonts w:asciiTheme="majorBidi" w:hAnsiTheme="majorBidi" w:cstheme="majorBidi"/>
          <w:sz w:val="24"/>
          <w:szCs w:val="24"/>
        </w:rPr>
        <w:t>.</w:t>
      </w:r>
      <w:r w:rsidRPr="00EF7113">
        <w:rPr>
          <w:rFonts w:asciiTheme="majorBidi" w:hAnsiTheme="majorBidi" w:cstheme="majorBidi"/>
          <w:sz w:val="24"/>
          <w:szCs w:val="24"/>
        </w:rPr>
        <w:t xml:space="preserve"> </w:t>
      </w:r>
      <w:r w:rsidR="003B7DE4">
        <w:rPr>
          <w:rFonts w:asciiTheme="majorBidi" w:hAnsiTheme="majorBidi" w:cstheme="majorBidi"/>
          <w:sz w:val="24"/>
          <w:szCs w:val="24"/>
        </w:rPr>
        <w:t>Al</w:t>
      </w:r>
      <w:r w:rsidR="00F470D6" w:rsidRPr="00EF7113">
        <w:rPr>
          <w:rFonts w:asciiTheme="majorBidi" w:hAnsiTheme="majorBidi" w:cstheme="majorBidi"/>
          <w:sz w:val="24"/>
          <w:szCs w:val="24"/>
        </w:rPr>
        <w:t>though</w:t>
      </w:r>
      <w:r w:rsidR="00E7704B">
        <w:rPr>
          <w:rFonts w:asciiTheme="majorBidi" w:hAnsiTheme="majorBidi" w:cstheme="majorBidi"/>
          <w:sz w:val="24"/>
          <w:szCs w:val="24"/>
        </w:rPr>
        <w:t xml:space="preserve"> </w:t>
      </w:r>
      <w:r w:rsidR="005939E8">
        <w:rPr>
          <w:rFonts w:asciiTheme="majorBidi" w:hAnsiTheme="majorBidi" w:cstheme="majorBidi"/>
          <w:sz w:val="24"/>
          <w:szCs w:val="24"/>
        </w:rPr>
        <w:t xml:space="preserve">there are suggestions </w:t>
      </w:r>
      <w:r w:rsidR="00E7704B">
        <w:rPr>
          <w:rFonts w:asciiTheme="majorBidi" w:hAnsiTheme="majorBidi" w:cstheme="majorBidi"/>
          <w:sz w:val="24"/>
          <w:szCs w:val="24"/>
        </w:rPr>
        <w:t>NZ’s</w:t>
      </w:r>
      <w:r w:rsidR="00F470D6" w:rsidRPr="00EF7113">
        <w:rPr>
          <w:rFonts w:asciiTheme="majorBidi" w:hAnsiTheme="majorBidi" w:cstheme="majorBidi"/>
          <w:sz w:val="24"/>
          <w:szCs w:val="24"/>
        </w:rPr>
        <w:t xml:space="preserve"> new Labour-led government may induce changes in the institutional landscape around prevention,</w:t>
      </w:r>
      <w:r w:rsidR="005939E8">
        <w:rPr>
          <w:rFonts w:asciiTheme="majorBidi" w:hAnsiTheme="majorBidi" w:cstheme="majorBidi"/>
          <w:sz w:val="24"/>
          <w:szCs w:val="24"/>
        </w:rPr>
        <w:t xml:space="preserve"> HPA has historically been</w:t>
      </w:r>
      <w:r w:rsidRPr="00EF7113">
        <w:rPr>
          <w:rFonts w:asciiTheme="majorBidi" w:hAnsiTheme="majorBidi" w:cstheme="majorBidi"/>
          <w:sz w:val="24"/>
          <w:szCs w:val="24"/>
        </w:rPr>
        <w:t xml:space="preserve"> more</w:t>
      </w:r>
      <w:r w:rsidR="005939E8">
        <w:rPr>
          <w:rFonts w:asciiTheme="majorBidi" w:hAnsiTheme="majorBidi" w:cstheme="majorBidi"/>
          <w:sz w:val="24"/>
          <w:szCs w:val="24"/>
        </w:rPr>
        <w:t xml:space="preserve"> of</w:t>
      </w:r>
      <w:r w:rsidRPr="00EF7113">
        <w:rPr>
          <w:rFonts w:asciiTheme="majorBidi" w:hAnsiTheme="majorBidi" w:cstheme="majorBidi"/>
          <w:sz w:val="24"/>
          <w:szCs w:val="24"/>
        </w:rPr>
        <w:t xml:space="preserve"> an obstacle than a vehicle for leadership on preventative health policy.</w:t>
      </w:r>
    </w:p>
    <w:p w14:paraId="64D47756" w14:textId="77777777" w:rsidR="005939E8" w:rsidRPr="00EF7113" w:rsidRDefault="005939E8" w:rsidP="00A275BB">
      <w:pPr>
        <w:spacing w:line="480" w:lineRule="auto"/>
        <w:rPr>
          <w:rFonts w:asciiTheme="majorBidi" w:hAnsiTheme="majorBidi" w:cstheme="majorBidi"/>
          <w:sz w:val="24"/>
          <w:szCs w:val="24"/>
        </w:rPr>
      </w:pPr>
    </w:p>
    <w:p w14:paraId="1E44E346" w14:textId="77777777" w:rsidR="0066635C" w:rsidRPr="00EF7113" w:rsidRDefault="0066635C" w:rsidP="00A275BB">
      <w:pPr>
        <w:spacing w:line="480" w:lineRule="auto"/>
        <w:rPr>
          <w:rFonts w:asciiTheme="majorBidi" w:hAnsiTheme="majorBidi" w:cstheme="majorBidi"/>
          <w:b/>
          <w:bCs/>
          <w:sz w:val="24"/>
          <w:szCs w:val="24"/>
        </w:rPr>
      </w:pPr>
      <w:r w:rsidRPr="00EF7113">
        <w:rPr>
          <w:rFonts w:asciiTheme="majorBidi" w:hAnsiTheme="majorBidi" w:cstheme="majorBidi"/>
          <w:b/>
          <w:bCs/>
          <w:sz w:val="24"/>
          <w:szCs w:val="24"/>
        </w:rPr>
        <w:t>Case 3: Public Health England</w:t>
      </w:r>
    </w:p>
    <w:p w14:paraId="022F6732" w14:textId="666D6AC2" w:rsidR="0041161F" w:rsidRPr="00EF7113" w:rsidRDefault="0066635C"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lastRenderedPageBreak/>
        <w:t xml:space="preserve">Public Health England (PHE) came about through the major health service reforms under David Cameron’s Coalition government. It brought together under one umbrella </w:t>
      </w:r>
      <w:r w:rsidR="003B7DE4">
        <w:rPr>
          <w:rFonts w:asciiTheme="majorBidi" w:hAnsiTheme="majorBidi" w:cstheme="majorBidi"/>
          <w:sz w:val="24"/>
          <w:szCs w:val="24"/>
        </w:rPr>
        <w:t>some</w:t>
      </w:r>
      <w:r w:rsidRPr="00EF7113">
        <w:rPr>
          <w:rFonts w:asciiTheme="majorBidi" w:hAnsiTheme="majorBidi" w:cstheme="majorBidi"/>
          <w:sz w:val="24"/>
          <w:szCs w:val="24"/>
        </w:rPr>
        <w:t xml:space="preserve"> pre-existing arms-length bodies </w:t>
      </w:r>
      <w:r w:rsidR="003B7DE4">
        <w:rPr>
          <w:rFonts w:asciiTheme="majorBidi" w:hAnsiTheme="majorBidi" w:cstheme="majorBidi"/>
          <w:sz w:val="24"/>
          <w:szCs w:val="24"/>
        </w:rPr>
        <w:t>and</w:t>
      </w:r>
      <w:r w:rsidR="0041161F" w:rsidRPr="00EF7113">
        <w:rPr>
          <w:rFonts w:asciiTheme="majorBidi" w:hAnsiTheme="majorBidi" w:cstheme="majorBidi"/>
          <w:sz w:val="24"/>
          <w:szCs w:val="24"/>
        </w:rPr>
        <w:t xml:space="preserve"> new dedicated functions:</w:t>
      </w:r>
    </w:p>
    <w:p w14:paraId="3DE1390A" w14:textId="5288E077" w:rsidR="0041161F" w:rsidRPr="00EF7113" w:rsidRDefault="0041161F"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 xml:space="preserve">By creating this new integrated public health organisation, we believe Public Health England can develop to be a global leader in translating evidence into practice, and in tackling hitherto intractable problems.  (Healthy </w:t>
      </w:r>
      <w:r w:rsidR="00B8673D" w:rsidRPr="00EF7113">
        <w:rPr>
          <w:rFonts w:asciiTheme="majorBidi" w:hAnsiTheme="majorBidi" w:cstheme="majorBidi"/>
          <w:sz w:val="24"/>
          <w:szCs w:val="24"/>
        </w:rPr>
        <w:t>Lives: H</w:t>
      </w:r>
      <w:r w:rsidRPr="00EF7113">
        <w:rPr>
          <w:rFonts w:asciiTheme="majorBidi" w:hAnsiTheme="majorBidi" w:cstheme="majorBidi"/>
          <w:sz w:val="24"/>
          <w:szCs w:val="24"/>
        </w:rPr>
        <w:t>ealthy People, p16).</w:t>
      </w:r>
    </w:p>
    <w:p w14:paraId="33799DFE" w14:textId="6FBDF83C" w:rsidR="002438E0" w:rsidRPr="00EF7113" w:rsidRDefault="0066635C" w:rsidP="00A275BB">
      <w:pPr>
        <w:spacing w:line="480" w:lineRule="auto"/>
        <w:rPr>
          <w:rFonts w:asciiTheme="majorBidi" w:hAnsiTheme="majorBidi" w:cstheme="majorBidi"/>
          <w:color w:val="FF0000"/>
          <w:sz w:val="24"/>
          <w:szCs w:val="24"/>
        </w:rPr>
      </w:pPr>
      <w:r w:rsidRPr="00EF7113">
        <w:rPr>
          <w:rFonts w:asciiTheme="majorBidi" w:hAnsiTheme="majorBidi" w:cstheme="majorBidi"/>
          <w:sz w:val="24"/>
          <w:szCs w:val="24"/>
        </w:rPr>
        <w:t xml:space="preserve">Though subject to </w:t>
      </w:r>
      <w:r w:rsidR="003B7DE4">
        <w:rPr>
          <w:rFonts w:asciiTheme="majorBidi" w:hAnsiTheme="majorBidi" w:cstheme="majorBidi"/>
          <w:sz w:val="24"/>
          <w:szCs w:val="24"/>
        </w:rPr>
        <w:t>teething problems</w:t>
      </w:r>
      <w:r w:rsidRPr="00EF7113">
        <w:rPr>
          <w:rFonts w:asciiTheme="majorBidi" w:hAnsiTheme="majorBidi" w:cstheme="majorBidi"/>
          <w:sz w:val="24"/>
          <w:szCs w:val="24"/>
        </w:rPr>
        <w:t xml:space="preserve"> and controversy in its short history, PHE has enjoyed a happier combination of institutional ‘success’ and policymaking gains on preventative health. How has it</w:t>
      </w:r>
      <w:r w:rsidR="00C77915" w:rsidRPr="00EF7113">
        <w:rPr>
          <w:rFonts w:asciiTheme="majorBidi" w:hAnsiTheme="majorBidi" w:cstheme="majorBidi"/>
          <w:sz w:val="24"/>
          <w:szCs w:val="24"/>
        </w:rPr>
        <w:t xml:space="preserve"> managed this?</w:t>
      </w:r>
    </w:p>
    <w:p w14:paraId="635A5F11" w14:textId="77777777" w:rsidR="0066635C" w:rsidRPr="00EF7113" w:rsidRDefault="0066635C" w:rsidP="00A275BB">
      <w:pPr>
        <w:spacing w:line="480" w:lineRule="auto"/>
        <w:rPr>
          <w:rFonts w:asciiTheme="majorBidi" w:hAnsiTheme="majorBidi" w:cstheme="majorBidi"/>
          <w:i/>
          <w:iCs/>
          <w:sz w:val="24"/>
          <w:szCs w:val="24"/>
        </w:rPr>
      </w:pPr>
      <w:r w:rsidRPr="00EF7113">
        <w:rPr>
          <w:rFonts w:asciiTheme="majorBidi" w:hAnsiTheme="majorBidi" w:cstheme="majorBidi"/>
          <w:i/>
          <w:iCs/>
          <w:sz w:val="24"/>
          <w:szCs w:val="24"/>
        </w:rPr>
        <w:t>Salience: Just right</w:t>
      </w:r>
    </w:p>
    <w:p w14:paraId="0A33F2CB" w14:textId="4DE75ABF" w:rsidR="0041161F" w:rsidRPr="00EF7113" w:rsidRDefault="003B7DE4" w:rsidP="00A275BB">
      <w:pPr>
        <w:spacing w:line="480" w:lineRule="auto"/>
        <w:rPr>
          <w:rFonts w:asciiTheme="majorBidi" w:hAnsiTheme="majorBidi" w:cstheme="majorBidi"/>
          <w:sz w:val="24"/>
          <w:szCs w:val="24"/>
        </w:rPr>
      </w:pPr>
      <w:r>
        <w:rPr>
          <w:rFonts w:asciiTheme="majorBidi" w:hAnsiTheme="majorBidi" w:cstheme="majorBidi"/>
          <w:sz w:val="24"/>
          <w:szCs w:val="24"/>
        </w:rPr>
        <w:t>T</w:t>
      </w:r>
      <w:r w:rsidR="0066635C" w:rsidRPr="00EF7113">
        <w:rPr>
          <w:rFonts w:asciiTheme="majorBidi" w:hAnsiTheme="majorBidi" w:cstheme="majorBidi"/>
          <w:sz w:val="24"/>
          <w:szCs w:val="24"/>
        </w:rPr>
        <w:t xml:space="preserve">wo factors </w:t>
      </w:r>
      <w:r>
        <w:rPr>
          <w:rFonts w:asciiTheme="majorBidi" w:hAnsiTheme="majorBidi" w:cstheme="majorBidi"/>
          <w:sz w:val="24"/>
          <w:szCs w:val="24"/>
        </w:rPr>
        <w:t>explain its salience. First, it</w:t>
      </w:r>
      <w:r w:rsidR="0066635C" w:rsidRPr="00EF7113">
        <w:rPr>
          <w:rFonts w:asciiTheme="majorBidi" w:hAnsiTheme="majorBidi" w:cstheme="majorBidi"/>
          <w:sz w:val="24"/>
          <w:szCs w:val="24"/>
        </w:rPr>
        <w:t xml:space="preserve"> was set up by the Coalitio</w:t>
      </w:r>
      <w:r w:rsidR="005273BB" w:rsidRPr="00EF7113">
        <w:rPr>
          <w:rFonts w:asciiTheme="majorBidi" w:hAnsiTheme="majorBidi" w:cstheme="majorBidi"/>
          <w:sz w:val="24"/>
          <w:szCs w:val="24"/>
        </w:rPr>
        <w:t>n government but retains a bipartisan public im</w:t>
      </w:r>
      <w:r w:rsidR="0041161F" w:rsidRPr="00EF7113">
        <w:rPr>
          <w:rFonts w:asciiTheme="majorBidi" w:hAnsiTheme="majorBidi" w:cstheme="majorBidi"/>
          <w:sz w:val="24"/>
          <w:szCs w:val="24"/>
        </w:rPr>
        <w:t xml:space="preserve">age. The </w:t>
      </w:r>
      <w:r w:rsidR="00677DCD" w:rsidRPr="00EF7113">
        <w:rPr>
          <w:rFonts w:asciiTheme="majorBidi" w:hAnsiTheme="majorBidi" w:cstheme="majorBidi"/>
          <w:sz w:val="24"/>
          <w:szCs w:val="24"/>
        </w:rPr>
        <w:t>legislation establishing PHE received strong</w:t>
      </w:r>
      <w:r w:rsidR="0041161F" w:rsidRPr="00EF7113">
        <w:rPr>
          <w:rFonts w:asciiTheme="majorBidi" w:hAnsiTheme="majorBidi" w:cstheme="majorBidi"/>
          <w:sz w:val="24"/>
          <w:szCs w:val="24"/>
        </w:rPr>
        <w:t xml:space="preserve"> suppo</w:t>
      </w:r>
      <w:r w:rsidR="005C2256">
        <w:rPr>
          <w:rFonts w:asciiTheme="majorBidi" w:hAnsiTheme="majorBidi" w:cstheme="majorBidi"/>
          <w:sz w:val="24"/>
          <w:szCs w:val="24"/>
        </w:rPr>
        <w:t>rt</w:t>
      </w:r>
      <w:r w:rsidR="00677DCD" w:rsidRPr="00EF7113">
        <w:rPr>
          <w:rFonts w:asciiTheme="majorBidi" w:hAnsiTheme="majorBidi" w:cstheme="majorBidi"/>
          <w:sz w:val="24"/>
          <w:szCs w:val="24"/>
        </w:rPr>
        <w:t xml:space="preserve"> from</w:t>
      </w:r>
      <w:r w:rsidR="0041161F" w:rsidRPr="00EF7113">
        <w:rPr>
          <w:rFonts w:asciiTheme="majorBidi" w:hAnsiTheme="majorBidi" w:cstheme="majorBidi"/>
          <w:sz w:val="24"/>
          <w:szCs w:val="24"/>
        </w:rPr>
        <w:t xml:space="preserve"> all main parties. Indeed, the main delays to this aspect of the Bill concerned a call for amendments to </w:t>
      </w:r>
      <w:r w:rsidR="005C2256" w:rsidRPr="005C2256">
        <w:rPr>
          <w:rFonts w:asciiTheme="majorBidi" w:hAnsiTheme="majorBidi" w:cstheme="majorBidi"/>
          <w:i/>
          <w:iCs/>
          <w:sz w:val="24"/>
          <w:szCs w:val="24"/>
        </w:rPr>
        <w:t>strengthen</w:t>
      </w:r>
      <w:r w:rsidR="0041161F" w:rsidRPr="005C2256">
        <w:rPr>
          <w:rFonts w:asciiTheme="majorBidi" w:hAnsiTheme="majorBidi" w:cstheme="majorBidi"/>
          <w:i/>
          <w:iCs/>
          <w:sz w:val="24"/>
          <w:szCs w:val="24"/>
        </w:rPr>
        <w:t xml:space="preserve"> </w:t>
      </w:r>
      <w:r w:rsidR="0041161F" w:rsidRPr="00EF7113">
        <w:rPr>
          <w:rFonts w:asciiTheme="majorBidi" w:hAnsiTheme="majorBidi" w:cstheme="majorBidi"/>
          <w:sz w:val="24"/>
          <w:szCs w:val="24"/>
        </w:rPr>
        <w:t>the indepen</w:t>
      </w:r>
      <w:r>
        <w:rPr>
          <w:rFonts w:asciiTheme="majorBidi" w:hAnsiTheme="majorBidi" w:cstheme="majorBidi"/>
          <w:sz w:val="24"/>
          <w:szCs w:val="24"/>
        </w:rPr>
        <w:t xml:space="preserve">dent standing of the new agency, </w:t>
      </w:r>
      <w:r w:rsidR="0041161F" w:rsidRPr="00EF7113">
        <w:rPr>
          <w:rFonts w:asciiTheme="majorBidi" w:hAnsiTheme="majorBidi" w:cstheme="majorBidi"/>
          <w:sz w:val="24"/>
          <w:szCs w:val="24"/>
        </w:rPr>
        <w:t>supported and advocated by Peers on all sides</w:t>
      </w:r>
      <w:r w:rsidR="005C2256">
        <w:rPr>
          <w:rFonts w:asciiTheme="majorBidi" w:hAnsiTheme="majorBidi" w:cstheme="majorBidi"/>
          <w:sz w:val="24"/>
          <w:szCs w:val="24"/>
        </w:rPr>
        <w:t xml:space="preserve"> </w:t>
      </w:r>
      <w:r w:rsidR="005C2256" w:rsidRPr="00EF7113">
        <w:rPr>
          <w:rFonts w:asciiTheme="majorBidi" w:hAnsiTheme="majorBidi" w:cstheme="majorBidi"/>
          <w:sz w:val="24"/>
          <w:szCs w:val="24"/>
        </w:rPr>
        <w:t xml:space="preserve">(see </w:t>
      </w:r>
      <w:r w:rsidR="005C2256">
        <w:rPr>
          <w:rFonts w:asciiTheme="majorBidi" w:hAnsiTheme="majorBidi" w:cstheme="majorBidi"/>
          <w:sz w:val="24"/>
          <w:szCs w:val="24"/>
        </w:rPr>
        <w:t xml:space="preserve">House of Lords </w:t>
      </w:r>
      <w:r w:rsidR="00DD1ACA">
        <w:rPr>
          <w:rFonts w:asciiTheme="majorBidi" w:hAnsiTheme="majorBidi" w:cstheme="majorBidi"/>
          <w:sz w:val="24"/>
          <w:szCs w:val="24"/>
        </w:rPr>
        <w:t>2012</w:t>
      </w:r>
      <w:r w:rsidR="005939E8">
        <w:rPr>
          <w:rFonts w:asciiTheme="majorBidi" w:hAnsiTheme="majorBidi" w:cstheme="majorBidi"/>
          <w:sz w:val="24"/>
          <w:szCs w:val="24"/>
        </w:rPr>
        <w:t>).</w:t>
      </w:r>
      <w:r w:rsidR="00DC0A9F">
        <w:rPr>
          <w:rFonts w:asciiTheme="majorBidi" w:hAnsiTheme="majorBidi" w:cstheme="majorBidi"/>
          <w:sz w:val="24"/>
          <w:szCs w:val="24"/>
        </w:rPr>
        <w:t xml:space="preserve"> This was a deliberate, orchestrated campaign to shore up the informal legitimacy of the new body.</w:t>
      </w:r>
    </w:p>
    <w:p w14:paraId="130725C9" w14:textId="70B5DC5D" w:rsidR="00903E66" w:rsidRPr="00EF7113" w:rsidRDefault="001E0085"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Of course, a bipartisan image does</w:t>
      </w:r>
      <w:r w:rsidR="003B7DE4">
        <w:rPr>
          <w:rFonts w:asciiTheme="majorBidi" w:hAnsiTheme="majorBidi" w:cstheme="majorBidi"/>
          <w:sz w:val="24"/>
          <w:szCs w:val="24"/>
        </w:rPr>
        <w:t xml:space="preserve"> not just emerge in a vacuum. I</w:t>
      </w:r>
      <w:r w:rsidRPr="00EF7113">
        <w:rPr>
          <w:rFonts w:asciiTheme="majorBidi" w:hAnsiTheme="majorBidi" w:cstheme="majorBidi"/>
          <w:sz w:val="24"/>
          <w:szCs w:val="24"/>
        </w:rPr>
        <w:t>t has to be fought for, courted</w:t>
      </w:r>
      <w:r w:rsidR="00903E66" w:rsidRPr="00EF7113">
        <w:rPr>
          <w:rFonts w:asciiTheme="majorBidi" w:hAnsiTheme="majorBidi" w:cstheme="majorBidi"/>
          <w:sz w:val="24"/>
          <w:szCs w:val="24"/>
        </w:rPr>
        <w:t xml:space="preserve"> and reinforced. Importantly, the logic underpinning the establishment of PHE lay in administrative efficiency rather than a more overtly political drive f</w:t>
      </w:r>
      <w:r w:rsidR="00E078E2" w:rsidRPr="00EF7113">
        <w:rPr>
          <w:rFonts w:asciiTheme="majorBidi" w:hAnsiTheme="majorBidi" w:cstheme="majorBidi"/>
          <w:sz w:val="24"/>
          <w:szCs w:val="24"/>
        </w:rPr>
        <w:t>or</w:t>
      </w:r>
      <w:r w:rsidR="00F470D6" w:rsidRPr="00EF7113">
        <w:rPr>
          <w:rFonts w:asciiTheme="majorBidi" w:hAnsiTheme="majorBidi" w:cstheme="majorBidi"/>
          <w:sz w:val="24"/>
          <w:szCs w:val="24"/>
        </w:rPr>
        <w:t xml:space="preserve"> preventative policy outcomes. </w:t>
      </w:r>
      <w:r w:rsidR="00E078E2" w:rsidRPr="00EF7113">
        <w:rPr>
          <w:rFonts w:asciiTheme="majorBidi" w:hAnsiTheme="majorBidi" w:cstheme="majorBidi"/>
          <w:sz w:val="24"/>
          <w:szCs w:val="24"/>
        </w:rPr>
        <w:t>Though the Coalition government’s health reforms under Andrew Lansley were extremely controversial and divisive on the whole, the particular move to shift public health away from Westminster responsibility and towards the jurisdiction of local govern</w:t>
      </w:r>
      <w:r w:rsidR="005571EB" w:rsidRPr="00EF7113">
        <w:rPr>
          <w:rFonts w:asciiTheme="majorBidi" w:hAnsiTheme="majorBidi" w:cstheme="majorBidi"/>
          <w:sz w:val="24"/>
          <w:szCs w:val="24"/>
        </w:rPr>
        <w:t>ment was widely seen as long overdue common sense</w:t>
      </w:r>
      <w:r w:rsidR="00E078E2" w:rsidRPr="00EF7113">
        <w:rPr>
          <w:rFonts w:asciiTheme="majorBidi" w:hAnsiTheme="majorBidi" w:cstheme="majorBidi"/>
          <w:sz w:val="24"/>
          <w:szCs w:val="24"/>
        </w:rPr>
        <w:t xml:space="preserve">. </w:t>
      </w:r>
      <w:r w:rsidR="005273BB" w:rsidRPr="00EF7113">
        <w:rPr>
          <w:rFonts w:asciiTheme="majorBidi" w:hAnsiTheme="majorBidi" w:cstheme="majorBidi"/>
          <w:sz w:val="24"/>
          <w:szCs w:val="24"/>
        </w:rPr>
        <w:t>O</w:t>
      </w:r>
      <w:r w:rsidR="00E078E2" w:rsidRPr="00EF7113">
        <w:rPr>
          <w:rFonts w:asciiTheme="majorBidi" w:hAnsiTheme="majorBidi" w:cstheme="majorBidi"/>
          <w:sz w:val="24"/>
          <w:szCs w:val="24"/>
        </w:rPr>
        <w:t>ne public health advocate explained:</w:t>
      </w:r>
    </w:p>
    <w:p w14:paraId="14414047" w14:textId="3FA03990" w:rsidR="005273BB" w:rsidRPr="00EF7113" w:rsidRDefault="005273BB"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lastRenderedPageBreak/>
        <w:t xml:space="preserve">Establishing PHE was a sort of necessity once the decision had been taken by the then Secretary of State to move public health into local government. It required, you know, an aggregation of the public health resources that were in regional offices.… I see the move of public health from the NHS to local government as an historic and necessary move. </w:t>
      </w:r>
    </w:p>
    <w:p w14:paraId="74BB2BFB" w14:textId="77F9BF3B" w:rsidR="00EF7113" w:rsidRDefault="003B7DE4" w:rsidP="00A275BB">
      <w:pPr>
        <w:spacing w:line="480" w:lineRule="auto"/>
        <w:rPr>
          <w:rFonts w:asciiTheme="majorBidi" w:hAnsiTheme="majorBidi" w:cstheme="majorBidi"/>
          <w:sz w:val="24"/>
          <w:szCs w:val="24"/>
        </w:rPr>
      </w:pPr>
      <w:r>
        <w:rPr>
          <w:rFonts w:asciiTheme="majorBidi" w:hAnsiTheme="majorBidi" w:cstheme="majorBidi"/>
          <w:sz w:val="24"/>
          <w:szCs w:val="24"/>
        </w:rPr>
        <w:t>The second</w:t>
      </w:r>
      <w:r w:rsidR="00903E66" w:rsidRPr="00EF7113">
        <w:rPr>
          <w:rFonts w:asciiTheme="majorBidi" w:hAnsiTheme="majorBidi" w:cstheme="majorBidi"/>
          <w:sz w:val="24"/>
          <w:szCs w:val="24"/>
        </w:rPr>
        <w:t xml:space="preserve"> key factor</w:t>
      </w:r>
      <w:r w:rsidR="00E078E2" w:rsidRPr="00EF7113">
        <w:rPr>
          <w:rFonts w:asciiTheme="majorBidi" w:hAnsiTheme="majorBidi" w:cstheme="majorBidi"/>
          <w:sz w:val="24"/>
          <w:szCs w:val="24"/>
        </w:rPr>
        <w:t xml:space="preserve"> has been the organization’s</w:t>
      </w:r>
      <w:r w:rsidR="001E0085" w:rsidRPr="00EF7113">
        <w:rPr>
          <w:rFonts w:asciiTheme="majorBidi" w:hAnsiTheme="majorBidi" w:cstheme="majorBidi"/>
          <w:sz w:val="24"/>
          <w:szCs w:val="24"/>
        </w:rPr>
        <w:t xml:space="preserve"> wily </w:t>
      </w:r>
      <w:r w:rsidR="00B057FC" w:rsidRPr="00EF7113">
        <w:rPr>
          <w:rFonts w:asciiTheme="majorBidi" w:hAnsiTheme="majorBidi" w:cstheme="majorBidi"/>
          <w:sz w:val="24"/>
          <w:szCs w:val="24"/>
        </w:rPr>
        <w:t>engagement with</w:t>
      </w:r>
      <w:r w:rsidR="00E078E2" w:rsidRPr="00EF7113">
        <w:rPr>
          <w:rFonts w:asciiTheme="majorBidi" w:hAnsiTheme="majorBidi" w:cstheme="majorBidi"/>
          <w:sz w:val="24"/>
          <w:szCs w:val="24"/>
        </w:rPr>
        <w:t xml:space="preserve"> </w:t>
      </w:r>
      <w:r w:rsidR="00C84008" w:rsidRPr="00EF7113">
        <w:rPr>
          <w:rFonts w:asciiTheme="majorBidi" w:hAnsiTheme="majorBidi" w:cstheme="majorBidi"/>
          <w:sz w:val="24"/>
          <w:szCs w:val="24"/>
        </w:rPr>
        <w:t>salient</w:t>
      </w:r>
      <w:r w:rsidR="001E0085" w:rsidRPr="00EF7113">
        <w:rPr>
          <w:rFonts w:asciiTheme="majorBidi" w:hAnsiTheme="majorBidi" w:cstheme="majorBidi"/>
          <w:sz w:val="24"/>
          <w:szCs w:val="24"/>
        </w:rPr>
        <w:t xml:space="preserve"> issues. </w:t>
      </w:r>
      <w:r w:rsidR="00B057FC" w:rsidRPr="00EF7113">
        <w:rPr>
          <w:rFonts w:asciiTheme="majorBidi" w:hAnsiTheme="majorBidi" w:cstheme="majorBidi"/>
          <w:sz w:val="24"/>
          <w:szCs w:val="24"/>
        </w:rPr>
        <w:t xml:space="preserve">One key </w:t>
      </w:r>
      <w:r>
        <w:rPr>
          <w:rFonts w:asciiTheme="majorBidi" w:hAnsiTheme="majorBidi" w:cstheme="majorBidi"/>
          <w:sz w:val="24"/>
          <w:szCs w:val="24"/>
        </w:rPr>
        <w:t>facilitator</w:t>
      </w:r>
      <w:r w:rsidR="00B057FC" w:rsidRPr="00EF7113">
        <w:rPr>
          <w:rFonts w:asciiTheme="majorBidi" w:hAnsiTheme="majorBidi" w:cstheme="majorBidi"/>
          <w:sz w:val="24"/>
          <w:szCs w:val="24"/>
        </w:rPr>
        <w:t xml:space="preserve"> is the</w:t>
      </w:r>
      <w:r w:rsidR="00C84008" w:rsidRPr="00EF7113">
        <w:rPr>
          <w:rFonts w:asciiTheme="majorBidi" w:hAnsiTheme="majorBidi" w:cstheme="majorBidi"/>
          <w:sz w:val="24"/>
          <w:szCs w:val="24"/>
        </w:rPr>
        <w:t>ir</w:t>
      </w:r>
      <w:r w:rsidR="00B057FC" w:rsidRPr="00EF7113">
        <w:rPr>
          <w:rFonts w:asciiTheme="majorBidi" w:hAnsiTheme="majorBidi" w:cstheme="majorBidi"/>
          <w:sz w:val="24"/>
          <w:szCs w:val="24"/>
        </w:rPr>
        <w:t xml:space="preserve"> willingness to engage. </w:t>
      </w:r>
      <w:r w:rsidR="001E0085" w:rsidRPr="00EF7113">
        <w:rPr>
          <w:rFonts w:asciiTheme="majorBidi" w:hAnsiTheme="majorBidi" w:cstheme="majorBidi"/>
          <w:sz w:val="24"/>
          <w:szCs w:val="24"/>
        </w:rPr>
        <w:t>The distinction here with the HPA in NZ is instructive: PHE does not ‘go to ground’ or refuse to coun</w:t>
      </w:r>
      <w:r w:rsidR="00B057FC" w:rsidRPr="00EF7113">
        <w:rPr>
          <w:rFonts w:asciiTheme="majorBidi" w:hAnsiTheme="majorBidi" w:cstheme="majorBidi"/>
          <w:sz w:val="24"/>
          <w:szCs w:val="24"/>
        </w:rPr>
        <w:t>tenance political topics. It tackles them, and</w:t>
      </w:r>
      <w:r w:rsidR="001E0085" w:rsidRPr="00EF7113">
        <w:rPr>
          <w:rFonts w:asciiTheme="majorBidi" w:hAnsiTheme="majorBidi" w:cstheme="majorBidi"/>
          <w:sz w:val="24"/>
          <w:szCs w:val="24"/>
        </w:rPr>
        <w:t xml:space="preserve"> </w:t>
      </w:r>
      <w:r w:rsidR="00B057FC" w:rsidRPr="00EF7113">
        <w:rPr>
          <w:rFonts w:asciiTheme="majorBidi" w:hAnsiTheme="majorBidi" w:cstheme="majorBidi"/>
          <w:sz w:val="24"/>
          <w:szCs w:val="24"/>
        </w:rPr>
        <w:t>is forthright</w:t>
      </w:r>
      <w:r w:rsidR="001E0085" w:rsidRPr="00EF7113">
        <w:rPr>
          <w:rFonts w:asciiTheme="majorBidi" w:hAnsiTheme="majorBidi" w:cstheme="majorBidi"/>
          <w:sz w:val="24"/>
          <w:szCs w:val="24"/>
        </w:rPr>
        <w:t xml:space="preserve"> in its public defence of stated positions. </w:t>
      </w:r>
      <w:r>
        <w:rPr>
          <w:rFonts w:asciiTheme="majorBidi" w:hAnsiTheme="majorBidi" w:cstheme="majorBidi"/>
          <w:sz w:val="24"/>
          <w:szCs w:val="24"/>
        </w:rPr>
        <w:t>Its approach to engagement is sufficiently low key</w:t>
      </w:r>
      <w:r w:rsidR="00B057FC" w:rsidRPr="00EF7113">
        <w:rPr>
          <w:rFonts w:asciiTheme="majorBidi" w:hAnsiTheme="majorBidi" w:cstheme="majorBidi"/>
          <w:sz w:val="24"/>
          <w:szCs w:val="24"/>
        </w:rPr>
        <w:t xml:space="preserve">: </w:t>
      </w:r>
      <w:r w:rsidR="001E0085" w:rsidRPr="00EF7113">
        <w:rPr>
          <w:rFonts w:asciiTheme="majorBidi" w:hAnsiTheme="majorBidi" w:cstheme="majorBidi"/>
          <w:sz w:val="24"/>
          <w:szCs w:val="24"/>
        </w:rPr>
        <w:t xml:space="preserve">PHE has been careful </w:t>
      </w:r>
      <w:r w:rsidR="005273BB" w:rsidRPr="00EF7113">
        <w:rPr>
          <w:rFonts w:asciiTheme="majorBidi" w:hAnsiTheme="majorBidi" w:cstheme="majorBidi"/>
          <w:sz w:val="24"/>
          <w:szCs w:val="24"/>
        </w:rPr>
        <w:t>to follow established p</w:t>
      </w:r>
      <w:r w:rsidR="006C66CC">
        <w:rPr>
          <w:rFonts w:asciiTheme="majorBidi" w:hAnsiTheme="majorBidi" w:cstheme="majorBidi"/>
          <w:sz w:val="24"/>
          <w:szCs w:val="24"/>
        </w:rPr>
        <w:t>rotocols of independent advice</w:t>
      </w:r>
      <w:r w:rsidR="005273BB" w:rsidRPr="00EF7113">
        <w:rPr>
          <w:rFonts w:asciiTheme="majorBidi" w:hAnsiTheme="majorBidi" w:cstheme="majorBidi"/>
          <w:sz w:val="24"/>
          <w:szCs w:val="24"/>
        </w:rPr>
        <w:t xml:space="preserve"> and, in doing so, </w:t>
      </w:r>
      <w:r w:rsidR="001E0085" w:rsidRPr="00EF7113">
        <w:rPr>
          <w:rFonts w:asciiTheme="majorBidi" w:hAnsiTheme="majorBidi" w:cstheme="majorBidi"/>
          <w:sz w:val="24"/>
          <w:szCs w:val="24"/>
        </w:rPr>
        <w:t>not to always side with the p</w:t>
      </w:r>
      <w:r w:rsidR="00E7704B">
        <w:rPr>
          <w:rFonts w:asciiTheme="majorBidi" w:hAnsiTheme="majorBidi" w:cstheme="majorBidi"/>
          <w:sz w:val="24"/>
          <w:szCs w:val="24"/>
        </w:rPr>
        <w:t>rogressive public health lobby</w:t>
      </w:r>
      <w:r w:rsidR="001E0085" w:rsidRPr="00EF7113">
        <w:rPr>
          <w:rFonts w:asciiTheme="majorBidi" w:hAnsiTheme="majorBidi" w:cstheme="majorBidi"/>
          <w:sz w:val="24"/>
          <w:szCs w:val="24"/>
        </w:rPr>
        <w:t>.</w:t>
      </w:r>
      <w:r w:rsidR="005273BB" w:rsidRPr="00EF7113">
        <w:rPr>
          <w:rFonts w:asciiTheme="majorBidi" w:hAnsiTheme="majorBidi" w:cstheme="majorBidi"/>
          <w:sz w:val="24"/>
          <w:szCs w:val="24"/>
        </w:rPr>
        <w:t xml:space="preserve"> The organisation</w:t>
      </w:r>
      <w:r w:rsidR="00E078E2" w:rsidRPr="00EF7113">
        <w:rPr>
          <w:rFonts w:asciiTheme="majorBidi" w:hAnsiTheme="majorBidi" w:cstheme="majorBidi"/>
          <w:sz w:val="24"/>
          <w:szCs w:val="24"/>
        </w:rPr>
        <w:t xml:space="preserve"> engages, but only on </w:t>
      </w:r>
      <w:r w:rsidR="005C2256">
        <w:rPr>
          <w:rFonts w:asciiTheme="majorBidi" w:hAnsiTheme="majorBidi" w:cstheme="majorBidi"/>
          <w:sz w:val="24"/>
          <w:szCs w:val="24"/>
        </w:rPr>
        <w:t>the basis of being a ‘knowledge</w:t>
      </w:r>
      <w:r w:rsidR="00E078E2" w:rsidRPr="00EF7113">
        <w:rPr>
          <w:rFonts w:asciiTheme="majorBidi" w:hAnsiTheme="majorBidi" w:cstheme="majorBidi"/>
          <w:sz w:val="24"/>
          <w:szCs w:val="24"/>
        </w:rPr>
        <w:t xml:space="preserve"> broker</w:t>
      </w:r>
      <w:r w:rsidR="005C2256">
        <w:rPr>
          <w:rFonts w:asciiTheme="majorBidi" w:hAnsiTheme="majorBidi" w:cstheme="majorBidi"/>
          <w:sz w:val="24"/>
          <w:szCs w:val="24"/>
        </w:rPr>
        <w:t>’</w:t>
      </w:r>
      <w:r w:rsidR="00E078E2" w:rsidRPr="00EF7113">
        <w:rPr>
          <w:rFonts w:asciiTheme="majorBidi" w:hAnsiTheme="majorBidi" w:cstheme="majorBidi"/>
          <w:sz w:val="24"/>
          <w:szCs w:val="24"/>
        </w:rPr>
        <w:t>, which allows it to perform and reinforce its independence.</w:t>
      </w:r>
      <w:r>
        <w:rPr>
          <w:rFonts w:asciiTheme="majorBidi" w:hAnsiTheme="majorBidi" w:cstheme="majorBidi"/>
          <w:sz w:val="24"/>
          <w:szCs w:val="24"/>
        </w:rPr>
        <w:t xml:space="preserve"> The most </w:t>
      </w:r>
      <w:r w:rsidR="001E0085" w:rsidRPr="00EF7113">
        <w:rPr>
          <w:rFonts w:asciiTheme="majorBidi" w:hAnsiTheme="majorBidi" w:cstheme="majorBidi"/>
          <w:sz w:val="24"/>
          <w:szCs w:val="24"/>
        </w:rPr>
        <w:t>famous example has</w:t>
      </w:r>
      <w:r w:rsidR="00677DCD" w:rsidRPr="00EF7113">
        <w:rPr>
          <w:rFonts w:asciiTheme="majorBidi" w:hAnsiTheme="majorBidi" w:cstheme="majorBidi"/>
          <w:sz w:val="24"/>
          <w:szCs w:val="24"/>
        </w:rPr>
        <w:t xml:space="preserve"> been around e-cigarettes. A</w:t>
      </w:r>
      <w:r w:rsidR="001E0085" w:rsidRPr="00EF7113">
        <w:rPr>
          <w:rFonts w:asciiTheme="majorBidi" w:hAnsiTheme="majorBidi" w:cstheme="majorBidi"/>
          <w:sz w:val="24"/>
          <w:szCs w:val="24"/>
        </w:rPr>
        <w:t xml:space="preserve"> PHE review in 201</w:t>
      </w:r>
      <w:r w:rsidR="004B6586">
        <w:rPr>
          <w:rFonts w:asciiTheme="majorBidi" w:hAnsiTheme="majorBidi" w:cstheme="majorBidi"/>
          <w:sz w:val="24"/>
          <w:szCs w:val="24"/>
        </w:rPr>
        <w:t>5</w:t>
      </w:r>
      <w:r w:rsidR="001E0085" w:rsidRPr="00EF7113">
        <w:rPr>
          <w:rFonts w:asciiTheme="majorBidi" w:hAnsiTheme="majorBidi" w:cstheme="majorBidi"/>
          <w:sz w:val="24"/>
          <w:szCs w:val="24"/>
        </w:rPr>
        <w:t xml:space="preserve"> </w:t>
      </w:r>
      <w:r w:rsidR="00677DCD" w:rsidRPr="00EF7113">
        <w:rPr>
          <w:rFonts w:asciiTheme="majorBidi" w:hAnsiTheme="majorBidi" w:cstheme="majorBidi"/>
          <w:sz w:val="24"/>
          <w:szCs w:val="24"/>
        </w:rPr>
        <w:t>claimed that e-cigarettes were 95% safer than traditional tobacco, ma</w:t>
      </w:r>
      <w:r w:rsidR="00EF7113">
        <w:rPr>
          <w:rFonts w:asciiTheme="majorBidi" w:hAnsiTheme="majorBidi" w:cstheme="majorBidi"/>
          <w:sz w:val="24"/>
          <w:szCs w:val="24"/>
        </w:rPr>
        <w:t>king headlines around the world</w:t>
      </w:r>
      <w:r w:rsidR="004B6586">
        <w:rPr>
          <w:rFonts w:asciiTheme="majorBidi" w:hAnsiTheme="majorBidi" w:cstheme="majorBidi"/>
          <w:sz w:val="24"/>
          <w:szCs w:val="24"/>
        </w:rPr>
        <w:t xml:space="preserve"> (PHE, 2015)</w:t>
      </w:r>
      <w:r w:rsidR="00EF7113">
        <w:rPr>
          <w:rFonts w:asciiTheme="majorBidi" w:hAnsiTheme="majorBidi" w:cstheme="majorBidi"/>
          <w:sz w:val="24"/>
          <w:szCs w:val="24"/>
        </w:rPr>
        <w:t>. The stance of most public health advocates is that the harms of e-cigarettes are not well understood, and the motives and practices of the corporations producing them ought to give reason for suspicion. The 95% safer verdict, then, was received with considerable hostility. One expert advocate reflected in our interview:</w:t>
      </w:r>
    </w:p>
    <w:p w14:paraId="5BAEDE48" w14:textId="3F55EE95" w:rsidR="002438E0" w:rsidRPr="00EF7113" w:rsidRDefault="005C2256" w:rsidP="00A275BB">
      <w:pPr>
        <w:spacing w:line="480" w:lineRule="auto"/>
        <w:ind w:left="720"/>
        <w:rPr>
          <w:rFonts w:asciiTheme="majorBidi" w:hAnsiTheme="majorBidi" w:cstheme="majorBidi"/>
          <w:sz w:val="24"/>
          <w:szCs w:val="24"/>
        </w:rPr>
      </w:pPr>
      <w:r>
        <w:rPr>
          <w:rFonts w:asciiTheme="majorBidi" w:hAnsiTheme="majorBidi" w:cstheme="majorBidi"/>
          <w:sz w:val="24"/>
          <w:szCs w:val="24"/>
        </w:rPr>
        <w:t xml:space="preserve">It </w:t>
      </w:r>
      <w:r w:rsidRPr="00EF7113">
        <w:rPr>
          <w:rFonts w:asciiTheme="majorBidi" w:hAnsiTheme="majorBidi" w:cstheme="majorBidi"/>
          <w:sz w:val="24"/>
          <w:szCs w:val="24"/>
        </w:rPr>
        <w:t xml:space="preserve">has been the most difficult area certainly.  Arguably Public Health England is out of step with not just the rest of the world but even within the British Isles. </w:t>
      </w:r>
      <w:r w:rsidR="00EF7113" w:rsidRPr="00EF7113">
        <w:rPr>
          <w:rFonts w:asciiTheme="majorBidi" w:hAnsiTheme="majorBidi" w:cstheme="majorBidi"/>
          <w:sz w:val="24"/>
          <w:szCs w:val="24"/>
        </w:rPr>
        <w:t xml:space="preserve">We are working on the principle that we’ll disagree in private and hope to come to positive, </w:t>
      </w:r>
      <w:r>
        <w:rPr>
          <w:rFonts w:asciiTheme="majorBidi" w:hAnsiTheme="majorBidi" w:cstheme="majorBidi"/>
          <w:sz w:val="24"/>
          <w:szCs w:val="24"/>
        </w:rPr>
        <w:t xml:space="preserve">common views in the public. </w:t>
      </w:r>
    </w:p>
    <w:p w14:paraId="400A4C5D" w14:textId="77777777" w:rsidR="00B057FC" w:rsidRPr="00EF7113" w:rsidRDefault="00B057FC" w:rsidP="00A275BB">
      <w:pPr>
        <w:spacing w:line="480" w:lineRule="auto"/>
        <w:rPr>
          <w:rFonts w:asciiTheme="majorBidi" w:hAnsiTheme="majorBidi" w:cstheme="majorBidi"/>
          <w:i/>
          <w:iCs/>
          <w:sz w:val="24"/>
          <w:szCs w:val="24"/>
        </w:rPr>
      </w:pPr>
      <w:r w:rsidRPr="00EF7113">
        <w:rPr>
          <w:rFonts w:asciiTheme="majorBidi" w:hAnsiTheme="majorBidi" w:cstheme="majorBidi"/>
          <w:i/>
          <w:iCs/>
          <w:sz w:val="24"/>
          <w:szCs w:val="24"/>
        </w:rPr>
        <w:t>Scope: Big capacity, flexible remit</w:t>
      </w:r>
    </w:p>
    <w:p w14:paraId="66205583" w14:textId="432A37CA" w:rsidR="00B057FC" w:rsidRPr="00EF7113" w:rsidRDefault="00504FBE"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lastRenderedPageBreak/>
        <w:t>Of the three bodies in our analysis, PHE enjoys by far the greatest capa</w:t>
      </w:r>
      <w:r w:rsidR="00C77915" w:rsidRPr="00EF7113">
        <w:rPr>
          <w:rFonts w:asciiTheme="majorBidi" w:hAnsiTheme="majorBidi" w:cstheme="majorBidi"/>
          <w:sz w:val="24"/>
          <w:szCs w:val="24"/>
        </w:rPr>
        <w:t>city</w:t>
      </w:r>
      <w:r w:rsidRPr="00EF7113">
        <w:rPr>
          <w:rFonts w:asciiTheme="majorBidi" w:hAnsiTheme="majorBidi" w:cstheme="majorBidi"/>
          <w:sz w:val="24"/>
          <w:szCs w:val="24"/>
        </w:rPr>
        <w:t xml:space="preserve">. Size </w:t>
      </w:r>
      <w:r w:rsidR="005571EB" w:rsidRPr="00EF7113">
        <w:rPr>
          <w:rFonts w:asciiTheme="majorBidi" w:hAnsiTheme="majorBidi" w:cstheme="majorBidi"/>
          <w:sz w:val="24"/>
          <w:szCs w:val="24"/>
        </w:rPr>
        <w:t>is often assumed to correlate</w:t>
      </w:r>
      <w:r w:rsidRPr="00EF7113">
        <w:rPr>
          <w:rFonts w:asciiTheme="majorBidi" w:hAnsiTheme="majorBidi" w:cstheme="majorBidi"/>
          <w:sz w:val="24"/>
          <w:szCs w:val="24"/>
        </w:rPr>
        <w:t xml:space="preserve"> with agency success but</w:t>
      </w:r>
      <w:r w:rsidR="00E7704B">
        <w:rPr>
          <w:rFonts w:asciiTheme="majorBidi" w:hAnsiTheme="majorBidi" w:cstheme="majorBidi"/>
          <w:sz w:val="24"/>
          <w:szCs w:val="24"/>
        </w:rPr>
        <w:t xml:space="preserve"> </w:t>
      </w:r>
      <w:r w:rsidR="0067268F">
        <w:rPr>
          <w:rFonts w:asciiTheme="majorBidi" w:hAnsiTheme="majorBidi" w:cstheme="majorBidi"/>
          <w:sz w:val="24"/>
          <w:szCs w:val="24"/>
        </w:rPr>
        <w:t>the relationship is not</w:t>
      </w:r>
      <w:r w:rsidR="00C471F0" w:rsidRPr="00EF7113">
        <w:rPr>
          <w:rFonts w:asciiTheme="majorBidi" w:hAnsiTheme="majorBidi" w:cstheme="majorBidi"/>
          <w:sz w:val="24"/>
          <w:szCs w:val="24"/>
        </w:rPr>
        <w:t xml:space="preserve"> straightforward</w:t>
      </w:r>
      <w:r w:rsidR="00903E66" w:rsidRPr="00EF7113">
        <w:rPr>
          <w:rFonts w:asciiTheme="majorBidi" w:hAnsiTheme="majorBidi" w:cstheme="majorBidi"/>
          <w:sz w:val="24"/>
          <w:szCs w:val="24"/>
        </w:rPr>
        <w:t xml:space="preserve">. </w:t>
      </w:r>
      <w:r w:rsidR="0067268F">
        <w:rPr>
          <w:rFonts w:asciiTheme="majorBidi" w:hAnsiTheme="majorBidi" w:cstheme="majorBidi"/>
          <w:sz w:val="24"/>
          <w:szCs w:val="24"/>
        </w:rPr>
        <w:t>For example, the</w:t>
      </w:r>
      <w:r w:rsidR="00903E66" w:rsidRPr="00EF7113">
        <w:rPr>
          <w:rFonts w:asciiTheme="majorBidi" w:hAnsiTheme="majorBidi" w:cstheme="majorBidi"/>
          <w:sz w:val="24"/>
          <w:szCs w:val="24"/>
        </w:rPr>
        <w:t xml:space="preserve"> </w:t>
      </w:r>
      <w:r w:rsidR="0067268F">
        <w:rPr>
          <w:rFonts w:asciiTheme="majorBidi" w:hAnsiTheme="majorBidi" w:cstheme="majorBidi"/>
          <w:sz w:val="24"/>
          <w:szCs w:val="24"/>
        </w:rPr>
        <w:t>merger of</w:t>
      </w:r>
      <w:r w:rsidR="00903E66" w:rsidRPr="00EF7113">
        <w:rPr>
          <w:rFonts w:asciiTheme="majorBidi" w:hAnsiTheme="majorBidi" w:cstheme="majorBidi"/>
          <w:sz w:val="24"/>
          <w:szCs w:val="24"/>
        </w:rPr>
        <w:t xml:space="preserve"> smaller bodie</w:t>
      </w:r>
      <w:r w:rsidR="0067268F">
        <w:rPr>
          <w:rFonts w:asciiTheme="majorBidi" w:hAnsiTheme="majorBidi" w:cstheme="majorBidi"/>
          <w:sz w:val="24"/>
          <w:szCs w:val="24"/>
        </w:rPr>
        <w:t xml:space="preserve">s – including </w:t>
      </w:r>
      <w:r w:rsidR="00B227E8" w:rsidRPr="00EF7113">
        <w:rPr>
          <w:rFonts w:asciiTheme="majorBidi" w:hAnsiTheme="majorBidi" w:cstheme="majorBidi"/>
          <w:sz w:val="24"/>
          <w:szCs w:val="24"/>
        </w:rPr>
        <w:t>the Health Protection Agency and the National Treatm</w:t>
      </w:r>
      <w:r w:rsidR="0067268F">
        <w:rPr>
          <w:rFonts w:asciiTheme="majorBidi" w:hAnsiTheme="majorBidi" w:cstheme="majorBidi"/>
          <w:sz w:val="24"/>
          <w:szCs w:val="24"/>
        </w:rPr>
        <w:t xml:space="preserve">ent Agency for Substance Misuse </w:t>
      </w:r>
      <w:r w:rsidR="00791CE9">
        <w:rPr>
          <w:rFonts w:asciiTheme="majorBidi" w:hAnsiTheme="majorBidi" w:cstheme="majorBidi"/>
          <w:sz w:val="24"/>
          <w:szCs w:val="24"/>
        </w:rPr>
        <w:t xml:space="preserve">– </w:t>
      </w:r>
      <w:r w:rsidR="00777103">
        <w:rPr>
          <w:rFonts w:asciiTheme="majorBidi" w:hAnsiTheme="majorBidi" w:cstheme="majorBidi"/>
          <w:sz w:val="24"/>
          <w:szCs w:val="24"/>
        </w:rPr>
        <w:t xml:space="preserve">into PHE </w:t>
      </w:r>
      <w:r w:rsidR="00903E66" w:rsidRPr="00EF7113">
        <w:rPr>
          <w:rFonts w:asciiTheme="majorBidi" w:hAnsiTheme="majorBidi" w:cstheme="majorBidi"/>
          <w:sz w:val="24"/>
          <w:szCs w:val="24"/>
        </w:rPr>
        <w:t xml:space="preserve">entailed some degree of conflict, as the actors within constituent parts were bedded into a new structure that reduced some of their autonomy and cut into budgets. One </w:t>
      </w:r>
      <w:r w:rsidR="00F470D6" w:rsidRPr="00EF7113">
        <w:rPr>
          <w:rFonts w:asciiTheme="majorBidi" w:hAnsiTheme="majorBidi" w:cstheme="majorBidi"/>
          <w:sz w:val="24"/>
          <w:szCs w:val="24"/>
        </w:rPr>
        <w:t>official</w:t>
      </w:r>
      <w:r w:rsidR="0067268F">
        <w:rPr>
          <w:rFonts w:asciiTheme="majorBidi" w:hAnsiTheme="majorBidi" w:cstheme="majorBidi"/>
          <w:sz w:val="24"/>
          <w:szCs w:val="24"/>
        </w:rPr>
        <w:t>,</w:t>
      </w:r>
      <w:r w:rsidR="00F470D6" w:rsidRPr="00EF7113">
        <w:rPr>
          <w:rFonts w:asciiTheme="majorBidi" w:hAnsiTheme="majorBidi" w:cstheme="majorBidi"/>
          <w:sz w:val="24"/>
          <w:szCs w:val="24"/>
        </w:rPr>
        <w:t xml:space="preserve"> directly affected by the</w:t>
      </w:r>
      <w:r w:rsidR="005273BB" w:rsidRPr="00EF7113">
        <w:rPr>
          <w:rFonts w:asciiTheme="majorBidi" w:hAnsiTheme="majorBidi" w:cstheme="majorBidi"/>
          <w:sz w:val="24"/>
          <w:szCs w:val="24"/>
        </w:rPr>
        <w:t xml:space="preserve"> process</w:t>
      </w:r>
      <w:r w:rsidR="0067268F">
        <w:rPr>
          <w:rFonts w:asciiTheme="majorBidi" w:hAnsiTheme="majorBidi" w:cstheme="majorBidi"/>
          <w:sz w:val="24"/>
          <w:szCs w:val="24"/>
        </w:rPr>
        <w:t>,</w:t>
      </w:r>
      <w:r w:rsidR="005273BB" w:rsidRPr="00EF7113">
        <w:rPr>
          <w:rFonts w:asciiTheme="majorBidi" w:hAnsiTheme="majorBidi" w:cstheme="majorBidi"/>
          <w:sz w:val="24"/>
          <w:szCs w:val="24"/>
        </w:rPr>
        <w:t xml:space="preserve"> put it in personal terms</w:t>
      </w:r>
      <w:r w:rsidR="00903E66" w:rsidRPr="00EF7113">
        <w:rPr>
          <w:rFonts w:asciiTheme="majorBidi" w:hAnsiTheme="majorBidi" w:cstheme="majorBidi"/>
          <w:sz w:val="24"/>
          <w:szCs w:val="24"/>
        </w:rPr>
        <w:t>:</w:t>
      </w:r>
    </w:p>
    <w:p w14:paraId="017D789B" w14:textId="5EAE8E17" w:rsidR="005273BB" w:rsidRPr="00EF7113" w:rsidRDefault="005273BB"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The main issue on the transfer into Public Health England was, for example, for me personally, I’d been at the top table … I came into Public Health England lower down the hierarchy, and the resources that I’d been able to draw on directly were dispersed into other parts of PHE.</w:t>
      </w:r>
    </w:p>
    <w:p w14:paraId="5E925528" w14:textId="7D68D21B" w:rsidR="002438E0" w:rsidRPr="00EF7113" w:rsidRDefault="00903E66"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But the trade-off from the</w:t>
      </w:r>
      <w:r w:rsidR="00C471F0" w:rsidRPr="00EF7113">
        <w:rPr>
          <w:rFonts w:asciiTheme="majorBidi" w:hAnsiTheme="majorBidi" w:cstheme="majorBidi"/>
          <w:sz w:val="24"/>
          <w:szCs w:val="24"/>
        </w:rPr>
        <w:t>se</w:t>
      </w:r>
      <w:r w:rsidRPr="00EF7113">
        <w:rPr>
          <w:rFonts w:asciiTheme="majorBidi" w:hAnsiTheme="majorBidi" w:cstheme="majorBidi"/>
          <w:sz w:val="24"/>
          <w:szCs w:val="24"/>
        </w:rPr>
        <w:t xml:space="preserve"> internal organizational challenges</w:t>
      </w:r>
      <w:r w:rsidR="00C471F0" w:rsidRPr="00EF7113">
        <w:rPr>
          <w:rFonts w:asciiTheme="majorBidi" w:hAnsiTheme="majorBidi" w:cstheme="majorBidi"/>
          <w:sz w:val="24"/>
          <w:szCs w:val="24"/>
        </w:rPr>
        <w:t xml:space="preserve"> </w:t>
      </w:r>
      <w:r w:rsidRPr="00EF7113">
        <w:rPr>
          <w:rFonts w:asciiTheme="majorBidi" w:hAnsiTheme="majorBidi" w:cstheme="majorBidi"/>
          <w:sz w:val="24"/>
          <w:szCs w:val="24"/>
        </w:rPr>
        <w:t xml:space="preserve">has been greater flexibility in terms of PHE’s remit on prevention. </w:t>
      </w:r>
      <w:r w:rsidR="005571EB" w:rsidRPr="00EF7113">
        <w:rPr>
          <w:rFonts w:asciiTheme="majorBidi" w:hAnsiTheme="majorBidi" w:cstheme="majorBidi"/>
          <w:sz w:val="24"/>
          <w:szCs w:val="24"/>
        </w:rPr>
        <w:t>It</w:t>
      </w:r>
      <w:r w:rsidR="003C73DD" w:rsidRPr="00EF7113">
        <w:rPr>
          <w:rFonts w:asciiTheme="majorBidi" w:hAnsiTheme="majorBidi" w:cstheme="majorBidi"/>
          <w:sz w:val="24"/>
          <w:szCs w:val="24"/>
        </w:rPr>
        <w:t xml:space="preserve"> enjoys greater capacity and a larger budget than its counterparts in NZ and Australia, so has more discretionary resources to </w:t>
      </w:r>
      <w:r w:rsidR="00D3557C" w:rsidRPr="00EF7113">
        <w:rPr>
          <w:rFonts w:asciiTheme="majorBidi" w:hAnsiTheme="majorBidi" w:cstheme="majorBidi"/>
          <w:sz w:val="24"/>
          <w:szCs w:val="24"/>
        </w:rPr>
        <w:t>dedicate to</w:t>
      </w:r>
      <w:r w:rsidR="003C73DD" w:rsidRPr="00EF7113">
        <w:rPr>
          <w:rFonts w:asciiTheme="majorBidi" w:hAnsiTheme="majorBidi" w:cstheme="majorBidi"/>
          <w:sz w:val="24"/>
          <w:szCs w:val="24"/>
        </w:rPr>
        <w:t xml:space="preserve"> preve</w:t>
      </w:r>
      <w:r w:rsidR="005273BB" w:rsidRPr="00EF7113">
        <w:rPr>
          <w:rFonts w:asciiTheme="majorBidi" w:hAnsiTheme="majorBidi" w:cstheme="majorBidi"/>
          <w:sz w:val="24"/>
          <w:szCs w:val="24"/>
        </w:rPr>
        <w:t xml:space="preserve">ntative issues. </w:t>
      </w:r>
    </w:p>
    <w:p w14:paraId="7C95D173" w14:textId="77777777" w:rsidR="00C84008" w:rsidRPr="00EF7113" w:rsidRDefault="00C84008" w:rsidP="00A275BB">
      <w:pPr>
        <w:spacing w:line="480" w:lineRule="auto"/>
        <w:rPr>
          <w:rFonts w:asciiTheme="majorBidi" w:hAnsiTheme="majorBidi" w:cstheme="majorBidi"/>
          <w:i/>
          <w:iCs/>
          <w:sz w:val="24"/>
          <w:szCs w:val="24"/>
        </w:rPr>
      </w:pPr>
      <w:r w:rsidRPr="00EF7113">
        <w:rPr>
          <w:rFonts w:asciiTheme="majorBidi" w:hAnsiTheme="majorBidi" w:cstheme="majorBidi"/>
          <w:i/>
          <w:iCs/>
          <w:sz w:val="24"/>
          <w:szCs w:val="24"/>
        </w:rPr>
        <w:t>Standing: Prevention ‘ninjas’</w:t>
      </w:r>
    </w:p>
    <w:p w14:paraId="1A912576" w14:textId="56792D57" w:rsidR="00BD1D90" w:rsidRPr="00EF7113" w:rsidRDefault="00BD1D90"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PHE enjoys strong legal independence</w:t>
      </w:r>
      <w:r w:rsidR="00030DEE" w:rsidRPr="00EF7113">
        <w:rPr>
          <w:rFonts w:asciiTheme="majorBidi" w:hAnsiTheme="majorBidi" w:cstheme="majorBidi"/>
          <w:sz w:val="24"/>
          <w:szCs w:val="24"/>
        </w:rPr>
        <w:t>, albeit pri</w:t>
      </w:r>
      <w:r w:rsidR="00EE0E41">
        <w:rPr>
          <w:rFonts w:asciiTheme="majorBidi" w:hAnsiTheme="majorBidi" w:cstheme="majorBidi"/>
          <w:sz w:val="24"/>
          <w:szCs w:val="24"/>
        </w:rPr>
        <w:t>marily in an advisory function. T</w:t>
      </w:r>
      <w:r w:rsidRPr="00EF7113">
        <w:rPr>
          <w:rFonts w:asciiTheme="majorBidi" w:hAnsiTheme="majorBidi" w:cstheme="majorBidi"/>
          <w:sz w:val="24"/>
          <w:szCs w:val="24"/>
        </w:rPr>
        <w:t xml:space="preserve">he story behind </w:t>
      </w:r>
      <w:r w:rsidR="008C2991">
        <w:rPr>
          <w:rFonts w:asciiTheme="majorBidi" w:hAnsiTheme="majorBidi" w:cstheme="majorBidi"/>
          <w:sz w:val="24"/>
          <w:szCs w:val="24"/>
        </w:rPr>
        <w:t xml:space="preserve">its formal status is </w:t>
      </w:r>
      <w:r w:rsidRPr="00EF7113">
        <w:rPr>
          <w:rFonts w:asciiTheme="majorBidi" w:hAnsiTheme="majorBidi" w:cstheme="majorBidi"/>
          <w:sz w:val="24"/>
          <w:szCs w:val="24"/>
        </w:rPr>
        <w:t xml:space="preserve">complex and contingent. </w:t>
      </w:r>
      <w:r w:rsidR="008C2991">
        <w:rPr>
          <w:rFonts w:asciiTheme="majorBidi" w:hAnsiTheme="majorBidi" w:cstheme="majorBidi"/>
          <w:sz w:val="24"/>
          <w:szCs w:val="24"/>
        </w:rPr>
        <w:t>T</w:t>
      </w:r>
      <w:r w:rsidR="00030DEE" w:rsidRPr="00EF7113">
        <w:rPr>
          <w:rFonts w:asciiTheme="majorBidi" w:hAnsiTheme="majorBidi" w:cstheme="majorBidi"/>
          <w:sz w:val="24"/>
          <w:szCs w:val="24"/>
        </w:rPr>
        <w:t xml:space="preserve">here was particular sensitivity </w:t>
      </w:r>
      <w:r w:rsidR="008C2991">
        <w:rPr>
          <w:rFonts w:asciiTheme="majorBidi" w:hAnsiTheme="majorBidi" w:cstheme="majorBidi"/>
          <w:sz w:val="24"/>
          <w:szCs w:val="24"/>
        </w:rPr>
        <w:t>around</w:t>
      </w:r>
      <w:r w:rsidRPr="00EF7113">
        <w:rPr>
          <w:rFonts w:asciiTheme="majorBidi" w:hAnsiTheme="majorBidi" w:cstheme="majorBidi"/>
          <w:sz w:val="24"/>
          <w:szCs w:val="24"/>
        </w:rPr>
        <w:t xml:space="preserve"> absorbing the functions of the Health Protection Agency – an organisation staffed by clinicians</w:t>
      </w:r>
      <w:r w:rsidR="00030DEE" w:rsidRPr="00EF7113">
        <w:rPr>
          <w:rFonts w:asciiTheme="majorBidi" w:hAnsiTheme="majorBidi" w:cstheme="majorBidi"/>
          <w:sz w:val="24"/>
          <w:szCs w:val="24"/>
        </w:rPr>
        <w:t xml:space="preserve"> and scientists</w:t>
      </w:r>
      <w:r w:rsidRPr="00EF7113">
        <w:rPr>
          <w:rFonts w:asciiTheme="majorBidi" w:hAnsiTheme="majorBidi" w:cstheme="majorBidi"/>
          <w:sz w:val="24"/>
          <w:szCs w:val="24"/>
        </w:rPr>
        <w:t xml:space="preserve"> rather than bureaucrats</w:t>
      </w:r>
      <w:r w:rsidR="00030DEE" w:rsidRPr="00EF7113">
        <w:rPr>
          <w:rFonts w:asciiTheme="majorBidi" w:hAnsiTheme="majorBidi" w:cstheme="majorBidi"/>
          <w:sz w:val="24"/>
          <w:szCs w:val="24"/>
        </w:rPr>
        <w:t xml:space="preserve"> – many of </w:t>
      </w:r>
      <w:r w:rsidR="00677DCD" w:rsidRPr="00EF7113">
        <w:rPr>
          <w:rFonts w:asciiTheme="majorBidi" w:hAnsiTheme="majorBidi" w:cstheme="majorBidi"/>
          <w:sz w:val="24"/>
          <w:szCs w:val="24"/>
        </w:rPr>
        <w:t>whom</w:t>
      </w:r>
      <w:r w:rsidR="00030DEE" w:rsidRPr="00EF7113">
        <w:rPr>
          <w:rFonts w:asciiTheme="majorBidi" w:hAnsiTheme="majorBidi" w:cstheme="majorBidi"/>
          <w:sz w:val="24"/>
          <w:szCs w:val="24"/>
        </w:rPr>
        <w:t xml:space="preserve"> would balk at any semblance of political interference</w:t>
      </w:r>
      <w:r w:rsidRPr="00EF7113">
        <w:rPr>
          <w:rFonts w:asciiTheme="majorBidi" w:hAnsiTheme="majorBidi" w:cstheme="majorBidi"/>
          <w:sz w:val="24"/>
          <w:szCs w:val="24"/>
        </w:rPr>
        <w:t xml:space="preserve">. One of the architects of the transition to PHE explained </w:t>
      </w:r>
      <w:r w:rsidR="00030DEE" w:rsidRPr="00EF7113">
        <w:rPr>
          <w:rFonts w:asciiTheme="majorBidi" w:hAnsiTheme="majorBidi" w:cstheme="majorBidi"/>
          <w:sz w:val="24"/>
          <w:szCs w:val="24"/>
        </w:rPr>
        <w:t xml:space="preserve">the balancing act </w:t>
      </w:r>
      <w:r w:rsidR="008C2991">
        <w:rPr>
          <w:rFonts w:asciiTheme="majorBidi" w:hAnsiTheme="majorBidi" w:cstheme="majorBidi"/>
          <w:sz w:val="24"/>
          <w:szCs w:val="24"/>
        </w:rPr>
        <w:t>in</w:t>
      </w:r>
      <w:r w:rsidR="00213114" w:rsidRPr="00EF7113">
        <w:rPr>
          <w:rFonts w:asciiTheme="majorBidi" w:hAnsiTheme="majorBidi" w:cstheme="majorBidi"/>
          <w:sz w:val="24"/>
          <w:szCs w:val="24"/>
        </w:rPr>
        <w:t xml:space="preserve"> its</w:t>
      </w:r>
      <w:r w:rsidR="00030DEE" w:rsidRPr="00EF7113">
        <w:rPr>
          <w:rFonts w:asciiTheme="majorBidi" w:hAnsiTheme="majorBidi" w:cstheme="majorBidi"/>
          <w:sz w:val="24"/>
          <w:szCs w:val="24"/>
        </w:rPr>
        <w:t xml:space="preserve"> founding Framework Agreement</w:t>
      </w:r>
      <w:r w:rsidRPr="00EF7113">
        <w:rPr>
          <w:rFonts w:asciiTheme="majorBidi" w:hAnsiTheme="majorBidi" w:cstheme="majorBidi"/>
          <w:sz w:val="24"/>
          <w:szCs w:val="24"/>
        </w:rPr>
        <w:t xml:space="preserve">:  </w:t>
      </w:r>
    </w:p>
    <w:p w14:paraId="4D56DCEF" w14:textId="77777777" w:rsidR="00BD1D90" w:rsidRPr="00EF7113" w:rsidRDefault="00030DEE"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lastRenderedPageBreak/>
        <w:t>So we talk about ‘operational autonomy’ for PHE. The way that I was trying to articulate it was you can talk about public health evidence, but Public Health England should just accept that Ministers take decisions at the end of the day and they will take a variety of issues into account.</w:t>
      </w:r>
    </w:p>
    <w:p w14:paraId="18669817" w14:textId="2CAF000E" w:rsidR="00F376FB" w:rsidRPr="00EF7113" w:rsidRDefault="008C2991" w:rsidP="00A275BB">
      <w:pPr>
        <w:spacing w:line="480" w:lineRule="auto"/>
        <w:rPr>
          <w:rFonts w:asciiTheme="majorBidi" w:hAnsiTheme="majorBidi" w:cstheme="majorBidi"/>
          <w:sz w:val="24"/>
          <w:szCs w:val="24"/>
        </w:rPr>
      </w:pPr>
      <w:r>
        <w:rPr>
          <w:rFonts w:asciiTheme="majorBidi" w:hAnsiTheme="majorBidi" w:cstheme="majorBidi"/>
          <w:sz w:val="24"/>
          <w:szCs w:val="24"/>
        </w:rPr>
        <w:t>F</w:t>
      </w:r>
      <w:r w:rsidR="00030DEE" w:rsidRPr="00EF7113">
        <w:rPr>
          <w:rFonts w:asciiTheme="majorBidi" w:hAnsiTheme="majorBidi" w:cstheme="majorBidi"/>
          <w:sz w:val="24"/>
          <w:szCs w:val="24"/>
        </w:rPr>
        <w:t xml:space="preserve">ormal independence </w:t>
      </w:r>
      <w:r>
        <w:rPr>
          <w:rFonts w:asciiTheme="majorBidi" w:hAnsiTheme="majorBidi" w:cstheme="majorBidi"/>
          <w:sz w:val="24"/>
          <w:szCs w:val="24"/>
        </w:rPr>
        <w:t xml:space="preserve">obviously </w:t>
      </w:r>
      <w:r w:rsidR="00030DEE" w:rsidRPr="00EF7113">
        <w:rPr>
          <w:rFonts w:asciiTheme="majorBidi" w:hAnsiTheme="majorBidi" w:cstheme="majorBidi"/>
          <w:sz w:val="24"/>
          <w:szCs w:val="24"/>
        </w:rPr>
        <w:t>does not tra</w:t>
      </w:r>
      <w:r>
        <w:rPr>
          <w:rFonts w:asciiTheme="majorBidi" w:hAnsiTheme="majorBidi" w:cstheme="majorBidi"/>
          <w:sz w:val="24"/>
          <w:szCs w:val="24"/>
        </w:rPr>
        <w:t>nslate into policy action. M</w:t>
      </w:r>
      <w:r w:rsidR="00030DEE" w:rsidRPr="00EF7113">
        <w:rPr>
          <w:rFonts w:asciiTheme="majorBidi" w:hAnsiTheme="majorBidi" w:cstheme="majorBidi"/>
          <w:sz w:val="24"/>
          <w:szCs w:val="24"/>
        </w:rPr>
        <w:t>ore surprisingly</w:t>
      </w:r>
      <w:r>
        <w:rPr>
          <w:rFonts w:asciiTheme="majorBidi" w:hAnsiTheme="majorBidi" w:cstheme="majorBidi"/>
          <w:sz w:val="24"/>
          <w:szCs w:val="24"/>
        </w:rPr>
        <w:t>,</w:t>
      </w:r>
      <w:r w:rsidR="00030DEE" w:rsidRPr="00EF7113">
        <w:rPr>
          <w:rFonts w:asciiTheme="majorBidi" w:hAnsiTheme="majorBidi" w:cstheme="majorBidi"/>
          <w:sz w:val="24"/>
          <w:szCs w:val="24"/>
        </w:rPr>
        <w:t xml:space="preserve"> it </w:t>
      </w:r>
      <w:r w:rsidR="003C73DD" w:rsidRPr="00EF7113">
        <w:rPr>
          <w:rFonts w:asciiTheme="majorBidi" w:hAnsiTheme="majorBidi" w:cstheme="majorBidi"/>
          <w:sz w:val="24"/>
          <w:szCs w:val="24"/>
        </w:rPr>
        <w:t xml:space="preserve">does not </w:t>
      </w:r>
      <w:r w:rsidR="00030DEE" w:rsidRPr="00EF7113">
        <w:rPr>
          <w:rFonts w:asciiTheme="majorBidi" w:hAnsiTheme="majorBidi" w:cstheme="majorBidi"/>
          <w:sz w:val="24"/>
          <w:szCs w:val="24"/>
        </w:rPr>
        <w:t>necessarily translate in</w:t>
      </w:r>
      <w:r w:rsidR="00213114" w:rsidRPr="00EF7113">
        <w:rPr>
          <w:rFonts w:asciiTheme="majorBidi" w:hAnsiTheme="majorBidi" w:cstheme="majorBidi"/>
          <w:sz w:val="24"/>
          <w:szCs w:val="24"/>
        </w:rPr>
        <w:t>to bold</w:t>
      </w:r>
      <w:r w:rsidR="003C73DD" w:rsidRPr="00EF7113">
        <w:rPr>
          <w:rFonts w:asciiTheme="majorBidi" w:hAnsiTheme="majorBidi" w:cstheme="majorBidi"/>
          <w:sz w:val="24"/>
          <w:szCs w:val="24"/>
        </w:rPr>
        <w:t xml:space="preserve"> leade</w:t>
      </w:r>
      <w:r w:rsidR="00030DEE" w:rsidRPr="00EF7113">
        <w:rPr>
          <w:rFonts w:asciiTheme="majorBidi" w:hAnsiTheme="majorBidi" w:cstheme="majorBidi"/>
          <w:sz w:val="24"/>
          <w:szCs w:val="24"/>
        </w:rPr>
        <w:t>rship on</w:t>
      </w:r>
      <w:r w:rsidR="005571EB" w:rsidRPr="00EF7113">
        <w:rPr>
          <w:rFonts w:asciiTheme="majorBidi" w:hAnsiTheme="majorBidi" w:cstheme="majorBidi"/>
          <w:sz w:val="24"/>
          <w:szCs w:val="24"/>
        </w:rPr>
        <w:t xml:space="preserve"> the prevention agenda</w:t>
      </w:r>
      <w:r w:rsidR="00030DEE" w:rsidRPr="00EF7113">
        <w:rPr>
          <w:rFonts w:asciiTheme="majorBidi" w:hAnsiTheme="majorBidi" w:cstheme="majorBidi"/>
          <w:sz w:val="24"/>
          <w:szCs w:val="24"/>
        </w:rPr>
        <w:t xml:space="preserve"> either</w:t>
      </w:r>
      <w:r w:rsidR="005571EB" w:rsidRPr="00EF7113">
        <w:rPr>
          <w:rFonts w:asciiTheme="majorBidi" w:hAnsiTheme="majorBidi" w:cstheme="majorBidi"/>
          <w:sz w:val="24"/>
          <w:szCs w:val="24"/>
        </w:rPr>
        <w:t>.</w:t>
      </w:r>
      <w:r w:rsidR="00BD1D90" w:rsidRPr="00EF7113">
        <w:rPr>
          <w:rFonts w:asciiTheme="majorBidi" w:hAnsiTheme="majorBidi" w:cstheme="majorBidi"/>
          <w:sz w:val="24"/>
          <w:szCs w:val="24"/>
        </w:rPr>
        <w:t xml:space="preserve"> </w:t>
      </w:r>
      <w:r w:rsidR="00D92C40" w:rsidRPr="00EF7113">
        <w:rPr>
          <w:rFonts w:asciiTheme="majorBidi" w:hAnsiTheme="majorBidi" w:cstheme="majorBidi"/>
          <w:sz w:val="24"/>
          <w:szCs w:val="24"/>
        </w:rPr>
        <w:t>PHE was from the outset in an excellent position to get ‘</w:t>
      </w:r>
      <w:r w:rsidR="00677DCD" w:rsidRPr="00EF7113">
        <w:rPr>
          <w:rFonts w:asciiTheme="majorBidi" w:hAnsiTheme="majorBidi" w:cstheme="majorBidi"/>
          <w:sz w:val="24"/>
          <w:szCs w:val="24"/>
        </w:rPr>
        <w:t>quick wins’</w:t>
      </w:r>
      <w:r w:rsidR="00412C68" w:rsidRPr="00EF7113">
        <w:rPr>
          <w:rFonts w:asciiTheme="majorBidi" w:hAnsiTheme="majorBidi" w:cstheme="majorBidi"/>
          <w:sz w:val="24"/>
          <w:szCs w:val="24"/>
        </w:rPr>
        <w:t xml:space="preserve"> within government</w:t>
      </w:r>
      <w:r w:rsidR="00D92C40" w:rsidRPr="00EF7113">
        <w:rPr>
          <w:rFonts w:asciiTheme="majorBidi" w:hAnsiTheme="majorBidi" w:cstheme="majorBidi"/>
          <w:sz w:val="24"/>
          <w:szCs w:val="24"/>
        </w:rPr>
        <w:t>. It has done so</w:t>
      </w:r>
      <w:r w:rsidR="00F470D6" w:rsidRPr="00EF7113">
        <w:rPr>
          <w:rFonts w:asciiTheme="majorBidi" w:hAnsiTheme="majorBidi" w:cstheme="majorBidi"/>
          <w:sz w:val="24"/>
          <w:szCs w:val="24"/>
        </w:rPr>
        <w:t xml:space="preserve"> chiefly</w:t>
      </w:r>
      <w:r w:rsidR="00D92C40" w:rsidRPr="00EF7113">
        <w:rPr>
          <w:rFonts w:asciiTheme="majorBidi" w:hAnsiTheme="majorBidi" w:cstheme="majorBidi"/>
          <w:sz w:val="24"/>
          <w:szCs w:val="24"/>
        </w:rPr>
        <w:t xml:space="preserve"> by foregrounding the more technical, uncontroversial aspects of its </w:t>
      </w:r>
      <w:r w:rsidR="00777103" w:rsidRPr="00EF7113">
        <w:rPr>
          <w:rFonts w:asciiTheme="majorBidi" w:hAnsiTheme="majorBidi" w:cstheme="majorBidi"/>
          <w:sz w:val="24"/>
          <w:szCs w:val="24"/>
        </w:rPr>
        <w:t>work that</w:t>
      </w:r>
      <w:r w:rsidR="00B47A3D" w:rsidRPr="00EF7113">
        <w:rPr>
          <w:rFonts w:asciiTheme="majorBidi" w:hAnsiTheme="majorBidi" w:cstheme="majorBidi"/>
          <w:sz w:val="24"/>
          <w:szCs w:val="24"/>
        </w:rPr>
        <w:t xml:space="preserve"> it was able to carry on with</w:t>
      </w:r>
      <w:r w:rsidR="00D92C40" w:rsidRPr="00EF7113">
        <w:rPr>
          <w:rFonts w:asciiTheme="majorBidi" w:hAnsiTheme="majorBidi" w:cstheme="majorBidi"/>
          <w:sz w:val="24"/>
          <w:szCs w:val="24"/>
        </w:rPr>
        <w:t xml:space="preserve">. </w:t>
      </w:r>
      <w:r w:rsidR="00B47A3D" w:rsidRPr="00EF7113">
        <w:rPr>
          <w:rFonts w:asciiTheme="majorBidi" w:hAnsiTheme="majorBidi" w:cstheme="majorBidi"/>
          <w:sz w:val="24"/>
          <w:szCs w:val="24"/>
        </w:rPr>
        <w:t>In particular, a handful of</w:t>
      </w:r>
      <w:r w:rsidR="00D92C40" w:rsidRPr="00EF7113">
        <w:rPr>
          <w:rFonts w:asciiTheme="majorBidi" w:hAnsiTheme="majorBidi" w:cstheme="majorBidi"/>
          <w:sz w:val="24"/>
          <w:szCs w:val="24"/>
        </w:rPr>
        <w:t xml:space="preserve"> e</w:t>
      </w:r>
      <w:r w:rsidR="00903E66" w:rsidRPr="00EF7113">
        <w:rPr>
          <w:rFonts w:asciiTheme="majorBidi" w:hAnsiTheme="majorBidi" w:cstheme="majorBidi"/>
          <w:sz w:val="24"/>
          <w:szCs w:val="24"/>
        </w:rPr>
        <w:t>stabl</w:t>
      </w:r>
      <w:r w:rsidR="00C471F0" w:rsidRPr="00EF7113">
        <w:rPr>
          <w:rFonts w:asciiTheme="majorBidi" w:hAnsiTheme="majorBidi" w:cstheme="majorBidi"/>
          <w:sz w:val="24"/>
          <w:szCs w:val="24"/>
        </w:rPr>
        <w:t>ished features and functions that became amalgamated</w:t>
      </w:r>
      <w:r w:rsidR="00D92C40" w:rsidRPr="00EF7113">
        <w:rPr>
          <w:rFonts w:asciiTheme="majorBidi" w:hAnsiTheme="majorBidi" w:cstheme="majorBidi"/>
          <w:sz w:val="24"/>
          <w:szCs w:val="24"/>
        </w:rPr>
        <w:t xml:space="preserve"> within PHE</w:t>
      </w:r>
      <w:r w:rsidR="00777103">
        <w:rPr>
          <w:rFonts w:asciiTheme="majorBidi" w:hAnsiTheme="majorBidi" w:cstheme="majorBidi"/>
          <w:sz w:val="24"/>
          <w:szCs w:val="24"/>
        </w:rPr>
        <w:t xml:space="preserve"> </w:t>
      </w:r>
      <w:r w:rsidR="00C471F0" w:rsidRPr="00EF7113">
        <w:rPr>
          <w:rFonts w:asciiTheme="majorBidi" w:hAnsiTheme="majorBidi" w:cstheme="majorBidi"/>
          <w:sz w:val="24"/>
          <w:szCs w:val="24"/>
        </w:rPr>
        <w:t>–</w:t>
      </w:r>
      <w:r w:rsidR="00BD1D90" w:rsidRPr="00EF7113">
        <w:rPr>
          <w:rFonts w:asciiTheme="majorBidi" w:hAnsiTheme="majorBidi" w:cstheme="majorBidi"/>
          <w:sz w:val="24"/>
          <w:szCs w:val="24"/>
        </w:rPr>
        <w:t xml:space="preserve"> </w:t>
      </w:r>
      <w:r w:rsidR="00EE0E41">
        <w:rPr>
          <w:rFonts w:asciiTheme="majorBidi" w:hAnsiTheme="majorBidi" w:cstheme="majorBidi"/>
          <w:sz w:val="24"/>
          <w:szCs w:val="24"/>
        </w:rPr>
        <w:t xml:space="preserve">for example, </w:t>
      </w:r>
      <w:r w:rsidR="00C471F0" w:rsidRPr="00EF7113">
        <w:rPr>
          <w:rFonts w:asciiTheme="majorBidi" w:hAnsiTheme="majorBidi" w:cstheme="majorBidi"/>
          <w:sz w:val="24"/>
          <w:szCs w:val="24"/>
        </w:rPr>
        <w:t>drug tr</w:t>
      </w:r>
      <w:r w:rsidR="00BD1D90" w:rsidRPr="00EF7113">
        <w:rPr>
          <w:rFonts w:asciiTheme="majorBidi" w:hAnsiTheme="majorBidi" w:cstheme="majorBidi"/>
          <w:sz w:val="24"/>
          <w:szCs w:val="24"/>
        </w:rPr>
        <w:t>eatment programmes</w:t>
      </w:r>
      <w:r w:rsidR="000C63A7">
        <w:rPr>
          <w:rFonts w:asciiTheme="majorBidi" w:hAnsiTheme="majorBidi" w:cstheme="majorBidi"/>
          <w:sz w:val="24"/>
          <w:szCs w:val="24"/>
        </w:rPr>
        <w:t xml:space="preserve"> </w:t>
      </w:r>
      <w:r w:rsidR="00EE0E41">
        <w:rPr>
          <w:rFonts w:asciiTheme="majorBidi" w:hAnsiTheme="majorBidi" w:cstheme="majorBidi"/>
          <w:sz w:val="24"/>
          <w:szCs w:val="24"/>
        </w:rPr>
        <w:t>–</w:t>
      </w:r>
      <w:r w:rsidR="000C63A7">
        <w:rPr>
          <w:rFonts w:asciiTheme="majorBidi" w:hAnsiTheme="majorBidi" w:cstheme="majorBidi"/>
          <w:sz w:val="24"/>
          <w:szCs w:val="24"/>
        </w:rPr>
        <w:t xml:space="preserve"> </w:t>
      </w:r>
      <w:r w:rsidR="00D92C40" w:rsidRPr="00EF7113">
        <w:rPr>
          <w:rFonts w:asciiTheme="majorBidi" w:hAnsiTheme="majorBidi" w:cstheme="majorBidi"/>
          <w:sz w:val="24"/>
          <w:szCs w:val="24"/>
        </w:rPr>
        <w:t>ensure</w:t>
      </w:r>
      <w:r w:rsidR="00C84008" w:rsidRPr="00EF7113">
        <w:rPr>
          <w:rFonts w:asciiTheme="majorBidi" w:hAnsiTheme="majorBidi" w:cstheme="majorBidi"/>
          <w:sz w:val="24"/>
          <w:szCs w:val="24"/>
        </w:rPr>
        <w:t xml:space="preserve"> support, respect and profile for the organisation as a whole</w:t>
      </w:r>
      <w:r w:rsidR="00F376FB" w:rsidRPr="00EF7113">
        <w:rPr>
          <w:rFonts w:asciiTheme="majorBidi" w:hAnsiTheme="majorBidi" w:cstheme="majorBidi"/>
          <w:sz w:val="24"/>
          <w:szCs w:val="24"/>
        </w:rPr>
        <w:t>. T</w:t>
      </w:r>
      <w:r w:rsidR="00D92C40" w:rsidRPr="00EF7113">
        <w:rPr>
          <w:rFonts w:asciiTheme="majorBidi" w:hAnsiTheme="majorBidi" w:cstheme="majorBidi"/>
          <w:sz w:val="24"/>
          <w:szCs w:val="24"/>
        </w:rPr>
        <w:t>hese ‘core responsibilities’ give</w:t>
      </w:r>
      <w:r w:rsidR="00C84008" w:rsidRPr="00EF7113">
        <w:rPr>
          <w:rFonts w:asciiTheme="majorBidi" w:hAnsiTheme="majorBidi" w:cstheme="majorBidi"/>
          <w:sz w:val="24"/>
          <w:szCs w:val="24"/>
        </w:rPr>
        <w:t xml:space="preserve"> others in PHE </w:t>
      </w:r>
      <w:r w:rsidR="00D92C40" w:rsidRPr="00EF7113">
        <w:rPr>
          <w:rFonts w:asciiTheme="majorBidi" w:hAnsiTheme="majorBidi" w:cstheme="majorBidi"/>
          <w:sz w:val="24"/>
          <w:szCs w:val="24"/>
        </w:rPr>
        <w:t xml:space="preserve">the freedom to work on thornier prevention issues around obesity </w:t>
      </w:r>
      <w:r w:rsidR="005571EB" w:rsidRPr="00EF7113">
        <w:rPr>
          <w:rFonts w:asciiTheme="majorBidi" w:hAnsiTheme="majorBidi" w:cstheme="majorBidi"/>
          <w:sz w:val="24"/>
          <w:szCs w:val="24"/>
        </w:rPr>
        <w:t>or</w:t>
      </w:r>
      <w:r w:rsidR="00D92C40" w:rsidRPr="00EF7113">
        <w:rPr>
          <w:rFonts w:asciiTheme="majorBidi" w:hAnsiTheme="majorBidi" w:cstheme="majorBidi"/>
          <w:sz w:val="24"/>
          <w:szCs w:val="24"/>
        </w:rPr>
        <w:t xml:space="preserve"> a</w:t>
      </w:r>
      <w:r>
        <w:rPr>
          <w:rFonts w:asciiTheme="majorBidi" w:hAnsiTheme="majorBidi" w:cstheme="majorBidi"/>
          <w:sz w:val="24"/>
          <w:szCs w:val="24"/>
        </w:rPr>
        <w:t xml:space="preserve">lcohol and tobacco consumption, but subject to a scientific identity which appears to constrain the willingness of researchers to be seen to act too politically. Put simply by one of our departmental interviewees, </w:t>
      </w:r>
      <w:r w:rsidR="007C2768">
        <w:rPr>
          <w:rFonts w:asciiTheme="majorBidi" w:hAnsiTheme="majorBidi" w:cstheme="majorBidi"/>
          <w:sz w:val="24"/>
          <w:szCs w:val="24"/>
        </w:rPr>
        <w:t>PHE official</w:t>
      </w:r>
      <w:r w:rsidR="00CA17F2">
        <w:rPr>
          <w:rFonts w:asciiTheme="majorBidi" w:hAnsiTheme="majorBidi" w:cstheme="majorBidi"/>
          <w:sz w:val="24"/>
          <w:szCs w:val="24"/>
        </w:rPr>
        <w:t xml:space="preserve">s often bind their own hands in the promotion of prevention policies; they are desperate to </w:t>
      </w:r>
      <w:r w:rsidR="000C63A7">
        <w:rPr>
          <w:rFonts w:asciiTheme="majorBidi" w:hAnsiTheme="majorBidi" w:cstheme="majorBidi"/>
          <w:sz w:val="24"/>
          <w:szCs w:val="24"/>
        </w:rPr>
        <w:t>avoid</w:t>
      </w:r>
      <w:r w:rsidR="00CA17F2">
        <w:rPr>
          <w:rFonts w:asciiTheme="majorBidi" w:hAnsiTheme="majorBidi" w:cstheme="majorBidi"/>
          <w:sz w:val="24"/>
          <w:szCs w:val="24"/>
        </w:rPr>
        <w:t xml:space="preserve"> any appearance of</w:t>
      </w:r>
      <w:r>
        <w:rPr>
          <w:rFonts w:asciiTheme="majorBidi" w:hAnsiTheme="majorBidi" w:cstheme="majorBidi"/>
          <w:sz w:val="24"/>
          <w:szCs w:val="24"/>
        </w:rPr>
        <w:t xml:space="preserve"> go</w:t>
      </w:r>
      <w:r w:rsidR="00CA17F2">
        <w:rPr>
          <w:rFonts w:asciiTheme="majorBidi" w:hAnsiTheme="majorBidi" w:cstheme="majorBidi"/>
          <w:sz w:val="24"/>
          <w:szCs w:val="24"/>
        </w:rPr>
        <w:t>ing</w:t>
      </w:r>
      <w:r>
        <w:rPr>
          <w:rFonts w:asciiTheme="majorBidi" w:hAnsiTheme="majorBidi" w:cstheme="majorBidi"/>
          <w:sz w:val="24"/>
          <w:szCs w:val="24"/>
        </w:rPr>
        <w:t xml:space="preserve"> beyond the evidence</w:t>
      </w:r>
      <w:r w:rsidR="007C2768">
        <w:rPr>
          <w:rFonts w:asciiTheme="majorBidi" w:hAnsiTheme="majorBidi" w:cstheme="majorBidi"/>
          <w:sz w:val="24"/>
          <w:szCs w:val="24"/>
        </w:rPr>
        <w:t xml:space="preserve"> in support of the key policy goals of public health advocates</w:t>
      </w:r>
      <w:r w:rsidR="004B6586">
        <w:rPr>
          <w:rFonts w:asciiTheme="majorBidi" w:hAnsiTheme="majorBidi" w:cstheme="majorBidi"/>
          <w:sz w:val="24"/>
          <w:szCs w:val="24"/>
        </w:rPr>
        <w:t>.</w:t>
      </w:r>
    </w:p>
    <w:p w14:paraId="32E566F9" w14:textId="1D6831F5" w:rsidR="005273BB" w:rsidRPr="00EF7113" w:rsidRDefault="008C2991" w:rsidP="00A275BB">
      <w:pPr>
        <w:spacing w:line="480" w:lineRule="auto"/>
        <w:rPr>
          <w:rFonts w:asciiTheme="majorBidi" w:hAnsiTheme="majorBidi" w:cstheme="majorBidi"/>
          <w:sz w:val="24"/>
          <w:szCs w:val="24"/>
        </w:rPr>
      </w:pPr>
      <w:r>
        <w:rPr>
          <w:rFonts w:asciiTheme="majorBidi" w:hAnsiTheme="majorBidi" w:cstheme="majorBidi"/>
          <w:sz w:val="24"/>
          <w:szCs w:val="24"/>
        </w:rPr>
        <w:t>E</w:t>
      </w:r>
      <w:r w:rsidR="00D92C40" w:rsidRPr="00EF7113">
        <w:rPr>
          <w:rFonts w:asciiTheme="majorBidi" w:hAnsiTheme="majorBidi" w:cstheme="majorBidi"/>
          <w:sz w:val="24"/>
          <w:szCs w:val="24"/>
        </w:rPr>
        <w:t>ven i</w:t>
      </w:r>
      <w:r w:rsidR="00412C68" w:rsidRPr="00EF7113">
        <w:rPr>
          <w:rFonts w:asciiTheme="majorBidi" w:hAnsiTheme="majorBidi" w:cstheme="majorBidi"/>
          <w:sz w:val="24"/>
          <w:szCs w:val="24"/>
        </w:rPr>
        <w:t xml:space="preserve">n </w:t>
      </w:r>
      <w:r w:rsidR="00D92C40" w:rsidRPr="00EF7113">
        <w:rPr>
          <w:rFonts w:asciiTheme="majorBidi" w:hAnsiTheme="majorBidi" w:cstheme="majorBidi"/>
          <w:sz w:val="24"/>
          <w:szCs w:val="24"/>
        </w:rPr>
        <w:t>more expressly contentious work</w:t>
      </w:r>
      <w:r>
        <w:rPr>
          <w:rFonts w:asciiTheme="majorBidi" w:hAnsiTheme="majorBidi" w:cstheme="majorBidi"/>
          <w:sz w:val="24"/>
          <w:szCs w:val="24"/>
        </w:rPr>
        <w:t>,</w:t>
      </w:r>
      <w:r w:rsidR="00D92C40" w:rsidRPr="00EF7113">
        <w:rPr>
          <w:rFonts w:asciiTheme="majorBidi" w:hAnsiTheme="majorBidi" w:cstheme="majorBidi"/>
          <w:sz w:val="24"/>
          <w:szCs w:val="24"/>
        </w:rPr>
        <w:t xml:space="preserve"> PHE has been </w:t>
      </w:r>
      <w:r w:rsidR="00412C68" w:rsidRPr="00EF7113">
        <w:rPr>
          <w:rFonts w:asciiTheme="majorBidi" w:hAnsiTheme="majorBidi" w:cstheme="majorBidi"/>
          <w:sz w:val="24"/>
          <w:szCs w:val="24"/>
        </w:rPr>
        <w:t>careful to walk</w:t>
      </w:r>
      <w:r>
        <w:rPr>
          <w:rFonts w:asciiTheme="majorBidi" w:hAnsiTheme="majorBidi" w:cstheme="majorBidi"/>
          <w:sz w:val="24"/>
          <w:szCs w:val="24"/>
        </w:rPr>
        <w:t xml:space="preserve"> a fine line: </w:t>
      </w:r>
      <w:r w:rsidR="00D92C40" w:rsidRPr="00EF7113">
        <w:rPr>
          <w:rFonts w:asciiTheme="majorBidi" w:hAnsiTheme="majorBidi" w:cstheme="majorBidi"/>
          <w:sz w:val="24"/>
          <w:szCs w:val="24"/>
        </w:rPr>
        <w:t>upholdi</w:t>
      </w:r>
      <w:r>
        <w:rPr>
          <w:rFonts w:asciiTheme="majorBidi" w:hAnsiTheme="majorBidi" w:cstheme="majorBidi"/>
          <w:sz w:val="24"/>
          <w:szCs w:val="24"/>
        </w:rPr>
        <w:t xml:space="preserve">ng independence from government, </w:t>
      </w:r>
      <w:r w:rsidR="00D92C40" w:rsidRPr="00EF7113">
        <w:rPr>
          <w:rFonts w:asciiTheme="majorBidi" w:hAnsiTheme="majorBidi" w:cstheme="majorBidi"/>
          <w:sz w:val="24"/>
          <w:szCs w:val="24"/>
        </w:rPr>
        <w:t>but being careful</w:t>
      </w:r>
      <w:r w:rsidR="00F470D6" w:rsidRPr="00EF7113">
        <w:rPr>
          <w:rFonts w:asciiTheme="majorBidi" w:hAnsiTheme="majorBidi" w:cstheme="majorBidi"/>
          <w:sz w:val="24"/>
          <w:szCs w:val="24"/>
        </w:rPr>
        <w:t xml:space="preserve"> not to lapse into preventative health ‘lobbying’</w:t>
      </w:r>
      <w:r w:rsidR="00D92C40" w:rsidRPr="00EF7113">
        <w:rPr>
          <w:rFonts w:asciiTheme="majorBidi" w:hAnsiTheme="majorBidi" w:cstheme="majorBidi"/>
          <w:sz w:val="24"/>
          <w:szCs w:val="24"/>
        </w:rPr>
        <w:t>.</w:t>
      </w:r>
      <w:r w:rsidR="00412C68" w:rsidRPr="00EF7113">
        <w:rPr>
          <w:rFonts w:asciiTheme="majorBidi" w:hAnsiTheme="majorBidi" w:cstheme="majorBidi"/>
          <w:sz w:val="24"/>
          <w:szCs w:val="24"/>
        </w:rPr>
        <w:t xml:space="preserve"> This tendency towards muted advocacy has drawn the ire of some in public health</w:t>
      </w:r>
      <w:r w:rsidR="00F376FB" w:rsidRPr="00EF7113">
        <w:rPr>
          <w:rFonts w:asciiTheme="majorBidi" w:hAnsiTheme="majorBidi" w:cstheme="majorBidi"/>
          <w:sz w:val="24"/>
          <w:szCs w:val="24"/>
        </w:rPr>
        <w:t>. One official explained:</w:t>
      </w:r>
    </w:p>
    <w:p w14:paraId="25AC3646" w14:textId="392F57E8" w:rsidR="00F376FB" w:rsidRPr="00EF7113" w:rsidRDefault="00F376FB"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I think it’s difficult for stakeholders sometimes to understand how policy is made.  I can remember one person saying</w:t>
      </w:r>
      <w:r w:rsidR="00677DCD" w:rsidRPr="00EF7113">
        <w:rPr>
          <w:rFonts w:asciiTheme="majorBidi" w:hAnsiTheme="majorBidi" w:cstheme="majorBidi"/>
          <w:sz w:val="24"/>
          <w:szCs w:val="24"/>
        </w:rPr>
        <w:t xml:space="preserve"> to me, about five years ago, [taps on table]</w:t>
      </w:r>
      <w:r w:rsidRPr="00EF7113">
        <w:rPr>
          <w:rFonts w:asciiTheme="majorBidi" w:hAnsiTheme="majorBidi" w:cstheme="majorBidi"/>
          <w:sz w:val="24"/>
          <w:szCs w:val="24"/>
        </w:rPr>
        <w:t xml:space="preserve"> ‘You just </w:t>
      </w:r>
      <w:r w:rsidRPr="00EF7113">
        <w:rPr>
          <w:rFonts w:asciiTheme="majorBidi" w:hAnsiTheme="majorBidi" w:cstheme="majorBidi"/>
          <w:sz w:val="24"/>
          <w:szCs w:val="24"/>
        </w:rPr>
        <w:lastRenderedPageBreak/>
        <w:t xml:space="preserve">need to tell the minister they need to spend more money on alcohol treatment.  If you give them the right facts, they’ll do it.’  </w:t>
      </w:r>
    </w:p>
    <w:p w14:paraId="5AAAF0C6" w14:textId="22032DD9" w:rsidR="00903E66" w:rsidRPr="00EF7113" w:rsidRDefault="00412C68"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The upshot is that, in t</w:t>
      </w:r>
      <w:r w:rsidR="00213114" w:rsidRPr="00EF7113">
        <w:rPr>
          <w:rFonts w:asciiTheme="majorBidi" w:hAnsiTheme="majorBidi" w:cstheme="majorBidi"/>
          <w:sz w:val="24"/>
          <w:szCs w:val="24"/>
        </w:rPr>
        <w:t xml:space="preserve">he imagery of one </w:t>
      </w:r>
      <w:r w:rsidR="007C2768">
        <w:rPr>
          <w:rFonts w:asciiTheme="majorBidi" w:hAnsiTheme="majorBidi" w:cstheme="majorBidi"/>
          <w:sz w:val="24"/>
          <w:szCs w:val="24"/>
        </w:rPr>
        <w:t>interviewee</w:t>
      </w:r>
      <w:r w:rsidR="00213114" w:rsidRPr="00EF7113">
        <w:rPr>
          <w:rFonts w:asciiTheme="majorBidi" w:hAnsiTheme="majorBidi" w:cstheme="majorBidi"/>
          <w:sz w:val="24"/>
          <w:szCs w:val="24"/>
        </w:rPr>
        <w:t xml:space="preserve">, </w:t>
      </w:r>
      <w:r w:rsidRPr="00EF7113">
        <w:rPr>
          <w:rFonts w:asciiTheme="majorBidi" w:hAnsiTheme="majorBidi" w:cstheme="majorBidi"/>
          <w:sz w:val="24"/>
          <w:szCs w:val="24"/>
        </w:rPr>
        <w:t xml:space="preserve">PHE </w:t>
      </w:r>
      <w:r w:rsidR="007C2768">
        <w:rPr>
          <w:rFonts w:asciiTheme="majorBidi" w:hAnsiTheme="majorBidi" w:cstheme="majorBidi"/>
          <w:sz w:val="24"/>
          <w:szCs w:val="24"/>
        </w:rPr>
        <w:t xml:space="preserve">officials </w:t>
      </w:r>
      <w:r w:rsidRPr="00EF7113">
        <w:rPr>
          <w:rFonts w:asciiTheme="majorBidi" w:hAnsiTheme="majorBidi" w:cstheme="majorBidi"/>
          <w:sz w:val="24"/>
          <w:szCs w:val="24"/>
        </w:rPr>
        <w:t xml:space="preserve">feel they are operating as </w:t>
      </w:r>
      <w:r w:rsidR="00C84008" w:rsidRPr="00EF7113">
        <w:rPr>
          <w:rFonts w:asciiTheme="majorBidi" w:hAnsiTheme="majorBidi" w:cstheme="majorBidi"/>
          <w:sz w:val="24"/>
          <w:szCs w:val="24"/>
        </w:rPr>
        <w:t>‘prevention ninjas’</w:t>
      </w:r>
      <w:r w:rsidRPr="00EF7113">
        <w:rPr>
          <w:rFonts w:asciiTheme="majorBidi" w:hAnsiTheme="majorBidi" w:cstheme="majorBidi"/>
          <w:sz w:val="24"/>
          <w:szCs w:val="24"/>
        </w:rPr>
        <w:t>. Rather than providing outright leadership for preventative health, they pu</w:t>
      </w:r>
      <w:r w:rsidR="00213114" w:rsidRPr="00EF7113">
        <w:rPr>
          <w:rFonts w:asciiTheme="majorBidi" w:hAnsiTheme="majorBidi" w:cstheme="majorBidi"/>
          <w:sz w:val="24"/>
          <w:szCs w:val="24"/>
        </w:rPr>
        <w:t>rsue this agenda by stealth, building and leveraging good will with other powerful actors. The</w:t>
      </w:r>
      <w:r w:rsidR="00C84008" w:rsidRPr="00EF7113">
        <w:rPr>
          <w:rFonts w:asciiTheme="majorBidi" w:hAnsiTheme="majorBidi" w:cstheme="majorBidi"/>
          <w:sz w:val="24"/>
          <w:szCs w:val="24"/>
        </w:rPr>
        <w:t xml:space="preserve"> official explained:</w:t>
      </w:r>
    </w:p>
    <w:p w14:paraId="3C1D3F9C" w14:textId="59E62824" w:rsidR="00C84008" w:rsidRPr="00EF7113" w:rsidRDefault="00BD1D90"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 xml:space="preserve">So, for example, </w:t>
      </w:r>
      <w:r w:rsidR="005273BB" w:rsidRPr="00EF7113">
        <w:rPr>
          <w:rFonts w:asciiTheme="majorBidi" w:hAnsiTheme="majorBidi" w:cstheme="majorBidi"/>
          <w:sz w:val="24"/>
          <w:szCs w:val="24"/>
        </w:rPr>
        <w:t>what would be the point of doing something which upset the NHS, if you want them to deliver so</w:t>
      </w:r>
      <w:r w:rsidRPr="00EF7113">
        <w:rPr>
          <w:rFonts w:asciiTheme="majorBidi" w:hAnsiTheme="majorBidi" w:cstheme="majorBidi"/>
          <w:sz w:val="24"/>
          <w:szCs w:val="24"/>
        </w:rPr>
        <w:t>me evidence-based interventions</w:t>
      </w:r>
      <w:r w:rsidR="005273BB" w:rsidRPr="00EF7113">
        <w:rPr>
          <w:rFonts w:asciiTheme="majorBidi" w:hAnsiTheme="majorBidi" w:cstheme="majorBidi"/>
          <w:sz w:val="24"/>
          <w:szCs w:val="24"/>
        </w:rPr>
        <w:t xml:space="preserve"> which are likely</w:t>
      </w:r>
      <w:r w:rsidRPr="00EF7113">
        <w:rPr>
          <w:rFonts w:asciiTheme="majorBidi" w:hAnsiTheme="majorBidi" w:cstheme="majorBidi"/>
          <w:sz w:val="24"/>
          <w:szCs w:val="24"/>
        </w:rPr>
        <w:t xml:space="preserve"> to have an impact on public health? So we’ve got to play canny. I</w:t>
      </w:r>
      <w:r w:rsidR="005273BB" w:rsidRPr="00EF7113">
        <w:rPr>
          <w:rFonts w:asciiTheme="majorBidi" w:hAnsiTheme="majorBidi" w:cstheme="majorBidi"/>
          <w:sz w:val="24"/>
          <w:szCs w:val="24"/>
        </w:rPr>
        <w:t>t’s about using our relationships.</w:t>
      </w:r>
    </w:p>
    <w:p w14:paraId="2F5F6D95" w14:textId="77777777" w:rsidR="002831E5" w:rsidRDefault="002831E5" w:rsidP="00A275BB">
      <w:pPr>
        <w:spacing w:line="480" w:lineRule="auto"/>
        <w:rPr>
          <w:rFonts w:asciiTheme="majorBidi" w:hAnsiTheme="majorBidi" w:cstheme="majorBidi"/>
          <w:b/>
          <w:bCs/>
          <w:sz w:val="24"/>
          <w:szCs w:val="24"/>
        </w:rPr>
      </w:pPr>
    </w:p>
    <w:p w14:paraId="491E21DB" w14:textId="7F7D66B7" w:rsidR="005273BB" w:rsidRPr="00EF7113" w:rsidRDefault="00EF7113" w:rsidP="00A275BB">
      <w:pPr>
        <w:spacing w:line="480" w:lineRule="auto"/>
        <w:rPr>
          <w:rFonts w:asciiTheme="majorBidi" w:hAnsiTheme="majorBidi" w:cstheme="majorBidi"/>
          <w:b/>
          <w:bCs/>
          <w:sz w:val="24"/>
          <w:szCs w:val="24"/>
        </w:rPr>
      </w:pPr>
      <w:r w:rsidRPr="00EF7113">
        <w:rPr>
          <w:rFonts w:asciiTheme="majorBidi" w:hAnsiTheme="majorBidi" w:cstheme="majorBidi"/>
          <w:b/>
          <w:bCs/>
          <w:sz w:val="24"/>
          <w:szCs w:val="24"/>
        </w:rPr>
        <w:t>Conclusion</w:t>
      </w:r>
      <w:r w:rsidR="002438E0" w:rsidRPr="00EF7113">
        <w:rPr>
          <w:rFonts w:asciiTheme="majorBidi" w:hAnsiTheme="majorBidi" w:cstheme="majorBidi"/>
          <w:b/>
          <w:bCs/>
          <w:sz w:val="24"/>
          <w:szCs w:val="24"/>
        </w:rPr>
        <w:t xml:space="preserve">: Lessons for </w:t>
      </w:r>
      <w:r w:rsidR="005939E8">
        <w:rPr>
          <w:rFonts w:asciiTheme="majorBidi" w:hAnsiTheme="majorBidi" w:cstheme="majorBidi"/>
          <w:b/>
          <w:bCs/>
          <w:sz w:val="24"/>
          <w:szCs w:val="24"/>
        </w:rPr>
        <w:t>the goal of institutionalis</w:t>
      </w:r>
      <w:r w:rsidRPr="00EF7113">
        <w:rPr>
          <w:rFonts w:asciiTheme="majorBidi" w:hAnsiTheme="majorBidi" w:cstheme="majorBidi"/>
          <w:b/>
          <w:bCs/>
          <w:sz w:val="24"/>
          <w:szCs w:val="24"/>
        </w:rPr>
        <w:t>ing prevent</w:t>
      </w:r>
      <w:r w:rsidR="00FE40CB">
        <w:rPr>
          <w:rFonts w:asciiTheme="majorBidi" w:hAnsiTheme="majorBidi" w:cstheme="majorBidi"/>
          <w:b/>
          <w:bCs/>
          <w:sz w:val="24"/>
          <w:szCs w:val="24"/>
        </w:rPr>
        <w:t>ion</w:t>
      </w:r>
    </w:p>
    <w:p w14:paraId="2405B4C3" w14:textId="4A5F2035" w:rsidR="005273BB" w:rsidRDefault="005273BB"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Our findings</w:t>
      </w:r>
      <w:r w:rsidR="002438E0" w:rsidRPr="00EF7113">
        <w:rPr>
          <w:rFonts w:asciiTheme="majorBidi" w:hAnsiTheme="majorBidi" w:cstheme="majorBidi"/>
          <w:sz w:val="24"/>
          <w:szCs w:val="24"/>
        </w:rPr>
        <w:t>,</w:t>
      </w:r>
      <w:r w:rsidRPr="00EF7113">
        <w:rPr>
          <w:rFonts w:asciiTheme="majorBidi" w:hAnsiTheme="majorBidi" w:cstheme="majorBidi"/>
          <w:sz w:val="24"/>
          <w:szCs w:val="24"/>
        </w:rPr>
        <w:t xml:space="preserve"> summarized </w:t>
      </w:r>
      <w:r w:rsidR="00F478E6">
        <w:rPr>
          <w:rFonts w:asciiTheme="majorBidi" w:hAnsiTheme="majorBidi" w:cstheme="majorBidi"/>
          <w:sz w:val="24"/>
          <w:szCs w:val="24"/>
        </w:rPr>
        <w:t xml:space="preserve">in </w:t>
      </w:r>
      <w:r w:rsidRPr="00EF7113">
        <w:rPr>
          <w:rFonts w:asciiTheme="majorBidi" w:hAnsiTheme="majorBidi" w:cstheme="majorBidi"/>
          <w:sz w:val="24"/>
          <w:szCs w:val="24"/>
        </w:rPr>
        <w:t xml:space="preserve">table </w:t>
      </w:r>
      <w:r w:rsidR="004B6586">
        <w:rPr>
          <w:rFonts w:asciiTheme="majorBidi" w:hAnsiTheme="majorBidi" w:cstheme="majorBidi"/>
          <w:sz w:val="24"/>
          <w:szCs w:val="24"/>
        </w:rPr>
        <w:t>2</w:t>
      </w:r>
      <w:r w:rsidR="002438E0" w:rsidRPr="00EF7113">
        <w:rPr>
          <w:rFonts w:asciiTheme="majorBidi" w:hAnsiTheme="majorBidi" w:cstheme="majorBidi"/>
          <w:sz w:val="24"/>
          <w:szCs w:val="24"/>
        </w:rPr>
        <w:t>,</w:t>
      </w:r>
      <w:r w:rsidRPr="00EF7113">
        <w:rPr>
          <w:rFonts w:asciiTheme="majorBidi" w:hAnsiTheme="majorBidi" w:cstheme="majorBidi"/>
          <w:sz w:val="24"/>
          <w:szCs w:val="24"/>
        </w:rPr>
        <w:t xml:space="preserve"> present a nuanced picture. PHE has enjoyed more success than HPA </w:t>
      </w:r>
      <w:r w:rsidR="008E47C3">
        <w:rPr>
          <w:rFonts w:asciiTheme="majorBidi" w:hAnsiTheme="majorBidi" w:cstheme="majorBidi"/>
          <w:sz w:val="24"/>
          <w:szCs w:val="24"/>
        </w:rPr>
        <w:t>and</w:t>
      </w:r>
      <w:r w:rsidRPr="00EF7113">
        <w:rPr>
          <w:rFonts w:asciiTheme="majorBidi" w:hAnsiTheme="majorBidi" w:cstheme="majorBidi"/>
          <w:sz w:val="24"/>
          <w:szCs w:val="24"/>
        </w:rPr>
        <w:t xml:space="preserve"> ANPHA. </w:t>
      </w:r>
      <w:r w:rsidR="008E47C3">
        <w:rPr>
          <w:rFonts w:asciiTheme="majorBidi" w:hAnsiTheme="majorBidi" w:cstheme="majorBidi"/>
          <w:sz w:val="24"/>
          <w:szCs w:val="24"/>
        </w:rPr>
        <w:t>However,</w:t>
      </w:r>
      <w:r w:rsidRPr="00EF7113">
        <w:rPr>
          <w:rFonts w:asciiTheme="majorBidi" w:hAnsiTheme="majorBidi" w:cstheme="majorBidi"/>
          <w:sz w:val="24"/>
          <w:szCs w:val="24"/>
        </w:rPr>
        <w:t xml:space="preserve"> it is hardly a beacon for preventative health leadership.</w:t>
      </w:r>
      <w:r w:rsidR="00DC0A9F">
        <w:rPr>
          <w:rFonts w:asciiTheme="majorBidi" w:hAnsiTheme="majorBidi" w:cstheme="majorBidi"/>
          <w:sz w:val="24"/>
          <w:szCs w:val="24"/>
        </w:rPr>
        <w:t xml:space="preserve"> These findings</w:t>
      </w:r>
      <w:r w:rsidRPr="00EF7113">
        <w:rPr>
          <w:rFonts w:asciiTheme="majorBidi" w:hAnsiTheme="majorBidi" w:cstheme="majorBidi"/>
          <w:sz w:val="24"/>
          <w:szCs w:val="24"/>
        </w:rPr>
        <w:t xml:space="preserve"> </w:t>
      </w:r>
      <w:r w:rsidR="00DC0A9F">
        <w:rPr>
          <w:rFonts w:asciiTheme="majorBidi" w:hAnsiTheme="majorBidi" w:cstheme="majorBidi"/>
          <w:sz w:val="24"/>
          <w:szCs w:val="24"/>
        </w:rPr>
        <w:t>reinforce Scha</w:t>
      </w:r>
      <w:r w:rsidR="00DC0A9F" w:rsidRPr="00EF7113">
        <w:rPr>
          <w:rFonts w:asciiTheme="majorBidi" w:hAnsiTheme="majorBidi" w:cstheme="majorBidi"/>
          <w:sz w:val="24"/>
          <w:szCs w:val="24"/>
        </w:rPr>
        <w:t>ng et al.’s (2011</w:t>
      </w:r>
      <w:r w:rsidR="00C51667">
        <w:rPr>
          <w:rFonts w:asciiTheme="majorBidi" w:hAnsiTheme="majorBidi" w:cstheme="majorBidi"/>
          <w:sz w:val="24"/>
          <w:szCs w:val="24"/>
        </w:rPr>
        <w:t>) conclusion that an agency is</w:t>
      </w:r>
      <w:r w:rsidR="00DC0A9F" w:rsidRPr="00EF7113">
        <w:rPr>
          <w:rFonts w:asciiTheme="majorBidi" w:hAnsiTheme="majorBidi" w:cstheme="majorBidi"/>
          <w:sz w:val="24"/>
          <w:szCs w:val="24"/>
        </w:rPr>
        <w:t xml:space="preserve"> no magic bullet for prevention. Its introduction may send a positive message, but does not represent </w:t>
      </w:r>
      <w:r w:rsidR="005939E8">
        <w:rPr>
          <w:rFonts w:asciiTheme="majorBidi" w:hAnsiTheme="majorBidi" w:cstheme="majorBidi"/>
          <w:sz w:val="24"/>
          <w:szCs w:val="24"/>
        </w:rPr>
        <w:t>major policy change in itself. In whatever form, t</w:t>
      </w:r>
      <w:r w:rsidR="00DC0A9F" w:rsidRPr="00EF7113">
        <w:rPr>
          <w:rFonts w:asciiTheme="majorBidi" w:hAnsiTheme="majorBidi" w:cstheme="majorBidi"/>
          <w:sz w:val="24"/>
          <w:szCs w:val="24"/>
        </w:rPr>
        <w:t xml:space="preserve">he prevention agenda in health bumps up against conflicting ideological values and powerful corporate interests. The </w:t>
      </w:r>
      <w:r w:rsidR="007C2768">
        <w:rPr>
          <w:rFonts w:asciiTheme="majorBidi" w:hAnsiTheme="majorBidi" w:cstheme="majorBidi"/>
          <w:sz w:val="24"/>
          <w:szCs w:val="24"/>
        </w:rPr>
        <w:t xml:space="preserve">quick death of ANPHA and the bubbling </w:t>
      </w:r>
      <w:r w:rsidR="00DC0A9F" w:rsidRPr="00EF7113">
        <w:rPr>
          <w:rFonts w:asciiTheme="majorBidi" w:hAnsiTheme="majorBidi" w:cstheme="majorBidi"/>
          <w:sz w:val="24"/>
          <w:szCs w:val="24"/>
        </w:rPr>
        <w:t>controver</w:t>
      </w:r>
      <w:r w:rsidR="007C2768">
        <w:rPr>
          <w:rFonts w:asciiTheme="majorBidi" w:hAnsiTheme="majorBidi" w:cstheme="majorBidi"/>
          <w:sz w:val="24"/>
          <w:szCs w:val="24"/>
        </w:rPr>
        <w:t>sy over the HPA in NZ highlight</w:t>
      </w:r>
      <w:r w:rsidR="00DC0A9F" w:rsidRPr="00EF7113">
        <w:rPr>
          <w:rFonts w:asciiTheme="majorBidi" w:hAnsiTheme="majorBidi" w:cstheme="majorBidi"/>
          <w:sz w:val="24"/>
          <w:szCs w:val="24"/>
        </w:rPr>
        <w:t xml:space="preserve"> what is at stake. Our participants across the three cases were quick to emphasise that achieving policy change in this context </w:t>
      </w:r>
      <w:r w:rsidR="00DC0A9F">
        <w:rPr>
          <w:rFonts w:asciiTheme="majorBidi" w:hAnsiTheme="majorBidi" w:cstheme="majorBidi"/>
          <w:sz w:val="24"/>
          <w:szCs w:val="24"/>
        </w:rPr>
        <w:t>is immensely difficult</w:t>
      </w:r>
      <w:r w:rsidR="00DC0A9F" w:rsidRPr="00EF7113">
        <w:rPr>
          <w:rFonts w:asciiTheme="majorBidi" w:hAnsiTheme="majorBidi" w:cstheme="majorBidi"/>
          <w:sz w:val="24"/>
          <w:szCs w:val="24"/>
        </w:rPr>
        <w:t xml:space="preserve">, and that no institutional fix can shortcut </w:t>
      </w:r>
      <w:r w:rsidR="00DC0A9F">
        <w:rPr>
          <w:rFonts w:asciiTheme="majorBidi" w:hAnsiTheme="majorBidi" w:cstheme="majorBidi"/>
          <w:sz w:val="24"/>
          <w:szCs w:val="24"/>
        </w:rPr>
        <w:t xml:space="preserve">or </w:t>
      </w:r>
      <w:r w:rsidR="00DC0A9F" w:rsidRPr="00206413">
        <w:rPr>
          <w:rFonts w:asciiTheme="majorBidi" w:hAnsiTheme="majorBidi" w:cstheme="majorBidi"/>
          <w:i/>
          <w:iCs/>
          <w:sz w:val="24"/>
          <w:szCs w:val="24"/>
        </w:rPr>
        <w:t xml:space="preserve">depoliticise </w:t>
      </w:r>
      <w:r w:rsidR="00DC0A9F">
        <w:rPr>
          <w:rFonts w:asciiTheme="majorBidi" w:hAnsiTheme="majorBidi" w:cstheme="majorBidi"/>
          <w:sz w:val="24"/>
          <w:szCs w:val="24"/>
        </w:rPr>
        <w:t>the process</w:t>
      </w:r>
      <w:r w:rsidR="00DC0A9F" w:rsidRPr="00EF7113">
        <w:rPr>
          <w:rFonts w:asciiTheme="majorBidi" w:hAnsiTheme="majorBidi" w:cstheme="majorBidi"/>
          <w:sz w:val="24"/>
          <w:szCs w:val="24"/>
        </w:rPr>
        <w:t xml:space="preserve">. Institutionalization simply redefines the terrain on which familiar political battles </w:t>
      </w:r>
      <w:r w:rsidR="00DC0A9F" w:rsidRPr="00EF7113">
        <w:rPr>
          <w:rFonts w:asciiTheme="majorBidi" w:hAnsiTheme="majorBidi" w:cstheme="majorBidi"/>
          <w:sz w:val="24"/>
          <w:szCs w:val="24"/>
        </w:rPr>
        <w:lastRenderedPageBreak/>
        <w:t xml:space="preserve">are fought.   </w:t>
      </w:r>
      <w:r w:rsidR="00DC0A9F">
        <w:rPr>
          <w:rFonts w:asciiTheme="majorBidi" w:hAnsiTheme="majorBidi" w:cstheme="majorBidi"/>
          <w:sz w:val="24"/>
          <w:szCs w:val="24"/>
        </w:rPr>
        <w:t>T</w:t>
      </w:r>
      <w:r w:rsidR="008E47C3">
        <w:rPr>
          <w:rFonts w:asciiTheme="majorBidi" w:hAnsiTheme="majorBidi" w:cstheme="majorBidi"/>
          <w:sz w:val="24"/>
          <w:szCs w:val="24"/>
        </w:rPr>
        <w:t>he</w:t>
      </w:r>
      <w:r w:rsidRPr="00EF7113">
        <w:rPr>
          <w:rFonts w:asciiTheme="majorBidi" w:hAnsiTheme="majorBidi" w:cstheme="majorBidi"/>
          <w:sz w:val="24"/>
          <w:szCs w:val="24"/>
        </w:rPr>
        <w:t xml:space="preserve"> experiences of </w:t>
      </w:r>
      <w:r w:rsidR="008E47C3">
        <w:rPr>
          <w:rFonts w:asciiTheme="majorBidi" w:hAnsiTheme="majorBidi" w:cstheme="majorBidi"/>
          <w:sz w:val="24"/>
          <w:szCs w:val="24"/>
        </w:rPr>
        <w:t>the</w:t>
      </w:r>
      <w:r w:rsidRPr="00EF7113">
        <w:rPr>
          <w:rFonts w:asciiTheme="majorBidi" w:hAnsiTheme="majorBidi" w:cstheme="majorBidi"/>
          <w:sz w:val="24"/>
          <w:szCs w:val="24"/>
        </w:rPr>
        <w:t xml:space="preserve"> agencies </w:t>
      </w:r>
      <w:r w:rsidR="00DC0A9F">
        <w:rPr>
          <w:rFonts w:asciiTheme="majorBidi" w:hAnsiTheme="majorBidi" w:cstheme="majorBidi"/>
          <w:sz w:val="24"/>
          <w:szCs w:val="24"/>
        </w:rPr>
        <w:t>allow</w:t>
      </w:r>
      <w:r w:rsidR="00DC0A9F" w:rsidRPr="00EF7113">
        <w:rPr>
          <w:rFonts w:asciiTheme="majorBidi" w:hAnsiTheme="majorBidi" w:cstheme="majorBidi"/>
          <w:sz w:val="24"/>
          <w:szCs w:val="24"/>
        </w:rPr>
        <w:t xml:space="preserve"> </w:t>
      </w:r>
      <w:r w:rsidRPr="00EF7113">
        <w:rPr>
          <w:rFonts w:asciiTheme="majorBidi" w:hAnsiTheme="majorBidi" w:cstheme="majorBidi"/>
          <w:sz w:val="24"/>
          <w:szCs w:val="24"/>
        </w:rPr>
        <w:t xml:space="preserve">us to draw three </w:t>
      </w:r>
      <w:r w:rsidR="008E47C3">
        <w:rPr>
          <w:rFonts w:asciiTheme="majorBidi" w:hAnsiTheme="majorBidi" w:cstheme="majorBidi"/>
          <w:sz w:val="24"/>
          <w:szCs w:val="24"/>
        </w:rPr>
        <w:t>provisional lessons</w:t>
      </w:r>
      <w:r w:rsidR="00DC0A9F">
        <w:rPr>
          <w:rFonts w:asciiTheme="majorBidi" w:hAnsiTheme="majorBidi" w:cstheme="majorBidi"/>
          <w:sz w:val="24"/>
          <w:szCs w:val="24"/>
        </w:rPr>
        <w:t xml:space="preserve"> about these political battles</w:t>
      </w:r>
      <w:r w:rsidRPr="00EF7113">
        <w:rPr>
          <w:rFonts w:asciiTheme="majorBidi" w:hAnsiTheme="majorBidi" w:cstheme="majorBidi"/>
          <w:sz w:val="24"/>
          <w:szCs w:val="24"/>
        </w:rPr>
        <w:t>.</w:t>
      </w:r>
    </w:p>
    <w:p w14:paraId="3F13C3E4" w14:textId="2C96A753" w:rsidR="00DC0A9F" w:rsidRDefault="00DE109F" w:rsidP="00A275BB">
      <w:pPr>
        <w:spacing w:line="480" w:lineRule="auto"/>
        <w:rPr>
          <w:rFonts w:asciiTheme="majorBidi" w:hAnsiTheme="majorBidi" w:cstheme="majorBidi"/>
          <w:sz w:val="24"/>
          <w:szCs w:val="24"/>
        </w:rPr>
      </w:pPr>
      <w:r>
        <w:rPr>
          <w:rFonts w:asciiTheme="majorBidi" w:hAnsiTheme="majorBidi" w:cstheme="majorBidi"/>
          <w:sz w:val="24"/>
          <w:szCs w:val="24"/>
        </w:rPr>
        <w:t>INSERT TABLE 2 ABOUT HERE</w:t>
      </w:r>
    </w:p>
    <w:p w14:paraId="3CF3B1BD" w14:textId="21A7AC2A" w:rsidR="00EF3FA0" w:rsidRPr="00EF7113" w:rsidRDefault="0045412A"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The first lesson</w:t>
      </w:r>
      <w:r w:rsidR="00E7704B">
        <w:rPr>
          <w:rFonts w:asciiTheme="majorBidi" w:hAnsiTheme="majorBidi" w:cstheme="majorBidi"/>
          <w:sz w:val="24"/>
          <w:szCs w:val="24"/>
        </w:rPr>
        <w:t xml:space="preserve"> </w:t>
      </w:r>
      <w:r w:rsidR="00DC0A9F">
        <w:rPr>
          <w:rFonts w:asciiTheme="majorBidi" w:hAnsiTheme="majorBidi" w:cstheme="majorBidi"/>
          <w:sz w:val="24"/>
          <w:szCs w:val="24"/>
        </w:rPr>
        <w:t xml:space="preserve">is that the path to substantive institutionalisation is winding and treacherous. The success of agencies dedicated to prevention, understood even in the limited terms of mere survival and reputation, depends on a configuration of factors that is ‘just right’ for the specific context. PHE and its officials continue to walk a fine line. They have to engage with controversies that emerge while retaining bipartisan buy-in overall. They cover a large policy remit but devote key resources to prevention causes specifically. They shore up their reputation as independent ‘knowledge brokers’ without straying into overt advocacy. </w:t>
      </w:r>
      <w:r w:rsidR="0095533F" w:rsidRPr="00EF7113">
        <w:rPr>
          <w:rFonts w:asciiTheme="majorBidi" w:hAnsiTheme="majorBidi" w:cstheme="majorBidi"/>
          <w:sz w:val="24"/>
          <w:szCs w:val="24"/>
        </w:rPr>
        <w:t xml:space="preserve"> </w:t>
      </w:r>
      <w:r w:rsidR="00DC0A9F">
        <w:rPr>
          <w:rFonts w:asciiTheme="majorBidi" w:hAnsiTheme="majorBidi" w:cstheme="majorBidi"/>
          <w:sz w:val="24"/>
          <w:szCs w:val="24"/>
        </w:rPr>
        <w:t>The experiences of ANPHA and the HPA show that failure to maintain the balance in relation to just one of these factors can have problematic consequences for the others. It is a delicate balance to maintain, especially as the prevention agenda and the political context surrounding it evolve over time.</w:t>
      </w:r>
    </w:p>
    <w:p w14:paraId="6BF676F3" w14:textId="39FFC55A" w:rsidR="00EF3FA0" w:rsidRPr="00EF7113" w:rsidRDefault="0051176C"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The second lesson is that lea</w:t>
      </w:r>
      <w:r w:rsidR="001D3590" w:rsidRPr="00EF7113">
        <w:rPr>
          <w:rFonts w:asciiTheme="majorBidi" w:hAnsiTheme="majorBidi" w:cstheme="majorBidi"/>
          <w:sz w:val="24"/>
          <w:szCs w:val="24"/>
        </w:rPr>
        <w:t>dership in preventative health</w:t>
      </w:r>
      <w:r w:rsidRPr="00EF7113">
        <w:rPr>
          <w:rFonts w:asciiTheme="majorBidi" w:hAnsiTheme="majorBidi" w:cstheme="majorBidi"/>
          <w:sz w:val="24"/>
          <w:szCs w:val="24"/>
        </w:rPr>
        <w:t xml:space="preserve"> – at least in </w:t>
      </w:r>
      <w:r w:rsidR="003A6D69">
        <w:rPr>
          <w:rFonts w:asciiTheme="majorBidi" w:hAnsiTheme="majorBidi" w:cstheme="majorBidi"/>
          <w:sz w:val="24"/>
          <w:szCs w:val="24"/>
        </w:rPr>
        <w:t>agencies</w:t>
      </w:r>
      <w:r w:rsidR="00BB0C10">
        <w:rPr>
          <w:rFonts w:asciiTheme="majorBidi" w:hAnsiTheme="majorBidi" w:cstheme="majorBidi"/>
          <w:sz w:val="24"/>
          <w:szCs w:val="24"/>
        </w:rPr>
        <w:t xml:space="preserve"> – </w:t>
      </w:r>
      <w:r w:rsidR="00EE0E41">
        <w:rPr>
          <w:rFonts w:asciiTheme="majorBidi" w:hAnsiTheme="majorBidi" w:cstheme="majorBidi"/>
          <w:sz w:val="24"/>
          <w:szCs w:val="24"/>
        </w:rPr>
        <w:t>may not</w:t>
      </w:r>
      <w:r w:rsidRPr="00EF7113">
        <w:rPr>
          <w:rFonts w:asciiTheme="majorBidi" w:hAnsiTheme="majorBidi" w:cstheme="majorBidi"/>
          <w:sz w:val="24"/>
          <w:szCs w:val="24"/>
        </w:rPr>
        <w:t xml:space="preserve"> be best served by bold public advocacy</w:t>
      </w:r>
      <w:r w:rsidR="001D3590" w:rsidRPr="00EF7113">
        <w:rPr>
          <w:rFonts w:asciiTheme="majorBidi" w:hAnsiTheme="majorBidi" w:cstheme="majorBidi"/>
          <w:sz w:val="24"/>
          <w:szCs w:val="24"/>
        </w:rPr>
        <w:t xml:space="preserve"> and a strong policy agenda</w:t>
      </w:r>
      <w:r w:rsidR="005273BB" w:rsidRPr="00EF7113">
        <w:rPr>
          <w:rFonts w:asciiTheme="majorBidi" w:hAnsiTheme="majorBidi" w:cstheme="majorBidi"/>
          <w:sz w:val="24"/>
          <w:szCs w:val="24"/>
        </w:rPr>
        <w:t xml:space="preserve">. </w:t>
      </w:r>
      <w:r w:rsidRPr="00EF7113">
        <w:rPr>
          <w:rFonts w:asciiTheme="majorBidi" w:hAnsiTheme="majorBidi" w:cstheme="majorBidi"/>
          <w:sz w:val="24"/>
          <w:szCs w:val="24"/>
        </w:rPr>
        <w:t>Bold public advocacy</w:t>
      </w:r>
      <w:r w:rsidR="001D3590" w:rsidRPr="00EF7113">
        <w:rPr>
          <w:rFonts w:asciiTheme="majorBidi" w:hAnsiTheme="majorBidi" w:cstheme="majorBidi"/>
          <w:sz w:val="24"/>
          <w:szCs w:val="24"/>
        </w:rPr>
        <w:t xml:space="preserve"> </w:t>
      </w:r>
      <w:r w:rsidR="005273BB" w:rsidRPr="00EF7113">
        <w:rPr>
          <w:rFonts w:asciiTheme="majorBidi" w:hAnsiTheme="majorBidi" w:cstheme="majorBidi"/>
          <w:sz w:val="24"/>
          <w:szCs w:val="24"/>
        </w:rPr>
        <w:t>and a heavy</w:t>
      </w:r>
      <w:r w:rsidR="001D3590" w:rsidRPr="00EF7113">
        <w:rPr>
          <w:rFonts w:asciiTheme="majorBidi" w:hAnsiTheme="majorBidi" w:cstheme="majorBidi"/>
          <w:sz w:val="24"/>
          <w:szCs w:val="24"/>
        </w:rPr>
        <w:t xml:space="preserve"> emphasis</w:t>
      </w:r>
      <w:r w:rsidR="005273BB" w:rsidRPr="00EF7113">
        <w:rPr>
          <w:rFonts w:asciiTheme="majorBidi" w:hAnsiTheme="majorBidi" w:cstheme="majorBidi"/>
          <w:sz w:val="24"/>
          <w:szCs w:val="24"/>
        </w:rPr>
        <w:t xml:space="preserve"> on upstream</w:t>
      </w:r>
      <w:r w:rsidR="001D3590" w:rsidRPr="00EF7113">
        <w:rPr>
          <w:rFonts w:asciiTheme="majorBidi" w:hAnsiTheme="majorBidi" w:cstheme="majorBidi"/>
          <w:sz w:val="24"/>
          <w:szCs w:val="24"/>
        </w:rPr>
        <w:t xml:space="preserve"> prevention policy</w:t>
      </w:r>
      <w:r w:rsidRPr="00EF7113">
        <w:rPr>
          <w:rFonts w:asciiTheme="majorBidi" w:hAnsiTheme="majorBidi" w:cstheme="majorBidi"/>
          <w:sz w:val="24"/>
          <w:szCs w:val="24"/>
        </w:rPr>
        <w:t xml:space="preserve"> in the Australian case meant powerf</w:t>
      </w:r>
      <w:r w:rsidR="001D3590" w:rsidRPr="00EF7113">
        <w:rPr>
          <w:rFonts w:asciiTheme="majorBidi" w:hAnsiTheme="majorBidi" w:cstheme="majorBidi"/>
          <w:sz w:val="24"/>
          <w:szCs w:val="24"/>
        </w:rPr>
        <w:t>ul</w:t>
      </w:r>
      <w:r w:rsidR="008E47C3">
        <w:rPr>
          <w:rFonts w:asciiTheme="majorBidi" w:hAnsiTheme="majorBidi" w:cstheme="majorBidi"/>
          <w:sz w:val="24"/>
          <w:szCs w:val="24"/>
        </w:rPr>
        <w:t xml:space="preserve"> enemies and a short lifespan. M</w:t>
      </w:r>
      <w:r w:rsidR="001D3590" w:rsidRPr="00EF7113">
        <w:rPr>
          <w:rFonts w:asciiTheme="majorBidi" w:hAnsiTheme="majorBidi" w:cstheme="majorBidi"/>
          <w:sz w:val="24"/>
          <w:szCs w:val="24"/>
        </w:rPr>
        <w:t>ore subtle persuasion</w:t>
      </w:r>
      <w:r w:rsidR="008E47C3">
        <w:rPr>
          <w:rFonts w:asciiTheme="majorBidi" w:hAnsiTheme="majorBidi" w:cstheme="majorBidi"/>
          <w:sz w:val="24"/>
          <w:szCs w:val="24"/>
        </w:rPr>
        <w:t>,</w:t>
      </w:r>
      <w:r w:rsidR="001D3590" w:rsidRPr="00EF7113">
        <w:rPr>
          <w:rFonts w:asciiTheme="majorBidi" w:hAnsiTheme="majorBidi" w:cstheme="majorBidi"/>
          <w:sz w:val="24"/>
          <w:szCs w:val="24"/>
        </w:rPr>
        <w:t xml:space="preserve"> and a deliberate emphasis on technical ‘core responsibilities’ over thornier prevention measures </w:t>
      </w:r>
      <w:r w:rsidR="00EE0E41">
        <w:rPr>
          <w:rFonts w:asciiTheme="majorBidi" w:hAnsiTheme="majorBidi" w:cstheme="majorBidi"/>
          <w:sz w:val="24"/>
          <w:szCs w:val="24"/>
        </w:rPr>
        <w:t>in the English case</w:t>
      </w:r>
      <w:r w:rsidR="008E47C3">
        <w:rPr>
          <w:rFonts w:asciiTheme="majorBidi" w:hAnsiTheme="majorBidi" w:cstheme="majorBidi"/>
          <w:sz w:val="24"/>
          <w:szCs w:val="24"/>
        </w:rPr>
        <w:t>,</w:t>
      </w:r>
      <w:r w:rsidR="00EE0E41">
        <w:rPr>
          <w:rFonts w:asciiTheme="majorBidi" w:hAnsiTheme="majorBidi" w:cstheme="majorBidi"/>
          <w:sz w:val="24"/>
          <w:szCs w:val="24"/>
        </w:rPr>
        <w:t xml:space="preserve"> has contributed to</w:t>
      </w:r>
      <w:r w:rsidRPr="00EF7113">
        <w:rPr>
          <w:rFonts w:asciiTheme="majorBidi" w:hAnsiTheme="majorBidi" w:cstheme="majorBidi"/>
          <w:sz w:val="24"/>
          <w:szCs w:val="24"/>
        </w:rPr>
        <w:t xml:space="preserve"> </w:t>
      </w:r>
      <w:r w:rsidR="00EE0E41">
        <w:rPr>
          <w:rFonts w:asciiTheme="majorBidi" w:hAnsiTheme="majorBidi" w:cstheme="majorBidi"/>
          <w:sz w:val="24"/>
          <w:szCs w:val="24"/>
        </w:rPr>
        <w:t>widespread legitimacy</w:t>
      </w:r>
      <w:r w:rsidRPr="00EF7113">
        <w:rPr>
          <w:rFonts w:asciiTheme="majorBidi" w:hAnsiTheme="majorBidi" w:cstheme="majorBidi"/>
          <w:sz w:val="24"/>
          <w:szCs w:val="24"/>
        </w:rPr>
        <w:t>.</w:t>
      </w:r>
      <w:r w:rsidR="001D3590" w:rsidRPr="00EF7113">
        <w:rPr>
          <w:rFonts w:asciiTheme="majorBidi" w:hAnsiTheme="majorBidi" w:cstheme="majorBidi"/>
          <w:sz w:val="24"/>
          <w:szCs w:val="24"/>
        </w:rPr>
        <w:t xml:space="preserve"> Th</w:t>
      </w:r>
      <w:r w:rsidR="00EE0E41">
        <w:rPr>
          <w:rFonts w:asciiTheme="majorBidi" w:hAnsiTheme="majorBidi" w:cstheme="majorBidi"/>
          <w:sz w:val="24"/>
          <w:szCs w:val="24"/>
        </w:rPr>
        <w:t xml:space="preserve">is </w:t>
      </w:r>
      <w:r w:rsidR="001D3590" w:rsidRPr="00EF7113">
        <w:rPr>
          <w:rFonts w:asciiTheme="majorBidi" w:hAnsiTheme="majorBidi" w:cstheme="majorBidi"/>
          <w:sz w:val="24"/>
          <w:szCs w:val="24"/>
        </w:rPr>
        <w:t xml:space="preserve">comparison suggests it may be more profitable to foreground the </w:t>
      </w:r>
      <w:r w:rsidR="008E47C3">
        <w:rPr>
          <w:rFonts w:asciiTheme="majorBidi" w:hAnsiTheme="majorBidi" w:cstheme="majorBidi"/>
          <w:sz w:val="24"/>
          <w:szCs w:val="24"/>
        </w:rPr>
        <w:t>widely-accepted</w:t>
      </w:r>
      <w:r w:rsidR="001D3590" w:rsidRPr="00EF7113">
        <w:rPr>
          <w:rFonts w:asciiTheme="majorBidi" w:hAnsiTheme="majorBidi" w:cstheme="majorBidi"/>
          <w:sz w:val="24"/>
          <w:szCs w:val="24"/>
        </w:rPr>
        <w:t xml:space="preserve"> goods of public health and </w:t>
      </w:r>
      <w:r w:rsidR="00FE40CB">
        <w:rPr>
          <w:rFonts w:asciiTheme="majorBidi" w:hAnsiTheme="majorBidi" w:cstheme="majorBidi"/>
          <w:sz w:val="24"/>
          <w:szCs w:val="24"/>
        </w:rPr>
        <w:t>background</w:t>
      </w:r>
      <w:r w:rsidR="001D3590" w:rsidRPr="00EF7113">
        <w:rPr>
          <w:rFonts w:asciiTheme="majorBidi" w:hAnsiTheme="majorBidi" w:cstheme="majorBidi"/>
          <w:sz w:val="24"/>
          <w:szCs w:val="24"/>
        </w:rPr>
        <w:t xml:space="preserve"> </w:t>
      </w:r>
      <w:r w:rsidR="00865C13">
        <w:rPr>
          <w:rFonts w:asciiTheme="majorBidi" w:hAnsiTheme="majorBidi" w:cstheme="majorBidi"/>
          <w:sz w:val="24"/>
          <w:szCs w:val="24"/>
        </w:rPr>
        <w:t xml:space="preserve">the controversial aspects of </w:t>
      </w:r>
      <w:r w:rsidR="001D3590" w:rsidRPr="00EF7113">
        <w:rPr>
          <w:rFonts w:asciiTheme="majorBidi" w:hAnsiTheme="majorBidi" w:cstheme="majorBidi"/>
          <w:sz w:val="24"/>
          <w:szCs w:val="24"/>
        </w:rPr>
        <w:t>prevention.</w:t>
      </w:r>
      <w:r w:rsidRPr="00EF7113">
        <w:rPr>
          <w:rFonts w:asciiTheme="majorBidi" w:hAnsiTheme="majorBidi" w:cstheme="majorBidi"/>
          <w:sz w:val="24"/>
          <w:szCs w:val="24"/>
        </w:rPr>
        <w:t xml:space="preserve">    </w:t>
      </w:r>
    </w:p>
    <w:p w14:paraId="693E3991" w14:textId="575C4019" w:rsidR="001D3590" w:rsidRPr="00EF7113" w:rsidRDefault="00E52146"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The final lesson is that institutional ‘success’ does not necessarily go hand-in-hand with policy gains for the prevention agenda. </w:t>
      </w:r>
      <w:r w:rsidR="00F470D6" w:rsidRPr="00EF7113">
        <w:rPr>
          <w:rFonts w:asciiTheme="majorBidi" w:hAnsiTheme="majorBidi" w:cstheme="majorBidi"/>
          <w:sz w:val="24"/>
          <w:szCs w:val="24"/>
        </w:rPr>
        <w:t>Our cases reveal that the</w:t>
      </w:r>
      <w:r w:rsidRPr="00EF7113">
        <w:rPr>
          <w:rFonts w:asciiTheme="majorBidi" w:hAnsiTheme="majorBidi" w:cstheme="majorBidi"/>
          <w:sz w:val="24"/>
          <w:szCs w:val="24"/>
        </w:rPr>
        <w:t xml:space="preserve"> work of building and </w:t>
      </w:r>
      <w:r w:rsidRPr="00EF7113">
        <w:rPr>
          <w:rFonts w:asciiTheme="majorBidi" w:hAnsiTheme="majorBidi" w:cstheme="majorBidi"/>
          <w:sz w:val="24"/>
          <w:szCs w:val="24"/>
        </w:rPr>
        <w:lastRenderedPageBreak/>
        <w:t>maintaining political support is not always compatible with the work of advancing preventati</w:t>
      </w:r>
      <w:r w:rsidR="00F470D6" w:rsidRPr="00EF7113">
        <w:rPr>
          <w:rFonts w:asciiTheme="majorBidi" w:hAnsiTheme="majorBidi" w:cstheme="majorBidi"/>
          <w:sz w:val="24"/>
          <w:szCs w:val="24"/>
        </w:rPr>
        <w:t xml:space="preserve">ve health policy. </w:t>
      </w:r>
      <w:r w:rsidR="003D56FB">
        <w:rPr>
          <w:rFonts w:asciiTheme="majorBidi" w:hAnsiTheme="majorBidi" w:cstheme="majorBidi"/>
          <w:sz w:val="24"/>
          <w:szCs w:val="24"/>
        </w:rPr>
        <w:t>The management of</w:t>
      </w:r>
      <w:r w:rsidR="00F470D6" w:rsidRPr="00EF7113">
        <w:rPr>
          <w:rFonts w:asciiTheme="majorBidi" w:hAnsiTheme="majorBidi" w:cstheme="majorBidi"/>
          <w:sz w:val="24"/>
          <w:szCs w:val="24"/>
        </w:rPr>
        <w:t xml:space="preserve"> these tensions </w:t>
      </w:r>
      <w:r w:rsidRPr="00EF7113">
        <w:rPr>
          <w:rFonts w:asciiTheme="majorBidi" w:hAnsiTheme="majorBidi" w:cstheme="majorBidi"/>
          <w:sz w:val="24"/>
          <w:szCs w:val="24"/>
        </w:rPr>
        <w:t>can frustrate the most vocal proponents of progressive policy action.  Indeed</w:t>
      </w:r>
      <w:r w:rsidR="001D3590" w:rsidRPr="00EF7113">
        <w:rPr>
          <w:rFonts w:asciiTheme="majorBidi" w:hAnsiTheme="majorBidi" w:cstheme="majorBidi"/>
          <w:sz w:val="24"/>
          <w:szCs w:val="24"/>
        </w:rPr>
        <w:t xml:space="preserve">, many of our participants—particularly those in Australia burned by ANPHA’s failure—were keen to reflect on the limits to the </w:t>
      </w:r>
      <w:r w:rsidR="00FE40CB">
        <w:rPr>
          <w:rFonts w:asciiTheme="majorBidi" w:hAnsiTheme="majorBidi" w:cstheme="majorBidi"/>
          <w:sz w:val="24"/>
          <w:szCs w:val="24"/>
        </w:rPr>
        <w:t xml:space="preserve">agency </w:t>
      </w:r>
      <w:r w:rsidR="001D3590" w:rsidRPr="00EF7113">
        <w:rPr>
          <w:rFonts w:asciiTheme="majorBidi" w:hAnsiTheme="majorBidi" w:cstheme="majorBidi"/>
          <w:sz w:val="24"/>
          <w:szCs w:val="24"/>
        </w:rPr>
        <w:t>model altogether</w:t>
      </w:r>
      <w:r w:rsidRPr="00EF7113">
        <w:rPr>
          <w:rFonts w:asciiTheme="majorBidi" w:hAnsiTheme="majorBidi" w:cstheme="majorBidi"/>
          <w:sz w:val="24"/>
          <w:szCs w:val="24"/>
        </w:rPr>
        <w:t>. One</w:t>
      </w:r>
      <w:r w:rsidR="005273BB" w:rsidRPr="00EF7113">
        <w:rPr>
          <w:rFonts w:asciiTheme="majorBidi" w:hAnsiTheme="majorBidi" w:cstheme="majorBidi"/>
          <w:sz w:val="24"/>
          <w:szCs w:val="24"/>
        </w:rPr>
        <w:t xml:space="preserve"> concluded our interview by reflecting</w:t>
      </w:r>
      <w:r w:rsidR="001D3590" w:rsidRPr="00EF7113">
        <w:rPr>
          <w:rFonts w:asciiTheme="majorBidi" w:hAnsiTheme="majorBidi" w:cstheme="majorBidi"/>
          <w:sz w:val="24"/>
          <w:szCs w:val="24"/>
        </w:rPr>
        <w:t>:</w:t>
      </w:r>
    </w:p>
    <w:p w14:paraId="18C45E90" w14:textId="1833AA6C" w:rsidR="00B227E8" w:rsidRPr="00EF7113" w:rsidRDefault="00B227E8" w:rsidP="00A275BB">
      <w:pPr>
        <w:spacing w:line="480" w:lineRule="auto"/>
        <w:ind w:left="720"/>
        <w:rPr>
          <w:rFonts w:asciiTheme="majorBidi" w:hAnsiTheme="majorBidi" w:cstheme="majorBidi"/>
          <w:sz w:val="24"/>
          <w:szCs w:val="24"/>
        </w:rPr>
      </w:pPr>
      <w:r w:rsidRPr="00EF7113">
        <w:rPr>
          <w:rFonts w:asciiTheme="majorBidi" w:hAnsiTheme="majorBidi" w:cstheme="majorBidi"/>
          <w:sz w:val="24"/>
          <w:szCs w:val="24"/>
        </w:rPr>
        <w:t>I think in many ways having an agency almost do</w:t>
      </w:r>
      <w:r w:rsidR="005939E8">
        <w:rPr>
          <w:rFonts w:asciiTheme="majorBidi" w:hAnsiTheme="majorBidi" w:cstheme="majorBidi"/>
          <w:sz w:val="24"/>
          <w:szCs w:val="24"/>
        </w:rPr>
        <w:t xml:space="preserve">es the work a disservice. It’s </w:t>
      </w:r>
      <w:r w:rsidRPr="00EF7113">
        <w:rPr>
          <w:rFonts w:asciiTheme="majorBidi" w:hAnsiTheme="majorBidi" w:cstheme="majorBidi"/>
          <w:sz w:val="24"/>
          <w:szCs w:val="24"/>
        </w:rPr>
        <w:t>important for profile. It’s important for branding and visibility</w:t>
      </w:r>
      <w:r w:rsidR="005939E8">
        <w:rPr>
          <w:rFonts w:asciiTheme="majorBidi" w:hAnsiTheme="majorBidi" w:cstheme="majorBidi"/>
          <w:sz w:val="24"/>
          <w:szCs w:val="24"/>
        </w:rPr>
        <w:t>, etc. But</w:t>
      </w:r>
      <w:r w:rsidR="00FE40CB">
        <w:rPr>
          <w:rFonts w:asciiTheme="majorBidi" w:hAnsiTheme="majorBidi" w:cstheme="majorBidi"/>
          <w:sz w:val="24"/>
          <w:szCs w:val="24"/>
        </w:rPr>
        <w:t>…</w:t>
      </w:r>
      <w:r w:rsidR="005939E8">
        <w:rPr>
          <w:rFonts w:asciiTheme="majorBidi" w:hAnsiTheme="majorBidi" w:cstheme="majorBidi"/>
          <w:sz w:val="24"/>
          <w:szCs w:val="24"/>
        </w:rPr>
        <w:t xml:space="preserve"> </w:t>
      </w:r>
      <w:r w:rsidRPr="00EF7113">
        <w:rPr>
          <w:rFonts w:asciiTheme="majorBidi" w:hAnsiTheme="majorBidi" w:cstheme="majorBidi"/>
          <w:sz w:val="24"/>
          <w:szCs w:val="24"/>
        </w:rPr>
        <w:t>in a large bureaucracy where governments come and go, it makes you vulnerable. When the pendulum swings and it’s time for smaller government, standalone agencies are alwa</w:t>
      </w:r>
      <w:r w:rsidR="00FE40CB">
        <w:rPr>
          <w:rFonts w:asciiTheme="majorBidi" w:hAnsiTheme="majorBidi" w:cstheme="majorBidi"/>
          <w:sz w:val="24"/>
          <w:szCs w:val="24"/>
        </w:rPr>
        <w:t>ys going to be the first hit.</w:t>
      </w:r>
    </w:p>
    <w:p w14:paraId="1E747F7D" w14:textId="1B3A87ED" w:rsidR="005346D2" w:rsidRDefault="005346D2" w:rsidP="00A275BB">
      <w:pPr>
        <w:spacing w:line="480" w:lineRule="auto"/>
        <w:rPr>
          <w:rFonts w:asciiTheme="majorBidi" w:hAnsiTheme="majorBidi" w:cstheme="majorBidi"/>
          <w:sz w:val="24"/>
          <w:szCs w:val="24"/>
        </w:rPr>
      </w:pPr>
      <w:r>
        <w:rPr>
          <w:rFonts w:asciiTheme="majorBidi" w:hAnsiTheme="majorBidi" w:cstheme="majorBidi"/>
          <w:sz w:val="24"/>
          <w:szCs w:val="24"/>
        </w:rPr>
        <w:t>Our analysis</w:t>
      </w:r>
      <w:r w:rsidRPr="00EF7113">
        <w:rPr>
          <w:rFonts w:asciiTheme="majorBidi" w:hAnsiTheme="majorBidi" w:cstheme="majorBidi"/>
          <w:sz w:val="24"/>
          <w:szCs w:val="24"/>
        </w:rPr>
        <w:t xml:space="preserve"> </w:t>
      </w:r>
      <w:r>
        <w:rPr>
          <w:rFonts w:asciiTheme="majorBidi" w:hAnsiTheme="majorBidi" w:cstheme="majorBidi"/>
          <w:sz w:val="24"/>
          <w:szCs w:val="24"/>
        </w:rPr>
        <w:t>shows that</w:t>
      </w:r>
      <w:r w:rsidRPr="00EF7113">
        <w:rPr>
          <w:rFonts w:asciiTheme="majorBidi" w:hAnsiTheme="majorBidi" w:cstheme="majorBidi"/>
          <w:sz w:val="24"/>
          <w:szCs w:val="24"/>
        </w:rPr>
        <w:t xml:space="preserve"> </w:t>
      </w:r>
      <w:r w:rsidRPr="00EF7113">
        <w:rPr>
          <w:rFonts w:asciiTheme="majorBidi" w:hAnsiTheme="majorBidi" w:cstheme="majorBidi"/>
          <w:i/>
          <w:iCs/>
          <w:sz w:val="24"/>
          <w:szCs w:val="24"/>
        </w:rPr>
        <w:t>institutionali</w:t>
      </w:r>
      <w:r w:rsidR="001D469D">
        <w:rPr>
          <w:rFonts w:asciiTheme="majorBidi" w:hAnsiTheme="majorBidi" w:cstheme="majorBidi"/>
          <w:i/>
          <w:iCs/>
          <w:sz w:val="24"/>
          <w:szCs w:val="24"/>
        </w:rPr>
        <w:t>s</w:t>
      </w:r>
      <w:r w:rsidRPr="00EF7113">
        <w:rPr>
          <w:rFonts w:asciiTheme="majorBidi" w:hAnsiTheme="majorBidi" w:cstheme="majorBidi"/>
          <w:i/>
          <w:iCs/>
          <w:sz w:val="24"/>
          <w:szCs w:val="24"/>
        </w:rPr>
        <w:t xml:space="preserve">ing </w:t>
      </w:r>
      <w:r>
        <w:rPr>
          <w:rFonts w:asciiTheme="majorBidi" w:hAnsiTheme="majorBidi" w:cstheme="majorBidi"/>
          <w:sz w:val="24"/>
          <w:szCs w:val="24"/>
        </w:rPr>
        <w:t xml:space="preserve">prevention </w:t>
      </w:r>
      <w:r w:rsidR="001D469D">
        <w:rPr>
          <w:rFonts w:asciiTheme="majorBidi" w:hAnsiTheme="majorBidi" w:cstheme="majorBidi"/>
          <w:sz w:val="24"/>
          <w:szCs w:val="24"/>
        </w:rPr>
        <w:t xml:space="preserve">via dedicated agencies </w:t>
      </w:r>
      <w:r>
        <w:rPr>
          <w:rFonts w:asciiTheme="majorBidi" w:hAnsiTheme="majorBidi" w:cstheme="majorBidi"/>
          <w:sz w:val="24"/>
          <w:szCs w:val="24"/>
        </w:rPr>
        <w:t>seems</w:t>
      </w:r>
      <w:r w:rsidRPr="00EF7113">
        <w:rPr>
          <w:rFonts w:asciiTheme="majorBidi" w:hAnsiTheme="majorBidi" w:cstheme="majorBidi"/>
          <w:sz w:val="24"/>
          <w:szCs w:val="24"/>
        </w:rPr>
        <w:t xml:space="preserve"> destined to disappoint, </w:t>
      </w:r>
      <w:r>
        <w:rPr>
          <w:rFonts w:asciiTheme="majorBidi" w:hAnsiTheme="majorBidi" w:cstheme="majorBidi"/>
          <w:sz w:val="24"/>
          <w:szCs w:val="24"/>
        </w:rPr>
        <w:t xml:space="preserve">but that some solutions are far less disappointing than others. So far, PHE represents the most feasible success story as the </w:t>
      </w:r>
      <w:r w:rsidRPr="003D56FB">
        <w:rPr>
          <w:rFonts w:asciiTheme="majorBidi" w:hAnsiTheme="majorBidi" w:cstheme="majorBidi"/>
          <w:i/>
          <w:sz w:val="24"/>
          <w:szCs w:val="24"/>
        </w:rPr>
        <w:t>least-worst option</w:t>
      </w:r>
      <w:r>
        <w:rPr>
          <w:rFonts w:asciiTheme="majorBidi" w:hAnsiTheme="majorBidi" w:cstheme="majorBidi"/>
          <w:sz w:val="24"/>
          <w:szCs w:val="24"/>
        </w:rPr>
        <w:t xml:space="preserve"> available to public health advocates and policymakers. </w:t>
      </w:r>
    </w:p>
    <w:p w14:paraId="6A951B8F" w14:textId="6668CCD8" w:rsidR="00EF7113" w:rsidRDefault="00B227E8" w:rsidP="00A275BB">
      <w:pPr>
        <w:spacing w:line="480" w:lineRule="auto"/>
        <w:rPr>
          <w:rFonts w:asciiTheme="majorBidi" w:hAnsiTheme="majorBidi" w:cstheme="majorBidi"/>
          <w:b/>
          <w:bCs/>
          <w:sz w:val="24"/>
          <w:szCs w:val="24"/>
        </w:rPr>
      </w:pPr>
      <w:r w:rsidRPr="00EF7113">
        <w:rPr>
          <w:rFonts w:asciiTheme="majorBidi" w:hAnsiTheme="majorBidi" w:cstheme="majorBidi"/>
          <w:sz w:val="24"/>
          <w:szCs w:val="24"/>
        </w:rPr>
        <w:t>I</w:t>
      </w:r>
      <w:r w:rsidR="005346D2">
        <w:rPr>
          <w:rFonts w:asciiTheme="majorBidi" w:hAnsiTheme="majorBidi" w:cstheme="majorBidi"/>
          <w:sz w:val="24"/>
          <w:szCs w:val="24"/>
        </w:rPr>
        <w:t>n that context, it is not surprising that many of our i</w:t>
      </w:r>
      <w:r w:rsidRPr="00EF7113">
        <w:rPr>
          <w:rFonts w:asciiTheme="majorBidi" w:hAnsiTheme="majorBidi" w:cstheme="majorBidi"/>
          <w:sz w:val="24"/>
          <w:szCs w:val="24"/>
        </w:rPr>
        <w:t>nterviewees suggested</w:t>
      </w:r>
      <w:r w:rsidR="00E52146" w:rsidRPr="00EF7113">
        <w:rPr>
          <w:rFonts w:asciiTheme="majorBidi" w:hAnsiTheme="majorBidi" w:cstheme="majorBidi"/>
          <w:sz w:val="24"/>
          <w:szCs w:val="24"/>
        </w:rPr>
        <w:t xml:space="preserve"> alternative vehicles for leadership on the prevention agenda</w:t>
      </w:r>
      <w:r w:rsidR="005346D2">
        <w:rPr>
          <w:rFonts w:asciiTheme="majorBidi" w:hAnsiTheme="majorBidi" w:cstheme="majorBidi"/>
          <w:sz w:val="24"/>
          <w:szCs w:val="24"/>
        </w:rPr>
        <w:t xml:space="preserve">, </w:t>
      </w:r>
      <w:r w:rsidRPr="00EF7113">
        <w:rPr>
          <w:rFonts w:asciiTheme="majorBidi" w:hAnsiTheme="majorBidi" w:cstheme="majorBidi"/>
          <w:sz w:val="24"/>
          <w:szCs w:val="24"/>
        </w:rPr>
        <w:t xml:space="preserve">within </w:t>
      </w:r>
      <w:r w:rsidR="005346D2">
        <w:rPr>
          <w:rFonts w:asciiTheme="majorBidi" w:hAnsiTheme="majorBidi" w:cstheme="majorBidi"/>
          <w:sz w:val="24"/>
          <w:szCs w:val="24"/>
        </w:rPr>
        <w:t>the heart of government</w:t>
      </w:r>
      <w:r w:rsidR="005346D2" w:rsidRPr="00EF7113">
        <w:rPr>
          <w:rFonts w:asciiTheme="majorBidi" w:hAnsiTheme="majorBidi" w:cstheme="majorBidi"/>
          <w:sz w:val="24"/>
          <w:szCs w:val="24"/>
        </w:rPr>
        <w:t xml:space="preserve"> </w:t>
      </w:r>
      <w:r w:rsidRPr="00EF7113">
        <w:rPr>
          <w:rFonts w:asciiTheme="majorBidi" w:hAnsiTheme="majorBidi" w:cstheme="majorBidi"/>
          <w:sz w:val="24"/>
          <w:szCs w:val="24"/>
        </w:rPr>
        <w:t>department</w:t>
      </w:r>
      <w:r w:rsidR="00EE0E41">
        <w:rPr>
          <w:rFonts w:asciiTheme="majorBidi" w:hAnsiTheme="majorBidi" w:cstheme="majorBidi"/>
          <w:sz w:val="24"/>
          <w:szCs w:val="24"/>
        </w:rPr>
        <w:t>s or outside government entirely, in civil society</w:t>
      </w:r>
      <w:r w:rsidRPr="00EF7113">
        <w:rPr>
          <w:rFonts w:asciiTheme="majorBidi" w:hAnsiTheme="majorBidi" w:cstheme="majorBidi"/>
          <w:sz w:val="24"/>
          <w:szCs w:val="24"/>
        </w:rPr>
        <w:t xml:space="preserve">. </w:t>
      </w:r>
      <w:r w:rsidR="003D56FB">
        <w:rPr>
          <w:rFonts w:asciiTheme="majorBidi" w:hAnsiTheme="majorBidi" w:cstheme="majorBidi"/>
          <w:sz w:val="24"/>
          <w:szCs w:val="24"/>
        </w:rPr>
        <w:t>Although such suggestions</w:t>
      </w:r>
      <w:r w:rsidRPr="00EF7113">
        <w:rPr>
          <w:rFonts w:asciiTheme="majorBidi" w:hAnsiTheme="majorBidi" w:cstheme="majorBidi"/>
          <w:sz w:val="24"/>
          <w:szCs w:val="24"/>
        </w:rPr>
        <w:t xml:space="preserve"> </w:t>
      </w:r>
      <w:r w:rsidR="003D56FB">
        <w:rPr>
          <w:rFonts w:asciiTheme="majorBidi" w:hAnsiTheme="majorBidi" w:cstheme="majorBidi"/>
          <w:sz w:val="24"/>
          <w:szCs w:val="24"/>
        </w:rPr>
        <w:t>represent</w:t>
      </w:r>
      <w:r w:rsidR="00F470D6" w:rsidRPr="00EF7113">
        <w:rPr>
          <w:rFonts w:asciiTheme="majorBidi" w:hAnsiTheme="majorBidi" w:cstheme="majorBidi"/>
          <w:sz w:val="24"/>
          <w:szCs w:val="24"/>
        </w:rPr>
        <w:t xml:space="preserve"> an exciting</w:t>
      </w:r>
      <w:r w:rsidR="001D3590" w:rsidRPr="00EF7113">
        <w:rPr>
          <w:rFonts w:asciiTheme="majorBidi" w:hAnsiTheme="majorBidi" w:cstheme="majorBidi"/>
          <w:sz w:val="24"/>
          <w:szCs w:val="24"/>
        </w:rPr>
        <w:t xml:space="preserve"> angle for further research</w:t>
      </w:r>
      <w:r w:rsidR="00F470D6" w:rsidRPr="00EF7113">
        <w:rPr>
          <w:rFonts w:asciiTheme="majorBidi" w:hAnsiTheme="majorBidi" w:cstheme="majorBidi"/>
          <w:sz w:val="24"/>
          <w:szCs w:val="24"/>
        </w:rPr>
        <w:t xml:space="preserve"> and experimentation</w:t>
      </w:r>
      <w:r w:rsidR="003D56FB">
        <w:rPr>
          <w:rFonts w:asciiTheme="majorBidi" w:hAnsiTheme="majorBidi" w:cstheme="majorBidi"/>
          <w:sz w:val="24"/>
          <w:szCs w:val="24"/>
        </w:rPr>
        <w:t xml:space="preserve">, </w:t>
      </w:r>
      <w:r w:rsidR="005346D2">
        <w:rPr>
          <w:rFonts w:asciiTheme="majorBidi" w:hAnsiTheme="majorBidi" w:cstheme="majorBidi"/>
          <w:sz w:val="24"/>
          <w:szCs w:val="24"/>
        </w:rPr>
        <w:t>we urge caution because it is difficult to connect slow progress specifically to the role of agencies. Rather, many of these obstacles relate to wider issues of prevention – including its ambiguity</w:t>
      </w:r>
      <w:r w:rsidR="004B05F8">
        <w:rPr>
          <w:rFonts w:asciiTheme="majorBidi" w:hAnsiTheme="majorBidi" w:cstheme="majorBidi"/>
          <w:sz w:val="24"/>
          <w:szCs w:val="24"/>
        </w:rPr>
        <w:t>,</w:t>
      </w:r>
      <w:r w:rsidR="005346D2">
        <w:rPr>
          <w:rFonts w:asciiTheme="majorBidi" w:hAnsiTheme="majorBidi" w:cstheme="majorBidi"/>
          <w:sz w:val="24"/>
          <w:szCs w:val="24"/>
        </w:rPr>
        <w:t xml:space="preserve"> which contributes to false and ultimately unsustainable consensus – that would be present regardless of its institutional vehicle. </w:t>
      </w:r>
      <w:r w:rsidR="00EF7113">
        <w:rPr>
          <w:rFonts w:asciiTheme="majorBidi" w:hAnsiTheme="majorBidi" w:cstheme="majorBidi"/>
          <w:b/>
          <w:bCs/>
          <w:sz w:val="24"/>
          <w:szCs w:val="24"/>
        </w:rPr>
        <w:br w:type="page"/>
      </w:r>
    </w:p>
    <w:p w14:paraId="1FE94646" w14:textId="06970485" w:rsidR="00EF7113" w:rsidRPr="00EF7113" w:rsidRDefault="00EF7113" w:rsidP="00A275BB">
      <w:pPr>
        <w:spacing w:line="480" w:lineRule="auto"/>
        <w:rPr>
          <w:rFonts w:asciiTheme="majorBidi" w:hAnsiTheme="majorBidi" w:cstheme="majorBidi"/>
          <w:b/>
          <w:bCs/>
          <w:sz w:val="24"/>
          <w:szCs w:val="24"/>
        </w:rPr>
      </w:pPr>
      <w:r w:rsidRPr="00EF7113">
        <w:rPr>
          <w:rFonts w:asciiTheme="majorBidi" w:hAnsiTheme="majorBidi" w:cstheme="majorBidi"/>
          <w:b/>
          <w:bCs/>
          <w:sz w:val="24"/>
          <w:szCs w:val="24"/>
        </w:rPr>
        <w:lastRenderedPageBreak/>
        <w:t>References</w:t>
      </w:r>
    </w:p>
    <w:p w14:paraId="66A5C407" w14:textId="3F42BF4D" w:rsidR="00EF7113" w:rsidRDefault="00EF7113"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ANPHA 2011</w:t>
      </w:r>
      <w:r w:rsidR="009F410A">
        <w:rPr>
          <w:rFonts w:asciiTheme="majorBidi" w:hAnsiTheme="majorBidi" w:cstheme="majorBidi"/>
          <w:sz w:val="24"/>
          <w:szCs w:val="24"/>
        </w:rPr>
        <w:t xml:space="preserve"> </w:t>
      </w:r>
      <w:r w:rsidR="009F410A" w:rsidRPr="00DD1ACA">
        <w:rPr>
          <w:rFonts w:asciiTheme="majorBidi" w:hAnsiTheme="majorBidi" w:cstheme="majorBidi"/>
          <w:i/>
          <w:iCs/>
          <w:sz w:val="24"/>
          <w:szCs w:val="24"/>
        </w:rPr>
        <w:t xml:space="preserve">Strategic Plan 2011-2015, </w:t>
      </w:r>
      <w:r w:rsidR="009F410A">
        <w:rPr>
          <w:rFonts w:asciiTheme="majorBidi" w:hAnsiTheme="majorBidi" w:cstheme="majorBidi"/>
          <w:sz w:val="24"/>
          <w:szCs w:val="24"/>
        </w:rPr>
        <w:t>Australian National Preventative Health Agency, Canberra.</w:t>
      </w:r>
    </w:p>
    <w:p w14:paraId="211F7BB3" w14:textId="3CD015D1" w:rsidR="00F02F93" w:rsidRDefault="00F02F93" w:rsidP="00A275BB">
      <w:pPr>
        <w:spacing w:line="480" w:lineRule="auto"/>
        <w:rPr>
          <w:rFonts w:asciiTheme="majorBidi" w:hAnsiTheme="majorBidi" w:cstheme="majorBidi"/>
          <w:sz w:val="24"/>
          <w:szCs w:val="24"/>
        </w:rPr>
      </w:pPr>
      <w:r w:rsidRPr="00F02F93">
        <w:rPr>
          <w:rFonts w:asciiTheme="majorBidi" w:hAnsiTheme="majorBidi" w:cstheme="majorBidi"/>
          <w:sz w:val="24"/>
          <w:szCs w:val="24"/>
        </w:rPr>
        <w:t xml:space="preserve">Bache, I. and Reardon, L., </w:t>
      </w:r>
      <w:r w:rsidR="00EC0B69">
        <w:rPr>
          <w:rFonts w:asciiTheme="majorBidi" w:hAnsiTheme="majorBidi" w:cstheme="majorBidi"/>
          <w:sz w:val="24"/>
          <w:szCs w:val="24"/>
        </w:rPr>
        <w:t>(</w:t>
      </w:r>
      <w:r w:rsidRPr="00F02F93">
        <w:rPr>
          <w:rFonts w:asciiTheme="majorBidi" w:hAnsiTheme="majorBidi" w:cstheme="majorBidi"/>
          <w:sz w:val="24"/>
          <w:szCs w:val="24"/>
        </w:rPr>
        <w:t>2013</w:t>
      </w:r>
      <w:r w:rsidR="00EC0B69">
        <w:rPr>
          <w:rFonts w:asciiTheme="majorBidi" w:hAnsiTheme="majorBidi" w:cstheme="majorBidi"/>
          <w:sz w:val="24"/>
          <w:szCs w:val="24"/>
        </w:rPr>
        <w:t>)</w:t>
      </w:r>
      <w:r w:rsidRPr="00F02F93">
        <w:rPr>
          <w:rFonts w:asciiTheme="majorBidi" w:hAnsiTheme="majorBidi" w:cstheme="majorBidi"/>
          <w:sz w:val="24"/>
          <w:szCs w:val="24"/>
        </w:rPr>
        <w:t xml:space="preserve">. An idea whose time has come? Explaining the rise of well-being in British politics. </w:t>
      </w:r>
      <w:r w:rsidRPr="00F02F93">
        <w:rPr>
          <w:rFonts w:asciiTheme="majorBidi" w:hAnsiTheme="majorBidi" w:cstheme="majorBidi"/>
          <w:i/>
          <w:iCs/>
          <w:sz w:val="24"/>
          <w:szCs w:val="24"/>
        </w:rPr>
        <w:t>Political Studies</w:t>
      </w:r>
      <w:r w:rsidRPr="00F02F93">
        <w:rPr>
          <w:rFonts w:asciiTheme="majorBidi" w:hAnsiTheme="majorBidi" w:cstheme="majorBidi"/>
          <w:sz w:val="24"/>
          <w:szCs w:val="24"/>
        </w:rPr>
        <w:t>, 61(4), pp.898-914.</w:t>
      </w:r>
    </w:p>
    <w:p w14:paraId="363A5D7D" w14:textId="308DE073" w:rsidR="00C51667" w:rsidRDefault="00C51667" w:rsidP="00C51667">
      <w:pPr>
        <w:spacing w:line="480" w:lineRule="auto"/>
        <w:rPr>
          <w:rFonts w:asciiTheme="majorBidi" w:hAnsiTheme="majorBidi" w:cstheme="majorBidi"/>
          <w:sz w:val="24"/>
          <w:szCs w:val="24"/>
        </w:rPr>
      </w:pPr>
      <w:r w:rsidRPr="00C51667">
        <w:rPr>
          <w:rFonts w:asciiTheme="majorBidi" w:hAnsiTheme="majorBidi" w:cstheme="majorBidi"/>
          <w:sz w:val="24"/>
          <w:szCs w:val="24"/>
        </w:rPr>
        <w:t>Baker, P., Gill, T., Friel, S., Carey, G., &amp; Kay, A. (2017). Generating political priority for regulatory interventions targeting obesity prevention: an Australian case study. </w:t>
      </w:r>
      <w:r>
        <w:rPr>
          <w:rFonts w:asciiTheme="majorBidi" w:hAnsiTheme="majorBidi" w:cstheme="majorBidi"/>
          <w:i/>
          <w:iCs/>
          <w:sz w:val="24"/>
          <w:szCs w:val="24"/>
        </w:rPr>
        <w:t>Social Science &amp; M</w:t>
      </w:r>
      <w:r w:rsidRPr="00C51667">
        <w:rPr>
          <w:rFonts w:asciiTheme="majorBidi" w:hAnsiTheme="majorBidi" w:cstheme="majorBidi"/>
          <w:i/>
          <w:iCs/>
          <w:sz w:val="24"/>
          <w:szCs w:val="24"/>
        </w:rPr>
        <w:t>edicine</w:t>
      </w:r>
      <w:r w:rsidRPr="00C51667">
        <w:rPr>
          <w:rFonts w:asciiTheme="majorBidi" w:hAnsiTheme="majorBidi" w:cstheme="majorBidi"/>
          <w:sz w:val="24"/>
          <w:szCs w:val="24"/>
        </w:rPr>
        <w:t>, </w:t>
      </w:r>
      <w:r w:rsidRPr="00C51667">
        <w:rPr>
          <w:rFonts w:asciiTheme="majorBidi" w:hAnsiTheme="majorBidi" w:cstheme="majorBidi"/>
          <w:i/>
          <w:iCs/>
          <w:sz w:val="24"/>
          <w:szCs w:val="24"/>
        </w:rPr>
        <w:t>177</w:t>
      </w:r>
      <w:r w:rsidRPr="00C51667">
        <w:rPr>
          <w:rFonts w:asciiTheme="majorBidi" w:hAnsiTheme="majorBidi" w:cstheme="majorBidi"/>
          <w:sz w:val="24"/>
          <w:szCs w:val="24"/>
        </w:rPr>
        <w:t>, 141-149.</w:t>
      </w:r>
    </w:p>
    <w:p w14:paraId="6EFFCEFF" w14:textId="509B264C" w:rsidR="00F02F93" w:rsidRPr="00F02F93" w:rsidRDefault="00F02F93" w:rsidP="00A275BB">
      <w:pPr>
        <w:spacing w:line="480" w:lineRule="auto"/>
        <w:rPr>
          <w:rFonts w:asciiTheme="majorBidi" w:hAnsiTheme="majorBidi" w:cstheme="majorBidi"/>
          <w:sz w:val="24"/>
          <w:szCs w:val="24"/>
        </w:rPr>
      </w:pPr>
      <w:r w:rsidRPr="00F02F93">
        <w:rPr>
          <w:rFonts w:asciiTheme="majorBidi" w:hAnsiTheme="majorBidi" w:cstheme="majorBidi"/>
          <w:sz w:val="24"/>
          <w:szCs w:val="24"/>
        </w:rPr>
        <w:t xml:space="preserve">Berry, C.R., B.C. Burden and W.G. Howell. </w:t>
      </w:r>
      <w:r w:rsidR="00EC0B69">
        <w:rPr>
          <w:rFonts w:asciiTheme="majorBidi" w:hAnsiTheme="majorBidi" w:cstheme="majorBidi"/>
          <w:sz w:val="24"/>
          <w:szCs w:val="24"/>
        </w:rPr>
        <w:t>(</w:t>
      </w:r>
      <w:r w:rsidRPr="00F02F93">
        <w:rPr>
          <w:rFonts w:asciiTheme="majorBidi" w:hAnsiTheme="majorBidi" w:cstheme="majorBidi"/>
          <w:sz w:val="24"/>
          <w:szCs w:val="24"/>
        </w:rPr>
        <w:t>2010</w:t>
      </w:r>
      <w:r w:rsidR="00EC0B69">
        <w:rPr>
          <w:rFonts w:asciiTheme="majorBidi" w:hAnsiTheme="majorBidi" w:cstheme="majorBidi"/>
          <w:sz w:val="24"/>
          <w:szCs w:val="24"/>
        </w:rPr>
        <w:t>)</w:t>
      </w:r>
      <w:r w:rsidRPr="00F02F93">
        <w:rPr>
          <w:rFonts w:asciiTheme="majorBidi" w:hAnsiTheme="majorBidi" w:cstheme="majorBidi"/>
          <w:sz w:val="24"/>
          <w:szCs w:val="24"/>
        </w:rPr>
        <w:t xml:space="preserve">. ‘After Enactment: The Lives and Deaths of Federal Programs’, </w:t>
      </w:r>
      <w:r w:rsidRPr="00F02F93">
        <w:rPr>
          <w:rFonts w:asciiTheme="majorBidi" w:hAnsiTheme="majorBidi" w:cstheme="majorBidi"/>
          <w:i/>
          <w:iCs/>
          <w:sz w:val="24"/>
          <w:szCs w:val="24"/>
        </w:rPr>
        <w:t>American Journal of Political Science</w:t>
      </w:r>
      <w:r w:rsidRPr="00F02F93">
        <w:rPr>
          <w:rFonts w:asciiTheme="majorBidi" w:hAnsiTheme="majorBidi" w:cstheme="majorBidi"/>
          <w:sz w:val="24"/>
          <w:szCs w:val="24"/>
        </w:rPr>
        <w:t>, 54, 1, 1–17.</w:t>
      </w:r>
    </w:p>
    <w:p w14:paraId="7927D5A8" w14:textId="169A6E77" w:rsidR="00C14F02" w:rsidRDefault="00C14F02" w:rsidP="00A275BB">
      <w:pPr>
        <w:spacing w:line="480" w:lineRule="auto"/>
        <w:rPr>
          <w:rFonts w:asciiTheme="majorBidi" w:hAnsiTheme="majorBidi" w:cstheme="majorBidi"/>
          <w:sz w:val="24"/>
          <w:szCs w:val="24"/>
        </w:rPr>
      </w:pPr>
      <w:r w:rsidRPr="00C14F02">
        <w:rPr>
          <w:rFonts w:asciiTheme="majorBidi" w:hAnsiTheme="majorBidi" w:cstheme="majorBidi"/>
          <w:sz w:val="24"/>
          <w:szCs w:val="24"/>
        </w:rPr>
        <w:t xml:space="preserve">Bertelli, A.M., Sinclair, J.A. and Lee, H., </w:t>
      </w:r>
      <w:r w:rsidR="00EC0B69">
        <w:rPr>
          <w:rFonts w:asciiTheme="majorBidi" w:hAnsiTheme="majorBidi" w:cstheme="majorBidi"/>
          <w:sz w:val="24"/>
          <w:szCs w:val="24"/>
        </w:rPr>
        <w:t>(</w:t>
      </w:r>
      <w:r w:rsidRPr="00C14F02">
        <w:rPr>
          <w:rFonts w:asciiTheme="majorBidi" w:hAnsiTheme="majorBidi" w:cstheme="majorBidi"/>
          <w:sz w:val="24"/>
          <w:szCs w:val="24"/>
        </w:rPr>
        <w:t>2015</w:t>
      </w:r>
      <w:r w:rsidR="00EC0B69">
        <w:rPr>
          <w:rFonts w:asciiTheme="majorBidi" w:hAnsiTheme="majorBidi" w:cstheme="majorBidi"/>
          <w:sz w:val="24"/>
          <w:szCs w:val="24"/>
        </w:rPr>
        <w:t>)</w:t>
      </w:r>
      <w:r w:rsidRPr="00C14F02">
        <w:rPr>
          <w:rFonts w:asciiTheme="majorBidi" w:hAnsiTheme="majorBidi" w:cstheme="majorBidi"/>
          <w:sz w:val="24"/>
          <w:szCs w:val="24"/>
        </w:rPr>
        <w:t>. Media attention and the demise of agency independence: Evidence from a mass administrative reorganization in Britain. </w:t>
      </w:r>
      <w:r w:rsidRPr="00C14F02">
        <w:rPr>
          <w:rFonts w:asciiTheme="majorBidi" w:hAnsiTheme="majorBidi" w:cstheme="majorBidi"/>
          <w:i/>
          <w:iCs/>
          <w:sz w:val="24"/>
          <w:szCs w:val="24"/>
        </w:rPr>
        <w:t>Public Administration</w:t>
      </w:r>
      <w:r w:rsidRPr="00C14F02">
        <w:rPr>
          <w:rFonts w:asciiTheme="majorBidi" w:hAnsiTheme="majorBidi" w:cstheme="majorBidi"/>
          <w:sz w:val="24"/>
          <w:szCs w:val="24"/>
        </w:rPr>
        <w:t>, </w:t>
      </w:r>
      <w:r w:rsidRPr="00C14F02">
        <w:rPr>
          <w:rFonts w:asciiTheme="majorBidi" w:hAnsiTheme="majorBidi" w:cstheme="majorBidi"/>
          <w:i/>
          <w:iCs/>
          <w:sz w:val="24"/>
          <w:szCs w:val="24"/>
        </w:rPr>
        <w:t>93</w:t>
      </w:r>
      <w:r w:rsidRPr="00C14F02">
        <w:rPr>
          <w:rFonts w:asciiTheme="majorBidi" w:hAnsiTheme="majorBidi" w:cstheme="majorBidi"/>
          <w:sz w:val="24"/>
          <w:szCs w:val="24"/>
        </w:rPr>
        <w:t>(4), pp.1168-1183.</w:t>
      </w:r>
    </w:p>
    <w:p w14:paraId="7AECD351" w14:textId="5837038B" w:rsidR="00C14F02" w:rsidRDefault="00C14F02" w:rsidP="00A275BB">
      <w:pPr>
        <w:spacing w:line="480" w:lineRule="auto"/>
        <w:rPr>
          <w:rFonts w:asciiTheme="majorBidi" w:hAnsiTheme="majorBidi" w:cstheme="majorBidi"/>
          <w:sz w:val="24"/>
          <w:szCs w:val="24"/>
        </w:rPr>
      </w:pPr>
      <w:r w:rsidRPr="00C14F02">
        <w:rPr>
          <w:rFonts w:asciiTheme="majorBidi" w:hAnsiTheme="majorBidi" w:cstheme="majorBidi"/>
          <w:sz w:val="24"/>
          <w:szCs w:val="24"/>
        </w:rPr>
        <w:t xml:space="preserve">Bertelli, A.M. and Sinclair, J.A., </w:t>
      </w:r>
      <w:r w:rsidR="00EC0B69">
        <w:rPr>
          <w:rFonts w:asciiTheme="majorBidi" w:hAnsiTheme="majorBidi" w:cstheme="majorBidi"/>
          <w:sz w:val="24"/>
          <w:szCs w:val="24"/>
        </w:rPr>
        <w:t>(</w:t>
      </w:r>
      <w:r w:rsidRPr="00C14F02">
        <w:rPr>
          <w:rFonts w:asciiTheme="majorBidi" w:hAnsiTheme="majorBidi" w:cstheme="majorBidi"/>
          <w:sz w:val="24"/>
          <w:szCs w:val="24"/>
        </w:rPr>
        <w:t>2016</w:t>
      </w:r>
      <w:r w:rsidR="00EC0B69">
        <w:rPr>
          <w:rFonts w:asciiTheme="majorBidi" w:hAnsiTheme="majorBidi" w:cstheme="majorBidi"/>
          <w:sz w:val="24"/>
          <w:szCs w:val="24"/>
        </w:rPr>
        <w:t>)</w:t>
      </w:r>
      <w:r w:rsidRPr="00C14F02">
        <w:rPr>
          <w:rFonts w:asciiTheme="majorBidi" w:hAnsiTheme="majorBidi" w:cstheme="majorBidi"/>
          <w:sz w:val="24"/>
          <w:szCs w:val="24"/>
        </w:rPr>
        <w:t>. Democratic accountability and the politics of mass administrative reorganization. </w:t>
      </w:r>
      <w:r w:rsidRPr="00C14F02">
        <w:rPr>
          <w:rFonts w:asciiTheme="majorBidi" w:hAnsiTheme="majorBidi" w:cstheme="majorBidi"/>
          <w:i/>
          <w:iCs/>
          <w:sz w:val="24"/>
          <w:szCs w:val="24"/>
        </w:rPr>
        <w:t>British Journal of Political Science</w:t>
      </w:r>
      <w:r w:rsidRPr="00C14F02">
        <w:rPr>
          <w:rFonts w:asciiTheme="majorBidi" w:hAnsiTheme="majorBidi" w:cstheme="majorBidi"/>
          <w:sz w:val="24"/>
          <w:szCs w:val="24"/>
        </w:rPr>
        <w:t>, pp.1-21.</w:t>
      </w:r>
    </w:p>
    <w:p w14:paraId="254D7D01" w14:textId="5D93941D" w:rsidR="00BE5109" w:rsidRDefault="00BE5109" w:rsidP="00A275BB">
      <w:pPr>
        <w:spacing w:line="480" w:lineRule="auto"/>
        <w:rPr>
          <w:rFonts w:asciiTheme="majorBidi" w:hAnsiTheme="majorBidi" w:cstheme="majorBidi"/>
          <w:sz w:val="24"/>
          <w:szCs w:val="24"/>
        </w:rPr>
      </w:pPr>
      <w:r w:rsidRPr="00BE5109">
        <w:rPr>
          <w:rFonts w:asciiTheme="majorBidi" w:hAnsiTheme="majorBidi" w:cstheme="majorBidi"/>
          <w:sz w:val="24"/>
          <w:szCs w:val="24"/>
        </w:rPr>
        <w:t xml:space="preserve">Billis, D., </w:t>
      </w:r>
      <w:r w:rsidR="00EC0B69">
        <w:rPr>
          <w:rFonts w:asciiTheme="majorBidi" w:hAnsiTheme="majorBidi" w:cstheme="majorBidi"/>
          <w:sz w:val="24"/>
          <w:szCs w:val="24"/>
        </w:rPr>
        <w:t>(</w:t>
      </w:r>
      <w:r w:rsidRPr="00BE5109">
        <w:rPr>
          <w:rFonts w:asciiTheme="majorBidi" w:hAnsiTheme="majorBidi" w:cstheme="majorBidi"/>
          <w:sz w:val="24"/>
          <w:szCs w:val="24"/>
        </w:rPr>
        <w:t>1981</w:t>
      </w:r>
      <w:r w:rsidR="00EC0B69">
        <w:rPr>
          <w:rFonts w:asciiTheme="majorBidi" w:hAnsiTheme="majorBidi" w:cstheme="majorBidi"/>
          <w:sz w:val="24"/>
          <w:szCs w:val="24"/>
        </w:rPr>
        <w:t>)</w:t>
      </w:r>
      <w:r w:rsidRPr="00BE5109">
        <w:rPr>
          <w:rFonts w:asciiTheme="majorBidi" w:hAnsiTheme="majorBidi" w:cstheme="majorBidi"/>
          <w:sz w:val="24"/>
          <w:szCs w:val="24"/>
        </w:rPr>
        <w:t>. At risk of prevention. </w:t>
      </w:r>
      <w:r w:rsidRPr="00BE5109">
        <w:rPr>
          <w:rFonts w:asciiTheme="majorBidi" w:hAnsiTheme="majorBidi" w:cstheme="majorBidi"/>
          <w:i/>
          <w:iCs/>
          <w:sz w:val="24"/>
          <w:szCs w:val="24"/>
        </w:rPr>
        <w:t>Journal of Social Policy</w:t>
      </w:r>
      <w:r w:rsidRPr="00BE5109">
        <w:rPr>
          <w:rFonts w:asciiTheme="majorBidi" w:hAnsiTheme="majorBidi" w:cstheme="majorBidi"/>
          <w:sz w:val="24"/>
          <w:szCs w:val="24"/>
        </w:rPr>
        <w:t>, </w:t>
      </w:r>
      <w:r w:rsidRPr="00BE5109">
        <w:rPr>
          <w:rFonts w:asciiTheme="majorBidi" w:hAnsiTheme="majorBidi" w:cstheme="majorBidi"/>
          <w:i/>
          <w:iCs/>
          <w:sz w:val="24"/>
          <w:szCs w:val="24"/>
        </w:rPr>
        <w:t>10</w:t>
      </w:r>
      <w:r w:rsidRPr="00BE5109">
        <w:rPr>
          <w:rFonts w:asciiTheme="majorBidi" w:hAnsiTheme="majorBidi" w:cstheme="majorBidi"/>
          <w:sz w:val="24"/>
          <w:szCs w:val="24"/>
        </w:rPr>
        <w:t>(3), pp.367-379.</w:t>
      </w:r>
    </w:p>
    <w:p w14:paraId="309908EF" w14:textId="3C8B67FF" w:rsidR="00EF7113" w:rsidRDefault="00C14F02" w:rsidP="00A275BB">
      <w:pPr>
        <w:spacing w:line="480" w:lineRule="auto"/>
        <w:rPr>
          <w:rFonts w:asciiTheme="majorBidi" w:hAnsiTheme="majorBidi" w:cstheme="majorBidi"/>
          <w:sz w:val="24"/>
          <w:szCs w:val="24"/>
        </w:rPr>
      </w:pPr>
      <w:r w:rsidRPr="00C14F02">
        <w:rPr>
          <w:rFonts w:asciiTheme="majorBidi" w:hAnsiTheme="majorBidi" w:cstheme="majorBidi"/>
          <w:sz w:val="24"/>
          <w:szCs w:val="24"/>
        </w:rPr>
        <w:t xml:space="preserve">Boin, A., Kuipers, S. and Steenbergen, M., </w:t>
      </w:r>
      <w:r w:rsidR="00EC0B69">
        <w:rPr>
          <w:rFonts w:asciiTheme="majorBidi" w:hAnsiTheme="majorBidi" w:cstheme="majorBidi"/>
          <w:sz w:val="24"/>
          <w:szCs w:val="24"/>
        </w:rPr>
        <w:t>(</w:t>
      </w:r>
      <w:r w:rsidRPr="00C14F02">
        <w:rPr>
          <w:rFonts w:asciiTheme="majorBidi" w:hAnsiTheme="majorBidi" w:cstheme="majorBidi"/>
          <w:sz w:val="24"/>
          <w:szCs w:val="24"/>
        </w:rPr>
        <w:t>2010</w:t>
      </w:r>
      <w:r w:rsidR="00EC0B69">
        <w:rPr>
          <w:rFonts w:asciiTheme="majorBidi" w:hAnsiTheme="majorBidi" w:cstheme="majorBidi"/>
          <w:sz w:val="24"/>
          <w:szCs w:val="24"/>
        </w:rPr>
        <w:t>)</w:t>
      </w:r>
      <w:r w:rsidRPr="00C14F02">
        <w:rPr>
          <w:rFonts w:asciiTheme="majorBidi" w:hAnsiTheme="majorBidi" w:cstheme="majorBidi"/>
          <w:sz w:val="24"/>
          <w:szCs w:val="24"/>
        </w:rPr>
        <w:t>. The life and death of public organizations: A question of institutional design?. </w:t>
      </w:r>
      <w:r w:rsidRPr="00C14F02">
        <w:rPr>
          <w:rFonts w:asciiTheme="majorBidi" w:hAnsiTheme="majorBidi" w:cstheme="majorBidi"/>
          <w:i/>
          <w:iCs/>
          <w:sz w:val="24"/>
          <w:szCs w:val="24"/>
        </w:rPr>
        <w:t>Governance</w:t>
      </w:r>
      <w:r w:rsidRPr="00C14F02">
        <w:rPr>
          <w:rFonts w:asciiTheme="majorBidi" w:hAnsiTheme="majorBidi" w:cstheme="majorBidi"/>
          <w:sz w:val="24"/>
          <w:szCs w:val="24"/>
        </w:rPr>
        <w:t>, </w:t>
      </w:r>
      <w:r w:rsidRPr="00C14F02">
        <w:rPr>
          <w:rFonts w:asciiTheme="majorBidi" w:hAnsiTheme="majorBidi" w:cstheme="majorBidi"/>
          <w:i/>
          <w:iCs/>
          <w:sz w:val="24"/>
          <w:szCs w:val="24"/>
        </w:rPr>
        <w:t>23</w:t>
      </w:r>
      <w:r w:rsidRPr="00C14F02">
        <w:rPr>
          <w:rFonts w:asciiTheme="majorBidi" w:hAnsiTheme="majorBidi" w:cstheme="majorBidi"/>
          <w:sz w:val="24"/>
          <w:szCs w:val="24"/>
        </w:rPr>
        <w:t>(3), pp.385-410.</w:t>
      </w:r>
    </w:p>
    <w:p w14:paraId="208300D8" w14:textId="1B42CF4B" w:rsidR="00A275BB" w:rsidRPr="00AD6B6A" w:rsidRDefault="00A275BB" w:rsidP="00A275BB">
      <w:pPr>
        <w:spacing w:line="480" w:lineRule="auto"/>
        <w:rPr>
          <w:rFonts w:asciiTheme="majorBidi" w:hAnsiTheme="majorBidi" w:cstheme="majorBidi"/>
          <w:sz w:val="24"/>
          <w:szCs w:val="24"/>
        </w:rPr>
      </w:pPr>
      <w:r>
        <w:rPr>
          <w:rFonts w:asciiTheme="majorBidi" w:hAnsiTheme="majorBidi" w:cstheme="majorBidi"/>
          <w:sz w:val="24"/>
          <w:szCs w:val="24"/>
        </w:rPr>
        <w:t xml:space="preserve">Boswell, J. (2016). </w:t>
      </w:r>
      <w:r w:rsidRPr="00A275BB">
        <w:rPr>
          <w:rFonts w:asciiTheme="majorBidi" w:hAnsiTheme="majorBidi" w:cstheme="majorBidi"/>
          <w:i/>
          <w:iCs/>
          <w:sz w:val="24"/>
          <w:szCs w:val="24"/>
        </w:rPr>
        <w:t>The Real War on Obesity: Contesting knowledge and meaning in a public health crisis</w:t>
      </w:r>
      <w:r>
        <w:rPr>
          <w:rFonts w:asciiTheme="majorBidi" w:hAnsiTheme="majorBidi" w:cstheme="majorBidi"/>
          <w:sz w:val="24"/>
          <w:szCs w:val="24"/>
        </w:rPr>
        <w:t>. Palgrave Macmillan: Basingstoke.</w:t>
      </w:r>
    </w:p>
    <w:p w14:paraId="664A143B" w14:textId="3A6BC4B6" w:rsidR="00C14F02" w:rsidRDefault="00C14F02" w:rsidP="00A275BB">
      <w:pPr>
        <w:spacing w:line="480" w:lineRule="auto"/>
        <w:rPr>
          <w:rFonts w:asciiTheme="majorBidi" w:hAnsiTheme="majorBidi" w:cstheme="majorBidi"/>
          <w:sz w:val="24"/>
          <w:szCs w:val="24"/>
        </w:rPr>
      </w:pPr>
      <w:r w:rsidRPr="00C14F02">
        <w:rPr>
          <w:rFonts w:asciiTheme="majorBidi" w:hAnsiTheme="majorBidi" w:cstheme="majorBidi"/>
          <w:sz w:val="24"/>
          <w:szCs w:val="24"/>
        </w:rPr>
        <w:t xml:space="preserve">Boswell, J., </w:t>
      </w:r>
      <w:r w:rsidR="00A275BB">
        <w:rPr>
          <w:rFonts w:asciiTheme="majorBidi" w:hAnsiTheme="majorBidi" w:cstheme="majorBidi"/>
          <w:sz w:val="24"/>
          <w:szCs w:val="24"/>
        </w:rPr>
        <w:t>(</w:t>
      </w:r>
      <w:r w:rsidRPr="00C14F02">
        <w:rPr>
          <w:rFonts w:asciiTheme="majorBidi" w:hAnsiTheme="majorBidi" w:cstheme="majorBidi"/>
          <w:sz w:val="24"/>
          <w:szCs w:val="24"/>
        </w:rPr>
        <w:t>2018</w:t>
      </w:r>
      <w:r w:rsidR="00A275BB">
        <w:rPr>
          <w:rFonts w:asciiTheme="majorBidi" w:hAnsiTheme="majorBidi" w:cstheme="majorBidi"/>
          <w:sz w:val="24"/>
          <w:szCs w:val="24"/>
        </w:rPr>
        <w:t>)</w:t>
      </w:r>
      <w:r w:rsidRPr="00C14F02">
        <w:rPr>
          <w:rFonts w:asciiTheme="majorBidi" w:hAnsiTheme="majorBidi" w:cstheme="majorBidi"/>
          <w:sz w:val="24"/>
          <w:szCs w:val="24"/>
        </w:rPr>
        <w:t>. Keeping expertise in its place: understanding arm’s-length bodies as boundary organisations. </w:t>
      </w:r>
      <w:r w:rsidRPr="00C14F02">
        <w:rPr>
          <w:rFonts w:asciiTheme="majorBidi" w:hAnsiTheme="majorBidi" w:cstheme="majorBidi"/>
          <w:i/>
          <w:iCs/>
          <w:sz w:val="24"/>
          <w:szCs w:val="24"/>
        </w:rPr>
        <w:t>Policy &amp; Politics</w:t>
      </w:r>
      <w:r w:rsidRPr="00C14F02">
        <w:rPr>
          <w:rFonts w:asciiTheme="majorBidi" w:hAnsiTheme="majorBidi" w:cstheme="majorBidi"/>
          <w:sz w:val="24"/>
          <w:szCs w:val="24"/>
        </w:rPr>
        <w:t>.</w:t>
      </w:r>
      <w:r w:rsidR="008669FF">
        <w:rPr>
          <w:rFonts w:asciiTheme="majorBidi" w:hAnsiTheme="majorBidi" w:cstheme="majorBidi"/>
          <w:sz w:val="24"/>
          <w:szCs w:val="24"/>
        </w:rPr>
        <w:t xml:space="preserve"> 46, 3, 485-501.</w:t>
      </w:r>
    </w:p>
    <w:p w14:paraId="5E304237" w14:textId="77777777" w:rsidR="007B7101" w:rsidRPr="007B7101" w:rsidRDefault="007B7101" w:rsidP="007B7101">
      <w:pPr>
        <w:spacing w:line="480" w:lineRule="auto"/>
        <w:rPr>
          <w:rFonts w:asciiTheme="majorBidi" w:hAnsiTheme="majorBidi" w:cstheme="majorBidi"/>
          <w:sz w:val="24"/>
          <w:szCs w:val="24"/>
        </w:rPr>
      </w:pPr>
    </w:p>
    <w:p w14:paraId="6678E9FE" w14:textId="59BA7F13" w:rsidR="007B7101" w:rsidRDefault="007B7101" w:rsidP="007B7101">
      <w:pPr>
        <w:spacing w:line="480" w:lineRule="auto"/>
        <w:rPr>
          <w:rFonts w:asciiTheme="majorBidi" w:hAnsiTheme="majorBidi" w:cstheme="majorBidi"/>
          <w:sz w:val="24"/>
          <w:szCs w:val="24"/>
        </w:rPr>
      </w:pPr>
      <w:r w:rsidRPr="007B7101">
        <w:rPr>
          <w:rFonts w:asciiTheme="majorBidi" w:hAnsiTheme="majorBidi" w:cstheme="majorBidi"/>
          <w:sz w:val="24"/>
          <w:szCs w:val="24"/>
        </w:rPr>
        <w:t xml:space="preserve">Cairney. P. and St Denny, E. (forthcoming, 2019) </w:t>
      </w:r>
      <w:r w:rsidRPr="007B7101">
        <w:rPr>
          <w:rFonts w:asciiTheme="majorBidi" w:hAnsiTheme="majorBidi" w:cstheme="majorBidi"/>
          <w:i/>
          <w:iCs/>
          <w:sz w:val="24"/>
          <w:szCs w:val="24"/>
        </w:rPr>
        <w:t>Why Isn't Government Policy More Preventive?</w:t>
      </w:r>
      <w:r>
        <w:rPr>
          <w:rFonts w:asciiTheme="majorBidi" w:hAnsiTheme="majorBidi" w:cstheme="majorBidi"/>
          <w:sz w:val="24"/>
          <w:szCs w:val="24"/>
        </w:rPr>
        <w:t xml:space="preserve"> Oxford: Oxford University Press</w:t>
      </w:r>
      <w:r w:rsidRPr="007B7101">
        <w:rPr>
          <w:rFonts w:asciiTheme="majorBidi" w:hAnsiTheme="majorBidi" w:cstheme="majorBidi"/>
          <w:sz w:val="24"/>
          <w:szCs w:val="24"/>
        </w:rPr>
        <w:t>.</w:t>
      </w:r>
    </w:p>
    <w:p w14:paraId="3B3292CC" w14:textId="792FBC8F" w:rsidR="00F02F93" w:rsidRPr="00F02F93" w:rsidRDefault="00F02F93" w:rsidP="00A275BB">
      <w:pPr>
        <w:spacing w:line="480" w:lineRule="auto"/>
        <w:rPr>
          <w:rFonts w:asciiTheme="majorBidi" w:hAnsiTheme="majorBidi" w:cstheme="majorBidi"/>
          <w:sz w:val="24"/>
          <w:szCs w:val="24"/>
        </w:rPr>
      </w:pPr>
      <w:r w:rsidRPr="00F02F93">
        <w:rPr>
          <w:rFonts w:asciiTheme="majorBidi" w:hAnsiTheme="majorBidi" w:cstheme="majorBidi"/>
          <w:sz w:val="24"/>
          <w:szCs w:val="24"/>
        </w:rPr>
        <w:t xml:space="preserve">Carpenter, D.P. and D.E. Lewis. </w:t>
      </w:r>
      <w:r w:rsidR="00A275BB">
        <w:rPr>
          <w:rFonts w:asciiTheme="majorBidi" w:hAnsiTheme="majorBidi" w:cstheme="majorBidi"/>
          <w:sz w:val="24"/>
          <w:szCs w:val="24"/>
        </w:rPr>
        <w:t>(</w:t>
      </w:r>
      <w:r w:rsidRPr="00F02F93">
        <w:rPr>
          <w:rFonts w:asciiTheme="majorBidi" w:hAnsiTheme="majorBidi" w:cstheme="majorBidi"/>
          <w:sz w:val="24"/>
          <w:szCs w:val="24"/>
        </w:rPr>
        <w:t>2004</w:t>
      </w:r>
      <w:r w:rsidR="00A275BB">
        <w:rPr>
          <w:rFonts w:asciiTheme="majorBidi" w:hAnsiTheme="majorBidi" w:cstheme="majorBidi"/>
          <w:sz w:val="24"/>
          <w:szCs w:val="24"/>
        </w:rPr>
        <w:t>)</w:t>
      </w:r>
      <w:r w:rsidRPr="00F02F93">
        <w:rPr>
          <w:rFonts w:asciiTheme="majorBidi" w:hAnsiTheme="majorBidi" w:cstheme="majorBidi"/>
          <w:sz w:val="24"/>
          <w:szCs w:val="24"/>
        </w:rPr>
        <w:t>. ‘Political Learning from Rare Events: Poisson Inference, Fiscal Constraints, and the Lifetime</w:t>
      </w:r>
      <w:r>
        <w:rPr>
          <w:rFonts w:asciiTheme="majorBidi" w:hAnsiTheme="majorBidi" w:cstheme="majorBidi"/>
          <w:sz w:val="24"/>
          <w:szCs w:val="24"/>
        </w:rPr>
        <w:t xml:space="preserve"> </w:t>
      </w:r>
      <w:r w:rsidRPr="00F02F93">
        <w:rPr>
          <w:rFonts w:asciiTheme="majorBidi" w:hAnsiTheme="majorBidi" w:cstheme="majorBidi"/>
          <w:sz w:val="24"/>
          <w:szCs w:val="24"/>
        </w:rPr>
        <w:t xml:space="preserve">of Bureaus’, </w:t>
      </w:r>
      <w:r w:rsidRPr="00F02F93">
        <w:rPr>
          <w:rFonts w:asciiTheme="majorBidi" w:hAnsiTheme="majorBidi" w:cstheme="majorBidi"/>
          <w:i/>
          <w:iCs/>
          <w:sz w:val="24"/>
          <w:szCs w:val="24"/>
        </w:rPr>
        <w:t>Political Analysis</w:t>
      </w:r>
      <w:r w:rsidRPr="00F02F93">
        <w:rPr>
          <w:rFonts w:asciiTheme="majorBidi" w:hAnsiTheme="majorBidi" w:cstheme="majorBidi"/>
          <w:sz w:val="24"/>
          <w:szCs w:val="24"/>
        </w:rPr>
        <w:t>, 12, 3, 201–32.</w:t>
      </w:r>
    </w:p>
    <w:p w14:paraId="1F75D2BA" w14:textId="37C4DD5F" w:rsidR="00B733CE" w:rsidRDefault="00B733CE" w:rsidP="00A275BB">
      <w:pPr>
        <w:spacing w:line="480" w:lineRule="auto"/>
        <w:rPr>
          <w:rFonts w:asciiTheme="majorBidi" w:hAnsiTheme="majorBidi" w:cstheme="majorBidi"/>
          <w:sz w:val="24"/>
          <w:szCs w:val="24"/>
        </w:rPr>
      </w:pPr>
      <w:r w:rsidRPr="00B733CE">
        <w:rPr>
          <w:rFonts w:asciiTheme="majorBidi" w:hAnsiTheme="majorBidi" w:cstheme="majorBidi"/>
          <w:sz w:val="24"/>
          <w:szCs w:val="24"/>
        </w:rPr>
        <w:t xml:space="preserve">Catford J. </w:t>
      </w:r>
      <w:r w:rsidR="00A275BB">
        <w:rPr>
          <w:rFonts w:asciiTheme="majorBidi" w:hAnsiTheme="majorBidi" w:cstheme="majorBidi"/>
          <w:sz w:val="24"/>
          <w:szCs w:val="24"/>
        </w:rPr>
        <w:t>(</w:t>
      </w:r>
      <w:r>
        <w:rPr>
          <w:rFonts w:asciiTheme="majorBidi" w:hAnsiTheme="majorBidi" w:cstheme="majorBidi"/>
          <w:sz w:val="24"/>
          <w:szCs w:val="24"/>
        </w:rPr>
        <w:t>2009</w:t>
      </w:r>
      <w:r w:rsidR="00A275BB">
        <w:rPr>
          <w:rFonts w:asciiTheme="majorBidi" w:hAnsiTheme="majorBidi" w:cstheme="majorBidi"/>
          <w:sz w:val="24"/>
          <w:szCs w:val="24"/>
        </w:rPr>
        <w:t>)</w:t>
      </w:r>
      <w:r>
        <w:rPr>
          <w:rFonts w:asciiTheme="majorBidi" w:hAnsiTheme="majorBidi" w:cstheme="majorBidi"/>
          <w:sz w:val="24"/>
          <w:szCs w:val="24"/>
        </w:rPr>
        <w:t xml:space="preserve">. </w:t>
      </w:r>
      <w:r w:rsidRPr="00B733CE">
        <w:rPr>
          <w:rFonts w:asciiTheme="majorBidi" w:hAnsiTheme="majorBidi" w:cstheme="majorBidi"/>
          <w:sz w:val="24"/>
          <w:szCs w:val="24"/>
        </w:rPr>
        <w:t>Advancing the “science of delivery” of health promotion: not just the “science of discovery”. </w:t>
      </w:r>
      <w:r w:rsidRPr="00B733CE">
        <w:rPr>
          <w:rFonts w:asciiTheme="majorBidi" w:hAnsiTheme="majorBidi" w:cstheme="majorBidi"/>
          <w:i/>
          <w:iCs/>
          <w:sz w:val="24"/>
          <w:szCs w:val="24"/>
        </w:rPr>
        <w:t>Health Promotion International</w:t>
      </w:r>
      <w:r>
        <w:rPr>
          <w:rFonts w:asciiTheme="majorBidi" w:hAnsiTheme="majorBidi" w:cstheme="majorBidi"/>
          <w:sz w:val="24"/>
          <w:szCs w:val="24"/>
        </w:rPr>
        <w:t xml:space="preserve"> </w:t>
      </w:r>
      <w:r w:rsidRPr="00B733CE">
        <w:rPr>
          <w:rFonts w:asciiTheme="majorBidi" w:hAnsiTheme="majorBidi" w:cstheme="majorBidi"/>
          <w:sz w:val="24"/>
          <w:szCs w:val="24"/>
        </w:rPr>
        <w:t>24:1-5.</w:t>
      </w:r>
    </w:p>
    <w:p w14:paraId="1EB172B0" w14:textId="01321D3B" w:rsidR="00F02F93" w:rsidRDefault="00F02F93" w:rsidP="00A275BB">
      <w:pPr>
        <w:spacing w:line="480" w:lineRule="auto"/>
        <w:rPr>
          <w:rFonts w:asciiTheme="majorBidi" w:hAnsiTheme="majorBidi" w:cstheme="majorBidi"/>
          <w:sz w:val="24"/>
          <w:szCs w:val="24"/>
        </w:rPr>
      </w:pPr>
      <w:r w:rsidRPr="00F02F93">
        <w:rPr>
          <w:rFonts w:asciiTheme="majorBidi" w:hAnsiTheme="majorBidi" w:cstheme="majorBidi"/>
          <w:sz w:val="24"/>
          <w:szCs w:val="24"/>
        </w:rPr>
        <w:t xml:space="preserve">Corbett, J. and Howard, C., </w:t>
      </w:r>
      <w:r w:rsidR="00A275BB">
        <w:rPr>
          <w:rFonts w:asciiTheme="majorBidi" w:hAnsiTheme="majorBidi" w:cstheme="majorBidi"/>
          <w:sz w:val="24"/>
          <w:szCs w:val="24"/>
        </w:rPr>
        <w:t>(</w:t>
      </w:r>
      <w:r w:rsidRPr="00F02F93">
        <w:rPr>
          <w:rFonts w:asciiTheme="majorBidi" w:hAnsiTheme="majorBidi" w:cstheme="majorBidi"/>
          <w:sz w:val="24"/>
          <w:szCs w:val="24"/>
        </w:rPr>
        <w:t>2017</w:t>
      </w:r>
      <w:r w:rsidR="00A275BB">
        <w:rPr>
          <w:rFonts w:asciiTheme="majorBidi" w:hAnsiTheme="majorBidi" w:cstheme="majorBidi"/>
          <w:sz w:val="24"/>
          <w:szCs w:val="24"/>
        </w:rPr>
        <w:t>)</w:t>
      </w:r>
      <w:r w:rsidRPr="00F02F93">
        <w:rPr>
          <w:rFonts w:asciiTheme="majorBidi" w:hAnsiTheme="majorBidi" w:cstheme="majorBidi"/>
          <w:sz w:val="24"/>
          <w:szCs w:val="24"/>
        </w:rPr>
        <w:t>. Why perceived size matters for agency termination. </w:t>
      </w:r>
      <w:r w:rsidRPr="00F02F93">
        <w:rPr>
          <w:rFonts w:asciiTheme="majorBidi" w:hAnsiTheme="majorBidi" w:cstheme="majorBidi"/>
          <w:i/>
          <w:iCs/>
          <w:sz w:val="24"/>
          <w:szCs w:val="24"/>
        </w:rPr>
        <w:t>Public Administration</w:t>
      </w:r>
      <w:r w:rsidRPr="00F02F93">
        <w:rPr>
          <w:rFonts w:asciiTheme="majorBidi" w:hAnsiTheme="majorBidi" w:cstheme="majorBidi"/>
          <w:sz w:val="24"/>
          <w:szCs w:val="24"/>
        </w:rPr>
        <w:t>, </w:t>
      </w:r>
      <w:r w:rsidRPr="00F02F93">
        <w:rPr>
          <w:rFonts w:asciiTheme="majorBidi" w:hAnsiTheme="majorBidi" w:cstheme="majorBidi"/>
          <w:i/>
          <w:iCs/>
          <w:sz w:val="24"/>
          <w:szCs w:val="24"/>
        </w:rPr>
        <w:t>95</w:t>
      </w:r>
      <w:r w:rsidRPr="00F02F93">
        <w:rPr>
          <w:rFonts w:asciiTheme="majorBidi" w:hAnsiTheme="majorBidi" w:cstheme="majorBidi"/>
          <w:sz w:val="24"/>
          <w:szCs w:val="24"/>
        </w:rPr>
        <w:t>(1), pp.196-213.</w:t>
      </w:r>
    </w:p>
    <w:p w14:paraId="4DF1E654" w14:textId="059A4460" w:rsidR="001C7716" w:rsidRDefault="00A275BB" w:rsidP="00A275BB">
      <w:pPr>
        <w:spacing w:line="480" w:lineRule="auto"/>
        <w:rPr>
          <w:rFonts w:asciiTheme="majorBidi" w:hAnsiTheme="majorBidi" w:cstheme="majorBidi"/>
          <w:sz w:val="24"/>
          <w:szCs w:val="24"/>
        </w:rPr>
      </w:pPr>
      <w:r>
        <w:rPr>
          <w:rFonts w:asciiTheme="majorBidi" w:hAnsiTheme="majorBidi" w:cstheme="majorBidi"/>
          <w:sz w:val="24"/>
          <w:szCs w:val="24"/>
        </w:rPr>
        <w:t>Corcoran, M.</w:t>
      </w:r>
      <w:r w:rsidR="005939E8">
        <w:rPr>
          <w:rFonts w:asciiTheme="majorBidi" w:hAnsiTheme="majorBidi" w:cstheme="majorBidi"/>
          <w:sz w:val="24"/>
          <w:szCs w:val="24"/>
        </w:rPr>
        <w:t xml:space="preserve"> </w:t>
      </w:r>
      <w:r>
        <w:rPr>
          <w:rFonts w:asciiTheme="majorBidi" w:hAnsiTheme="majorBidi" w:cstheme="majorBidi"/>
          <w:sz w:val="24"/>
          <w:szCs w:val="24"/>
        </w:rPr>
        <w:t>(</w:t>
      </w:r>
      <w:r w:rsidR="005939E8">
        <w:rPr>
          <w:rFonts w:asciiTheme="majorBidi" w:hAnsiTheme="majorBidi" w:cstheme="majorBidi"/>
          <w:sz w:val="24"/>
          <w:szCs w:val="24"/>
        </w:rPr>
        <w:t>2011</w:t>
      </w:r>
      <w:r>
        <w:rPr>
          <w:rFonts w:asciiTheme="majorBidi" w:hAnsiTheme="majorBidi" w:cstheme="majorBidi"/>
          <w:sz w:val="24"/>
          <w:szCs w:val="24"/>
        </w:rPr>
        <w:t>)</w:t>
      </w:r>
      <w:r w:rsidR="005939E8">
        <w:rPr>
          <w:rFonts w:asciiTheme="majorBidi" w:hAnsiTheme="majorBidi" w:cstheme="majorBidi"/>
          <w:sz w:val="24"/>
          <w:szCs w:val="24"/>
        </w:rPr>
        <w:t>.</w:t>
      </w:r>
      <w:r w:rsidR="001C7716" w:rsidRPr="00EF7113">
        <w:rPr>
          <w:rFonts w:asciiTheme="majorBidi" w:hAnsiTheme="majorBidi" w:cstheme="majorBidi"/>
          <w:sz w:val="24"/>
          <w:szCs w:val="24"/>
        </w:rPr>
        <w:t xml:space="preserve"> ‘Dilemmas of institutionalization in the penal voluntary sector’, </w:t>
      </w:r>
      <w:r w:rsidR="001C7716" w:rsidRPr="00EF7113">
        <w:rPr>
          <w:rFonts w:asciiTheme="majorBidi" w:hAnsiTheme="majorBidi" w:cstheme="majorBidi"/>
          <w:i/>
          <w:sz w:val="24"/>
          <w:szCs w:val="24"/>
        </w:rPr>
        <w:t>Critical Social Policy</w:t>
      </w:r>
      <w:r w:rsidR="001C7716" w:rsidRPr="00EF7113">
        <w:rPr>
          <w:rFonts w:asciiTheme="majorBidi" w:hAnsiTheme="majorBidi" w:cstheme="majorBidi"/>
          <w:sz w:val="24"/>
          <w:szCs w:val="24"/>
        </w:rPr>
        <w:t>, 31(1): 30-52.</w:t>
      </w:r>
    </w:p>
    <w:p w14:paraId="3754CF7C" w14:textId="352F630A" w:rsidR="00F02F93" w:rsidRPr="00F02F93" w:rsidRDefault="00F02F93" w:rsidP="00A275BB">
      <w:pPr>
        <w:spacing w:line="480" w:lineRule="auto"/>
        <w:rPr>
          <w:rFonts w:asciiTheme="majorBidi" w:hAnsiTheme="majorBidi" w:cstheme="majorBidi"/>
          <w:sz w:val="24"/>
          <w:szCs w:val="24"/>
        </w:rPr>
      </w:pPr>
      <w:r w:rsidRPr="00F02F93">
        <w:rPr>
          <w:rFonts w:asciiTheme="majorBidi" w:hAnsiTheme="majorBidi" w:cstheme="majorBidi"/>
          <w:sz w:val="24"/>
          <w:szCs w:val="24"/>
        </w:rPr>
        <w:t xml:space="preserve">Dommett, K. and C. Skelcher. </w:t>
      </w:r>
      <w:r w:rsidR="00A275BB">
        <w:rPr>
          <w:rFonts w:asciiTheme="majorBidi" w:hAnsiTheme="majorBidi" w:cstheme="majorBidi"/>
          <w:sz w:val="24"/>
          <w:szCs w:val="24"/>
        </w:rPr>
        <w:t>(</w:t>
      </w:r>
      <w:r w:rsidRPr="00F02F93">
        <w:rPr>
          <w:rFonts w:asciiTheme="majorBidi" w:hAnsiTheme="majorBidi" w:cstheme="majorBidi"/>
          <w:sz w:val="24"/>
          <w:szCs w:val="24"/>
        </w:rPr>
        <w:t>2014</w:t>
      </w:r>
      <w:r w:rsidR="00A275BB">
        <w:rPr>
          <w:rFonts w:asciiTheme="majorBidi" w:hAnsiTheme="majorBidi" w:cstheme="majorBidi"/>
          <w:sz w:val="24"/>
          <w:szCs w:val="24"/>
        </w:rPr>
        <w:t>)</w:t>
      </w:r>
      <w:r w:rsidRPr="00F02F93">
        <w:rPr>
          <w:rFonts w:asciiTheme="majorBidi" w:hAnsiTheme="majorBidi" w:cstheme="majorBidi"/>
          <w:sz w:val="24"/>
          <w:szCs w:val="24"/>
        </w:rPr>
        <w:t>. ‘Opening the Black Box of Administrative Reform: A Strategic-Relational Analysis of Agency</w:t>
      </w:r>
      <w:r>
        <w:rPr>
          <w:rFonts w:asciiTheme="majorBidi" w:hAnsiTheme="majorBidi" w:cstheme="majorBidi"/>
          <w:sz w:val="24"/>
          <w:szCs w:val="24"/>
        </w:rPr>
        <w:t xml:space="preserve"> </w:t>
      </w:r>
      <w:r w:rsidRPr="00F02F93">
        <w:rPr>
          <w:rFonts w:asciiTheme="majorBidi" w:hAnsiTheme="majorBidi" w:cstheme="majorBidi"/>
          <w:sz w:val="24"/>
          <w:szCs w:val="24"/>
        </w:rPr>
        <w:t xml:space="preserve">Responses to Termination Threats’, </w:t>
      </w:r>
      <w:r w:rsidRPr="00F02F93">
        <w:rPr>
          <w:rFonts w:asciiTheme="majorBidi" w:hAnsiTheme="majorBidi" w:cstheme="majorBidi"/>
          <w:i/>
          <w:iCs/>
          <w:sz w:val="24"/>
          <w:szCs w:val="24"/>
        </w:rPr>
        <w:t>International Public Management Journal</w:t>
      </w:r>
      <w:r w:rsidRPr="00F02F93">
        <w:rPr>
          <w:rFonts w:asciiTheme="majorBidi" w:hAnsiTheme="majorBidi" w:cstheme="majorBidi"/>
          <w:sz w:val="24"/>
          <w:szCs w:val="24"/>
        </w:rPr>
        <w:t>, 17, 4, 540–63.</w:t>
      </w:r>
    </w:p>
    <w:p w14:paraId="1D68B8D4" w14:textId="04B03C3B" w:rsidR="00B97807" w:rsidRDefault="00A275BB" w:rsidP="00A275BB">
      <w:pPr>
        <w:spacing w:line="480" w:lineRule="auto"/>
        <w:rPr>
          <w:rFonts w:asciiTheme="majorBidi" w:hAnsiTheme="majorBidi" w:cstheme="majorBidi"/>
          <w:sz w:val="24"/>
          <w:szCs w:val="24"/>
        </w:rPr>
      </w:pPr>
      <w:r>
        <w:rPr>
          <w:rFonts w:asciiTheme="majorBidi" w:hAnsiTheme="majorBidi" w:cstheme="majorBidi"/>
          <w:sz w:val="24"/>
          <w:szCs w:val="24"/>
        </w:rPr>
        <w:t>Donaghy, T. B.</w:t>
      </w:r>
      <w:r w:rsidR="005939E8">
        <w:rPr>
          <w:rFonts w:asciiTheme="majorBidi" w:hAnsiTheme="majorBidi" w:cstheme="majorBidi"/>
          <w:sz w:val="24"/>
          <w:szCs w:val="24"/>
        </w:rPr>
        <w:t xml:space="preserve">, </w:t>
      </w:r>
      <w:r>
        <w:rPr>
          <w:rFonts w:asciiTheme="majorBidi" w:hAnsiTheme="majorBidi" w:cstheme="majorBidi"/>
          <w:sz w:val="24"/>
          <w:szCs w:val="24"/>
        </w:rPr>
        <w:t>(</w:t>
      </w:r>
      <w:r w:rsidR="005939E8">
        <w:rPr>
          <w:rFonts w:asciiTheme="majorBidi" w:hAnsiTheme="majorBidi" w:cstheme="majorBidi"/>
          <w:sz w:val="24"/>
          <w:szCs w:val="24"/>
        </w:rPr>
        <w:t>2004</w:t>
      </w:r>
      <w:r>
        <w:rPr>
          <w:rFonts w:asciiTheme="majorBidi" w:hAnsiTheme="majorBidi" w:cstheme="majorBidi"/>
          <w:sz w:val="24"/>
          <w:szCs w:val="24"/>
        </w:rPr>
        <w:t>)</w:t>
      </w:r>
      <w:r w:rsidR="005939E8">
        <w:rPr>
          <w:rFonts w:asciiTheme="majorBidi" w:hAnsiTheme="majorBidi" w:cstheme="majorBidi"/>
          <w:sz w:val="24"/>
          <w:szCs w:val="24"/>
        </w:rPr>
        <w:t>.</w:t>
      </w:r>
      <w:r w:rsidR="00B97807" w:rsidRPr="00EF7113">
        <w:rPr>
          <w:rFonts w:asciiTheme="majorBidi" w:hAnsiTheme="majorBidi" w:cstheme="majorBidi"/>
          <w:sz w:val="24"/>
          <w:szCs w:val="24"/>
        </w:rPr>
        <w:t xml:space="preserve"> ‘Applications of mainstreaming in Australia and Northern Ireland’, </w:t>
      </w:r>
      <w:r w:rsidR="00B97807" w:rsidRPr="00EF7113">
        <w:rPr>
          <w:rFonts w:asciiTheme="majorBidi" w:hAnsiTheme="majorBidi" w:cstheme="majorBidi"/>
          <w:i/>
          <w:sz w:val="24"/>
          <w:szCs w:val="24"/>
        </w:rPr>
        <w:t>International Political Science Review</w:t>
      </w:r>
      <w:r w:rsidR="00B97807" w:rsidRPr="00EF7113">
        <w:rPr>
          <w:rFonts w:asciiTheme="majorBidi" w:hAnsiTheme="majorBidi" w:cstheme="majorBidi"/>
          <w:sz w:val="24"/>
          <w:szCs w:val="24"/>
        </w:rPr>
        <w:t>, 25(4): 393-410.</w:t>
      </w:r>
    </w:p>
    <w:p w14:paraId="4F0FD88C" w14:textId="07C0CDE9" w:rsidR="00752B57" w:rsidRDefault="005939E8" w:rsidP="00A275BB">
      <w:pPr>
        <w:spacing w:line="480" w:lineRule="auto"/>
        <w:rPr>
          <w:rFonts w:asciiTheme="majorBidi" w:hAnsiTheme="majorBidi" w:cstheme="majorBidi"/>
          <w:sz w:val="24"/>
          <w:szCs w:val="24"/>
        </w:rPr>
      </w:pPr>
      <w:r>
        <w:rPr>
          <w:rFonts w:asciiTheme="majorBidi" w:hAnsiTheme="majorBidi" w:cstheme="majorBidi"/>
          <w:sz w:val="24"/>
          <w:szCs w:val="24"/>
        </w:rPr>
        <w:t xml:space="preserve">Elston, T. </w:t>
      </w:r>
      <w:r w:rsidR="00A275BB">
        <w:rPr>
          <w:rFonts w:asciiTheme="majorBidi" w:hAnsiTheme="majorBidi" w:cstheme="majorBidi"/>
          <w:sz w:val="24"/>
          <w:szCs w:val="24"/>
        </w:rPr>
        <w:t>(</w:t>
      </w:r>
      <w:r>
        <w:rPr>
          <w:rFonts w:asciiTheme="majorBidi" w:hAnsiTheme="majorBidi" w:cstheme="majorBidi"/>
          <w:sz w:val="24"/>
          <w:szCs w:val="24"/>
        </w:rPr>
        <w:t>2014</w:t>
      </w:r>
      <w:r w:rsidR="00A275BB">
        <w:rPr>
          <w:rFonts w:asciiTheme="majorBidi" w:hAnsiTheme="majorBidi" w:cstheme="majorBidi"/>
          <w:sz w:val="24"/>
          <w:szCs w:val="24"/>
        </w:rPr>
        <w:t>)</w:t>
      </w:r>
      <w:r w:rsidR="00752B57" w:rsidRPr="00752B57">
        <w:rPr>
          <w:rFonts w:asciiTheme="majorBidi" w:hAnsiTheme="majorBidi" w:cstheme="majorBidi"/>
          <w:sz w:val="24"/>
          <w:szCs w:val="24"/>
        </w:rPr>
        <w:t>. Not So ‘Arm's Length’: Reinterpreting Agencies in UK Central Government. </w:t>
      </w:r>
      <w:r w:rsidR="00752B57" w:rsidRPr="00752B57">
        <w:rPr>
          <w:rFonts w:asciiTheme="majorBidi" w:hAnsiTheme="majorBidi" w:cstheme="majorBidi"/>
          <w:i/>
          <w:iCs/>
          <w:sz w:val="24"/>
          <w:szCs w:val="24"/>
        </w:rPr>
        <w:t>Public Administration</w:t>
      </w:r>
      <w:r w:rsidR="00752B57" w:rsidRPr="00752B57">
        <w:rPr>
          <w:rFonts w:asciiTheme="majorBidi" w:hAnsiTheme="majorBidi" w:cstheme="majorBidi"/>
          <w:sz w:val="24"/>
          <w:szCs w:val="24"/>
        </w:rPr>
        <w:t>, </w:t>
      </w:r>
      <w:r w:rsidR="00752B57" w:rsidRPr="00752B57">
        <w:rPr>
          <w:rFonts w:asciiTheme="majorBidi" w:hAnsiTheme="majorBidi" w:cstheme="majorBidi"/>
          <w:i/>
          <w:iCs/>
          <w:sz w:val="24"/>
          <w:szCs w:val="24"/>
        </w:rPr>
        <w:t>92</w:t>
      </w:r>
      <w:r w:rsidR="00752B57" w:rsidRPr="00752B57">
        <w:rPr>
          <w:rFonts w:asciiTheme="majorBidi" w:hAnsiTheme="majorBidi" w:cstheme="majorBidi"/>
          <w:sz w:val="24"/>
          <w:szCs w:val="24"/>
        </w:rPr>
        <w:t>(2), 458-476.</w:t>
      </w:r>
    </w:p>
    <w:p w14:paraId="3C088B31" w14:textId="657B10FE" w:rsidR="00752B57" w:rsidRDefault="005939E8" w:rsidP="00A275BB">
      <w:pPr>
        <w:spacing w:line="480" w:lineRule="auto"/>
        <w:rPr>
          <w:rFonts w:asciiTheme="majorBidi" w:hAnsiTheme="majorBidi" w:cstheme="majorBidi"/>
          <w:sz w:val="24"/>
          <w:szCs w:val="24"/>
        </w:rPr>
      </w:pPr>
      <w:r>
        <w:rPr>
          <w:rFonts w:asciiTheme="majorBidi" w:hAnsiTheme="majorBidi" w:cstheme="majorBidi"/>
          <w:sz w:val="24"/>
          <w:szCs w:val="24"/>
        </w:rPr>
        <w:t xml:space="preserve">Elston, T. </w:t>
      </w:r>
      <w:r w:rsidR="00A275BB">
        <w:rPr>
          <w:rFonts w:asciiTheme="majorBidi" w:hAnsiTheme="majorBidi" w:cstheme="majorBidi"/>
          <w:sz w:val="24"/>
          <w:szCs w:val="24"/>
        </w:rPr>
        <w:t>(</w:t>
      </w:r>
      <w:r>
        <w:rPr>
          <w:rFonts w:asciiTheme="majorBidi" w:hAnsiTheme="majorBidi" w:cstheme="majorBidi"/>
          <w:sz w:val="24"/>
          <w:szCs w:val="24"/>
        </w:rPr>
        <w:t>2017</w:t>
      </w:r>
      <w:r w:rsidR="00A275BB">
        <w:rPr>
          <w:rFonts w:asciiTheme="majorBidi" w:hAnsiTheme="majorBidi" w:cstheme="majorBidi"/>
          <w:sz w:val="24"/>
          <w:szCs w:val="24"/>
        </w:rPr>
        <w:t>)</w:t>
      </w:r>
      <w:r w:rsidR="00752B57" w:rsidRPr="00752B57">
        <w:rPr>
          <w:rFonts w:asciiTheme="majorBidi" w:hAnsiTheme="majorBidi" w:cstheme="majorBidi"/>
          <w:sz w:val="24"/>
          <w:szCs w:val="24"/>
        </w:rPr>
        <w:t>. Conflict between explicit and tacit public service bargains in UK executive agencies. </w:t>
      </w:r>
      <w:r w:rsidR="00752B57" w:rsidRPr="00752B57">
        <w:rPr>
          <w:rFonts w:asciiTheme="majorBidi" w:hAnsiTheme="majorBidi" w:cstheme="majorBidi"/>
          <w:i/>
          <w:iCs/>
          <w:sz w:val="24"/>
          <w:szCs w:val="24"/>
        </w:rPr>
        <w:t>Governance</w:t>
      </w:r>
      <w:r w:rsidR="00752B57" w:rsidRPr="00752B57">
        <w:rPr>
          <w:rFonts w:asciiTheme="majorBidi" w:hAnsiTheme="majorBidi" w:cstheme="majorBidi"/>
          <w:sz w:val="24"/>
          <w:szCs w:val="24"/>
        </w:rPr>
        <w:t>, </w:t>
      </w:r>
      <w:r w:rsidR="00752B57" w:rsidRPr="00752B57">
        <w:rPr>
          <w:rFonts w:asciiTheme="majorBidi" w:hAnsiTheme="majorBidi" w:cstheme="majorBidi"/>
          <w:i/>
          <w:iCs/>
          <w:sz w:val="24"/>
          <w:szCs w:val="24"/>
        </w:rPr>
        <w:t>30</w:t>
      </w:r>
      <w:r w:rsidR="00752B57" w:rsidRPr="00752B57">
        <w:rPr>
          <w:rFonts w:asciiTheme="majorBidi" w:hAnsiTheme="majorBidi" w:cstheme="majorBidi"/>
          <w:sz w:val="24"/>
          <w:szCs w:val="24"/>
        </w:rPr>
        <w:t>(1), 85-104.</w:t>
      </w:r>
    </w:p>
    <w:p w14:paraId="713D2410" w14:textId="040A941E" w:rsidR="00C14F02" w:rsidRDefault="00C14F02" w:rsidP="00A275BB">
      <w:pPr>
        <w:spacing w:line="480" w:lineRule="auto"/>
        <w:rPr>
          <w:rFonts w:asciiTheme="majorBidi" w:hAnsiTheme="majorBidi" w:cstheme="majorBidi"/>
          <w:sz w:val="24"/>
          <w:szCs w:val="24"/>
        </w:rPr>
      </w:pPr>
      <w:r w:rsidRPr="00C14F02">
        <w:rPr>
          <w:rFonts w:asciiTheme="majorBidi" w:hAnsiTheme="majorBidi" w:cstheme="majorBidi"/>
          <w:sz w:val="24"/>
          <w:szCs w:val="24"/>
        </w:rPr>
        <w:t xml:space="preserve">Flinders, M., </w:t>
      </w:r>
      <w:r w:rsidR="00A275BB">
        <w:rPr>
          <w:rFonts w:asciiTheme="majorBidi" w:hAnsiTheme="majorBidi" w:cstheme="majorBidi"/>
          <w:sz w:val="24"/>
          <w:szCs w:val="24"/>
        </w:rPr>
        <w:t>(</w:t>
      </w:r>
      <w:r w:rsidRPr="00C14F02">
        <w:rPr>
          <w:rFonts w:asciiTheme="majorBidi" w:hAnsiTheme="majorBidi" w:cstheme="majorBidi"/>
          <w:sz w:val="24"/>
          <w:szCs w:val="24"/>
        </w:rPr>
        <w:t>2008</w:t>
      </w:r>
      <w:r w:rsidR="00A275BB">
        <w:rPr>
          <w:rFonts w:asciiTheme="majorBidi" w:hAnsiTheme="majorBidi" w:cstheme="majorBidi"/>
          <w:sz w:val="24"/>
          <w:szCs w:val="24"/>
        </w:rPr>
        <w:t>)</w:t>
      </w:r>
      <w:r w:rsidRPr="00C14F02">
        <w:rPr>
          <w:rFonts w:asciiTheme="majorBidi" w:hAnsiTheme="majorBidi" w:cstheme="majorBidi"/>
          <w:sz w:val="24"/>
          <w:szCs w:val="24"/>
        </w:rPr>
        <w:t>. </w:t>
      </w:r>
      <w:r w:rsidRPr="00C14F02">
        <w:rPr>
          <w:rFonts w:asciiTheme="majorBidi" w:hAnsiTheme="majorBidi" w:cstheme="majorBidi"/>
          <w:i/>
          <w:iCs/>
          <w:sz w:val="24"/>
          <w:szCs w:val="24"/>
        </w:rPr>
        <w:t>Delegated governance and the British state: Walking without order</w:t>
      </w:r>
      <w:r w:rsidRPr="00C14F02">
        <w:rPr>
          <w:rFonts w:asciiTheme="majorBidi" w:hAnsiTheme="majorBidi" w:cstheme="majorBidi"/>
          <w:sz w:val="24"/>
          <w:szCs w:val="24"/>
        </w:rPr>
        <w:t>. Oxford University Press</w:t>
      </w:r>
      <w:r w:rsidR="00A275BB">
        <w:rPr>
          <w:rFonts w:asciiTheme="majorBidi" w:hAnsiTheme="majorBidi" w:cstheme="majorBidi"/>
          <w:sz w:val="24"/>
          <w:szCs w:val="24"/>
        </w:rPr>
        <w:t>: Oxford</w:t>
      </w:r>
      <w:r w:rsidRPr="00C14F02">
        <w:rPr>
          <w:rFonts w:asciiTheme="majorBidi" w:hAnsiTheme="majorBidi" w:cstheme="majorBidi"/>
          <w:sz w:val="24"/>
          <w:szCs w:val="24"/>
        </w:rPr>
        <w:t>.</w:t>
      </w:r>
    </w:p>
    <w:p w14:paraId="562985E5" w14:textId="2150DDC7" w:rsidR="00F02F93" w:rsidRPr="00F02F93" w:rsidRDefault="00F02F93" w:rsidP="00A275BB">
      <w:pPr>
        <w:spacing w:line="480" w:lineRule="auto"/>
        <w:rPr>
          <w:rFonts w:asciiTheme="majorBidi" w:hAnsiTheme="majorBidi" w:cstheme="majorBidi"/>
          <w:sz w:val="24"/>
          <w:szCs w:val="24"/>
        </w:rPr>
      </w:pPr>
      <w:r w:rsidRPr="00C71611">
        <w:rPr>
          <w:rFonts w:asciiTheme="majorBidi" w:hAnsiTheme="majorBidi" w:cstheme="majorBidi"/>
          <w:sz w:val="24"/>
          <w:szCs w:val="24"/>
        </w:rPr>
        <w:lastRenderedPageBreak/>
        <w:t xml:space="preserve">Flinders, M. and C. Skelcher. </w:t>
      </w:r>
      <w:r w:rsidR="00A275BB">
        <w:rPr>
          <w:rFonts w:asciiTheme="majorBidi" w:hAnsiTheme="majorBidi" w:cstheme="majorBidi"/>
          <w:sz w:val="24"/>
          <w:szCs w:val="24"/>
        </w:rPr>
        <w:t>(</w:t>
      </w:r>
      <w:r w:rsidRPr="00F02F93">
        <w:rPr>
          <w:rFonts w:asciiTheme="majorBidi" w:hAnsiTheme="majorBidi" w:cstheme="majorBidi"/>
          <w:sz w:val="24"/>
          <w:szCs w:val="24"/>
        </w:rPr>
        <w:t>2012</w:t>
      </w:r>
      <w:r w:rsidR="00A275BB">
        <w:rPr>
          <w:rFonts w:asciiTheme="majorBidi" w:hAnsiTheme="majorBidi" w:cstheme="majorBidi"/>
          <w:sz w:val="24"/>
          <w:szCs w:val="24"/>
        </w:rPr>
        <w:t>)</w:t>
      </w:r>
      <w:r w:rsidRPr="00F02F93">
        <w:rPr>
          <w:rFonts w:asciiTheme="majorBidi" w:hAnsiTheme="majorBidi" w:cstheme="majorBidi"/>
          <w:sz w:val="24"/>
          <w:szCs w:val="24"/>
        </w:rPr>
        <w:t xml:space="preserve">. ‘Shrinking the Quango State: Five Challenges in Reforming Quangos’, </w:t>
      </w:r>
      <w:r w:rsidRPr="00F02F93">
        <w:rPr>
          <w:rFonts w:asciiTheme="majorBidi" w:hAnsiTheme="majorBidi" w:cstheme="majorBidi"/>
          <w:i/>
          <w:iCs/>
          <w:sz w:val="24"/>
          <w:szCs w:val="24"/>
        </w:rPr>
        <w:t>Public Money &amp; Management</w:t>
      </w:r>
      <w:r w:rsidRPr="00F02F93">
        <w:rPr>
          <w:rFonts w:asciiTheme="majorBidi" w:hAnsiTheme="majorBidi" w:cstheme="majorBidi"/>
          <w:sz w:val="24"/>
          <w:szCs w:val="24"/>
        </w:rPr>
        <w:t>, 32, 5, 327–34.</w:t>
      </w:r>
    </w:p>
    <w:p w14:paraId="6317EDF0" w14:textId="02DC121E" w:rsidR="00F02F93" w:rsidRPr="00F02F93" w:rsidRDefault="00F02F93" w:rsidP="00A275BB">
      <w:pPr>
        <w:spacing w:line="480" w:lineRule="auto"/>
        <w:rPr>
          <w:rFonts w:asciiTheme="majorBidi" w:hAnsiTheme="majorBidi" w:cstheme="majorBidi"/>
          <w:sz w:val="24"/>
          <w:szCs w:val="24"/>
        </w:rPr>
      </w:pPr>
      <w:r w:rsidRPr="00F02F93">
        <w:rPr>
          <w:rFonts w:asciiTheme="majorBidi" w:hAnsiTheme="majorBidi" w:cstheme="majorBidi"/>
          <w:sz w:val="24"/>
          <w:szCs w:val="24"/>
        </w:rPr>
        <w:t>Flinders, M., K. Dom</w:t>
      </w:r>
      <w:r w:rsidR="005939E8">
        <w:rPr>
          <w:rFonts w:asciiTheme="majorBidi" w:hAnsiTheme="majorBidi" w:cstheme="majorBidi"/>
          <w:sz w:val="24"/>
          <w:szCs w:val="24"/>
        </w:rPr>
        <w:t xml:space="preserve">mett and K. Tonkiss. </w:t>
      </w:r>
      <w:r w:rsidR="00A275BB">
        <w:rPr>
          <w:rFonts w:asciiTheme="majorBidi" w:hAnsiTheme="majorBidi" w:cstheme="majorBidi"/>
          <w:sz w:val="24"/>
          <w:szCs w:val="24"/>
        </w:rPr>
        <w:t>(</w:t>
      </w:r>
      <w:r w:rsidR="005939E8">
        <w:rPr>
          <w:rFonts w:asciiTheme="majorBidi" w:hAnsiTheme="majorBidi" w:cstheme="majorBidi"/>
          <w:sz w:val="24"/>
          <w:szCs w:val="24"/>
        </w:rPr>
        <w:t>2014</w:t>
      </w:r>
      <w:r w:rsidR="00A275BB">
        <w:rPr>
          <w:rFonts w:asciiTheme="majorBidi" w:hAnsiTheme="majorBidi" w:cstheme="majorBidi"/>
          <w:sz w:val="24"/>
          <w:szCs w:val="24"/>
        </w:rPr>
        <w:t>)</w:t>
      </w:r>
      <w:r w:rsidR="005939E8">
        <w:rPr>
          <w:rFonts w:asciiTheme="majorBidi" w:hAnsiTheme="majorBidi" w:cstheme="majorBidi"/>
          <w:sz w:val="24"/>
          <w:szCs w:val="24"/>
        </w:rPr>
        <w:t>. ‘Bonfi</w:t>
      </w:r>
      <w:r w:rsidRPr="00F02F93">
        <w:rPr>
          <w:rFonts w:asciiTheme="majorBidi" w:hAnsiTheme="majorBidi" w:cstheme="majorBidi"/>
          <w:sz w:val="24"/>
          <w:szCs w:val="24"/>
        </w:rPr>
        <w:t>res and Barbecues: Coalition Governance and the Politics of Quango</w:t>
      </w:r>
      <w:r>
        <w:rPr>
          <w:rFonts w:asciiTheme="majorBidi" w:hAnsiTheme="majorBidi" w:cstheme="majorBidi"/>
          <w:sz w:val="24"/>
          <w:szCs w:val="24"/>
        </w:rPr>
        <w:t xml:space="preserve"> </w:t>
      </w:r>
      <w:r w:rsidRPr="00F02F93">
        <w:rPr>
          <w:rFonts w:asciiTheme="majorBidi" w:hAnsiTheme="majorBidi" w:cstheme="majorBidi"/>
          <w:sz w:val="24"/>
          <w:szCs w:val="24"/>
        </w:rPr>
        <w:t xml:space="preserve">Reform’, </w:t>
      </w:r>
      <w:r w:rsidRPr="00F02F93">
        <w:rPr>
          <w:rFonts w:asciiTheme="majorBidi" w:hAnsiTheme="majorBidi" w:cstheme="majorBidi"/>
          <w:i/>
          <w:iCs/>
          <w:sz w:val="24"/>
          <w:szCs w:val="24"/>
        </w:rPr>
        <w:t>Contemporary British History</w:t>
      </w:r>
      <w:r w:rsidRPr="00F02F93">
        <w:rPr>
          <w:rFonts w:asciiTheme="majorBidi" w:hAnsiTheme="majorBidi" w:cstheme="majorBidi"/>
          <w:sz w:val="24"/>
          <w:szCs w:val="24"/>
        </w:rPr>
        <w:t>, 28, 1, 56–80.</w:t>
      </w:r>
    </w:p>
    <w:p w14:paraId="6AA48A92" w14:textId="66F7FA09" w:rsidR="00FE40CB" w:rsidRPr="00A275BB" w:rsidRDefault="00FE40CB"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Friel</w:t>
      </w:r>
      <w:r w:rsidR="00B733CE">
        <w:rPr>
          <w:rFonts w:asciiTheme="majorBidi" w:hAnsiTheme="majorBidi" w:cstheme="majorBidi"/>
          <w:sz w:val="24"/>
          <w:szCs w:val="24"/>
        </w:rPr>
        <w:t>, S.</w:t>
      </w:r>
      <w:r w:rsidRPr="00EF7113">
        <w:rPr>
          <w:rFonts w:asciiTheme="majorBidi" w:hAnsiTheme="majorBidi" w:cstheme="majorBidi"/>
          <w:sz w:val="24"/>
          <w:szCs w:val="24"/>
        </w:rPr>
        <w:t xml:space="preserve"> </w:t>
      </w:r>
      <w:r w:rsidR="00A275BB">
        <w:rPr>
          <w:rFonts w:asciiTheme="majorBidi" w:hAnsiTheme="majorBidi" w:cstheme="majorBidi"/>
          <w:sz w:val="24"/>
          <w:szCs w:val="24"/>
        </w:rPr>
        <w:t>(</w:t>
      </w:r>
      <w:r w:rsidRPr="00EF7113">
        <w:rPr>
          <w:rFonts w:asciiTheme="majorBidi" w:hAnsiTheme="majorBidi" w:cstheme="majorBidi"/>
          <w:sz w:val="24"/>
          <w:szCs w:val="24"/>
        </w:rPr>
        <w:t>2013</w:t>
      </w:r>
      <w:r w:rsidR="00A275BB">
        <w:rPr>
          <w:rFonts w:asciiTheme="majorBidi" w:hAnsiTheme="majorBidi" w:cstheme="majorBidi"/>
          <w:sz w:val="24"/>
          <w:szCs w:val="24"/>
        </w:rPr>
        <w:t>).</w:t>
      </w:r>
      <w:r w:rsidR="00B733CE">
        <w:rPr>
          <w:rFonts w:asciiTheme="majorBidi" w:hAnsiTheme="majorBidi" w:cstheme="majorBidi"/>
          <w:sz w:val="24"/>
          <w:szCs w:val="24"/>
        </w:rPr>
        <w:t xml:space="preserve"> </w:t>
      </w:r>
      <w:r w:rsidR="00B733CE" w:rsidRPr="00A275BB">
        <w:rPr>
          <w:rFonts w:asciiTheme="majorBidi" w:hAnsiTheme="majorBidi" w:cstheme="majorBidi"/>
          <w:i/>
          <w:iCs/>
          <w:sz w:val="24"/>
          <w:szCs w:val="24"/>
        </w:rPr>
        <w:t>Public policy and governance to improve health equity–sharing Australian and Thailand expertise: policy paper</w:t>
      </w:r>
      <w:r w:rsidR="00A275BB">
        <w:rPr>
          <w:rFonts w:asciiTheme="majorBidi" w:hAnsiTheme="majorBidi" w:cstheme="majorBidi"/>
          <w:sz w:val="24"/>
          <w:szCs w:val="24"/>
        </w:rPr>
        <w:t>.</w:t>
      </w:r>
      <w:r w:rsidR="00B733CE">
        <w:rPr>
          <w:rFonts w:asciiTheme="majorBidi" w:hAnsiTheme="majorBidi" w:cstheme="majorBidi"/>
          <w:sz w:val="24"/>
          <w:szCs w:val="24"/>
        </w:rPr>
        <w:t xml:space="preserve"> </w:t>
      </w:r>
      <w:r w:rsidR="00B733CE" w:rsidRPr="00A275BB">
        <w:rPr>
          <w:rFonts w:asciiTheme="majorBidi" w:hAnsiTheme="majorBidi" w:cstheme="majorBidi"/>
          <w:sz w:val="24"/>
          <w:szCs w:val="24"/>
        </w:rPr>
        <w:t>ANU Working Paper</w:t>
      </w:r>
      <w:r w:rsidR="00A275BB" w:rsidRPr="00A275BB">
        <w:rPr>
          <w:rFonts w:asciiTheme="majorBidi" w:hAnsiTheme="majorBidi" w:cstheme="majorBidi"/>
          <w:sz w:val="24"/>
          <w:szCs w:val="24"/>
        </w:rPr>
        <w:t>: Canberra.</w:t>
      </w:r>
    </w:p>
    <w:p w14:paraId="67BCC357" w14:textId="39831912" w:rsidR="00B733CE" w:rsidRDefault="00B733CE" w:rsidP="00A275BB">
      <w:pPr>
        <w:spacing w:line="480" w:lineRule="auto"/>
        <w:rPr>
          <w:rFonts w:asciiTheme="majorBidi" w:hAnsiTheme="majorBidi" w:cstheme="majorBidi"/>
          <w:sz w:val="24"/>
          <w:szCs w:val="24"/>
        </w:rPr>
      </w:pPr>
      <w:r w:rsidRPr="00B733CE">
        <w:rPr>
          <w:rFonts w:asciiTheme="majorBidi" w:hAnsiTheme="majorBidi" w:cstheme="majorBidi"/>
          <w:sz w:val="24"/>
          <w:szCs w:val="24"/>
        </w:rPr>
        <w:t xml:space="preserve">Galbally, R., </w:t>
      </w:r>
      <w:r w:rsidR="00A275BB">
        <w:rPr>
          <w:rFonts w:asciiTheme="majorBidi" w:hAnsiTheme="majorBidi" w:cstheme="majorBidi"/>
          <w:sz w:val="24"/>
          <w:szCs w:val="24"/>
        </w:rPr>
        <w:t>(</w:t>
      </w:r>
      <w:r w:rsidRPr="00B733CE">
        <w:rPr>
          <w:rFonts w:asciiTheme="majorBidi" w:hAnsiTheme="majorBidi" w:cstheme="majorBidi"/>
          <w:sz w:val="24"/>
          <w:szCs w:val="24"/>
        </w:rPr>
        <w:t>2004</w:t>
      </w:r>
      <w:r w:rsidR="00A275BB">
        <w:rPr>
          <w:rFonts w:asciiTheme="majorBidi" w:hAnsiTheme="majorBidi" w:cstheme="majorBidi"/>
          <w:sz w:val="24"/>
          <w:szCs w:val="24"/>
        </w:rPr>
        <w:t>)</w:t>
      </w:r>
      <w:r w:rsidRPr="00B733CE">
        <w:rPr>
          <w:rFonts w:asciiTheme="majorBidi" w:hAnsiTheme="majorBidi" w:cstheme="majorBidi"/>
          <w:sz w:val="24"/>
          <w:szCs w:val="24"/>
        </w:rPr>
        <w:t>. </w:t>
      </w:r>
      <w:r w:rsidRPr="00B733CE">
        <w:rPr>
          <w:rFonts w:asciiTheme="majorBidi" w:hAnsiTheme="majorBidi" w:cstheme="majorBidi"/>
          <w:i/>
          <w:iCs/>
          <w:sz w:val="24"/>
          <w:szCs w:val="24"/>
        </w:rPr>
        <w:t>Just passions: The personal is political</w:t>
      </w:r>
      <w:r w:rsidRPr="00B733CE">
        <w:rPr>
          <w:rFonts w:asciiTheme="majorBidi" w:hAnsiTheme="majorBidi" w:cstheme="majorBidi"/>
          <w:sz w:val="24"/>
          <w:szCs w:val="24"/>
        </w:rPr>
        <w:t>. Pluto Press (UK).</w:t>
      </w:r>
    </w:p>
    <w:p w14:paraId="369FAFE4" w14:textId="14610CA9" w:rsidR="005E27C7" w:rsidRDefault="005E27C7" w:rsidP="00A275BB">
      <w:pPr>
        <w:spacing w:line="480" w:lineRule="auto"/>
        <w:rPr>
          <w:rFonts w:asciiTheme="majorBidi" w:hAnsiTheme="majorBidi" w:cstheme="majorBidi"/>
          <w:sz w:val="24"/>
          <w:szCs w:val="24"/>
        </w:rPr>
      </w:pPr>
      <w:r w:rsidRPr="005E27C7">
        <w:rPr>
          <w:rFonts w:asciiTheme="majorBidi" w:hAnsiTheme="majorBidi" w:cstheme="majorBidi"/>
          <w:sz w:val="24"/>
          <w:szCs w:val="24"/>
        </w:rPr>
        <w:t>Guglielmin</w:t>
      </w:r>
      <w:r>
        <w:rPr>
          <w:rFonts w:asciiTheme="majorBidi" w:hAnsiTheme="majorBidi" w:cstheme="majorBidi"/>
          <w:sz w:val="24"/>
          <w:szCs w:val="24"/>
        </w:rPr>
        <w:t xml:space="preserve">, M., C. Muntaner, P. O’Campo and K. Shankardass, </w:t>
      </w:r>
      <w:r w:rsidR="00A275BB">
        <w:rPr>
          <w:rFonts w:asciiTheme="majorBidi" w:hAnsiTheme="majorBidi" w:cstheme="majorBidi"/>
          <w:sz w:val="24"/>
          <w:szCs w:val="24"/>
        </w:rPr>
        <w:t>(</w:t>
      </w:r>
      <w:r>
        <w:rPr>
          <w:rFonts w:asciiTheme="majorBidi" w:hAnsiTheme="majorBidi" w:cstheme="majorBidi"/>
          <w:sz w:val="24"/>
          <w:szCs w:val="24"/>
        </w:rPr>
        <w:t>2018</w:t>
      </w:r>
      <w:r w:rsidR="00A275BB">
        <w:rPr>
          <w:rFonts w:asciiTheme="majorBidi" w:hAnsiTheme="majorBidi" w:cstheme="majorBidi"/>
          <w:sz w:val="24"/>
          <w:szCs w:val="24"/>
        </w:rPr>
        <w:t>)</w:t>
      </w:r>
      <w:r>
        <w:rPr>
          <w:rFonts w:asciiTheme="majorBidi" w:hAnsiTheme="majorBidi" w:cstheme="majorBidi"/>
          <w:sz w:val="24"/>
          <w:szCs w:val="24"/>
        </w:rPr>
        <w:t xml:space="preserve">. </w:t>
      </w:r>
      <w:r w:rsidRPr="005E27C7">
        <w:rPr>
          <w:rFonts w:asciiTheme="majorBidi" w:hAnsiTheme="majorBidi" w:cstheme="majorBidi"/>
          <w:sz w:val="24"/>
          <w:szCs w:val="24"/>
        </w:rPr>
        <w:t>A scoping review of the implementation o</w:t>
      </w:r>
      <w:r>
        <w:rPr>
          <w:rFonts w:asciiTheme="majorBidi" w:hAnsiTheme="majorBidi" w:cstheme="majorBidi"/>
          <w:sz w:val="24"/>
          <w:szCs w:val="24"/>
        </w:rPr>
        <w:t xml:space="preserve">f health in all policies at the </w:t>
      </w:r>
      <w:r w:rsidRPr="005E27C7">
        <w:rPr>
          <w:rFonts w:asciiTheme="majorBidi" w:hAnsiTheme="majorBidi" w:cstheme="majorBidi"/>
          <w:sz w:val="24"/>
          <w:szCs w:val="24"/>
        </w:rPr>
        <w:t>local level</w:t>
      </w:r>
      <w:r>
        <w:rPr>
          <w:rFonts w:asciiTheme="majorBidi" w:hAnsiTheme="majorBidi" w:cstheme="majorBidi"/>
          <w:sz w:val="24"/>
          <w:szCs w:val="24"/>
        </w:rPr>
        <w:t xml:space="preserve">, </w:t>
      </w:r>
      <w:r w:rsidRPr="00206413">
        <w:rPr>
          <w:rFonts w:asciiTheme="majorBidi" w:hAnsiTheme="majorBidi" w:cstheme="majorBidi"/>
          <w:i/>
          <w:sz w:val="24"/>
          <w:szCs w:val="24"/>
        </w:rPr>
        <w:t>Health Policy</w:t>
      </w:r>
      <w:r>
        <w:rPr>
          <w:rFonts w:asciiTheme="majorBidi" w:hAnsiTheme="majorBidi" w:cstheme="majorBidi"/>
          <w:sz w:val="24"/>
          <w:szCs w:val="24"/>
        </w:rPr>
        <w:t>, 122, 284-92</w:t>
      </w:r>
    </w:p>
    <w:p w14:paraId="2D9DCD41" w14:textId="7AAF05F3" w:rsidR="003D51E4" w:rsidRDefault="00B733CE" w:rsidP="00A275BB">
      <w:pPr>
        <w:spacing w:line="480" w:lineRule="auto"/>
        <w:rPr>
          <w:rFonts w:asciiTheme="majorBidi" w:hAnsiTheme="majorBidi" w:cstheme="majorBidi"/>
          <w:sz w:val="24"/>
          <w:szCs w:val="24"/>
        </w:rPr>
      </w:pPr>
      <w:r w:rsidRPr="00B733CE">
        <w:rPr>
          <w:rFonts w:asciiTheme="majorBidi" w:hAnsiTheme="majorBidi" w:cstheme="majorBidi"/>
          <w:sz w:val="24"/>
          <w:szCs w:val="24"/>
        </w:rPr>
        <w:t xml:space="preserve">Grube, D.C. and Howard, C., </w:t>
      </w:r>
      <w:r w:rsidR="00A275BB">
        <w:rPr>
          <w:rFonts w:asciiTheme="majorBidi" w:hAnsiTheme="majorBidi" w:cstheme="majorBidi"/>
          <w:sz w:val="24"/>
          <w:szCs w:val="24"/>
        </w:rPr>
        <w:t>(</w:t>
      </w:r>
      <w:r w:rsidRPr="00B733CE">
        <w:rPr>
          <w:rFonts w:asciiTheme="majorBidi" w:hAnsiTheme="majorBidi" w:cstheme="majorBidi"/>
          <w:sz w:val="24"/>
          <w:szCs w:val="24"/>
        </w:rPr>
        <w:t>2016</w:t>
      </w:r>
      <w:r w:rsidR="00A275BB">
        <w:rPr>
          <w:rFonts w:asciiTheme="majorBidi" w:hAnsiTheme="majorBidi" w:cstheme="majorBidi"/>
          <w:sz w:val="24"/>
          <w:szCs w:val="24"/>
        </w:rPr>
        <w:t>)</w:t>
      </w:r>
      <w:r w:rsidRPr="00B733CE">
        <w:rPr>
          <w:rFonts w:asciiTheme="majorBidi" w:hAnsiTheme="majorBidi" w:cstheme="majorBidi"/>
          <w:sz w:val="24"/>
          <w:szCs w:val="24"/>
        </w:rPr>
        <w:t>. Is the W</w:t>
      </w:r>
      <w:r>
        <w:rPr>
          <w:rFonts w:asciiTheme="majorBidi" w:hAnsiTheme="majorBidi" w:cstheme="majorBidi"/>
          <w:sz w:val="24"/>
          <w:szCs w:val="24"/>
        </w:rPr>
        <w:t xml:space="preserve">estminster system broken beyond </w:t>
      </w:r>
      <w:r w:rsidRPr="00B733CE">
        <w:rPr>
          <w:rFonts w:asciiTheme="majorBidi" w:hAnsiTheme="majorBidi" w:cstheme="majorBidi"/>
          <w:sz w:val="24"/>
          <w:szCs w:val="24"/>
        </w:rPr>
        <w:t>repair?. </w:t>
      </w:r>
      <w:r w:rsidRPr="00B733CE">
        <w:rPr>
          <w:rFonts w:asciiTheme="majorBidi" w:hAnsiTheme="majorBidi" w:cstheme="majorBidi"/>
          <w:i/>
          <w:iCs/>
          <w:sz w:val="24"/>
          <w:szCs w:val="24"/>
        </w:rPr>
        <w:t>Governance</w:t>
      </w:r>
      <w:r w:rsidRPr="00B733CE">
        <w:rPr>
          <w:rFonts w:asciiTheme="majorBidi" w:hAnsiTheme="majorBidi" w:cstheme="majorBidi"/>
          <w:sz w:val="24"/>
          <w:szCs w:val="24"/>
        </w:rPr>
        <w:t>, </w:t>
      </w:r>
      <w:r w:rsidRPr="00B733CE">
        <w:rPr>
          <w:rFonts w:asciiTheme="majorBidi" w:hAnsiTheme="majorBidi" w:cstheme="majorBidi"/>
          <w:i/>
          <w:iCs/>
          <w:sz w:val="24"/>
          <w:szCs w:val="24"/>
        </w:rPr>
        <w:t>29</w:t>
      </w:r>
      <w:r w:rsidRPr="00B733CE">
        <w:rPr>
          <w:rFonts w:asciiTheme="majorBidi" w:hAnsiTheme="majorBidi" w:cstheme="majorBidi"/>
          <w:sz w:val="24"/>
          <w:szCs w:val="24"/>
        </w:rPr>
        <w:t>(4), pp.467-481.</w:t>
      </w:r>
    </w:p>
    <w:p w14:paraId="7FCBE10C" w14:textId="674D6EA8" w:rsidR="00EC04A8" w:rsidRDefault="00EC04A8" w:rsidP="00A275BB">
      <w:pPr>
        <w:spacing w:line="480" w:lineRule="auto"/>
        <w:rPr>
          <w:rFonts w:asciiTheme="majorBidi" w:hAnsiTheme="majorBidi" w:cstheme="majorBidi"/>
          <w:sz w:val="24"/>
          <w:szCs w:val="24"/>
        </w:rPr>
      </w:pPr>
      <w:r w:rsidRPr="00EC04A8">
        <w:rPr>
          <w:rFonts w:asciiTheme="majorBidi" w:hAnsiTheme="majorBidi" w:cstheme="majorBidi"/>
          <w:sz w:val="24"/>
          <w:szCs w:val="24"/>
        </w:rPr>
        <w:t xml:space="preserve">Harris, A. and Mortimer, D., </w:t>
      </w:r>
      <w:r w:rsidR="00A275BB">
        <w:rPr>
          <w:rFonts w:asciiTheme="majorBidi" w:hAnsiTheme="majorBidi" w:cstheme="majorBidi"/>
          <w:sz w:val="24"/>
          <w:szCs w:val="24"/>
        </w:rPr>
        <w:t>(</w:t>
      </w:r>
      <w:r w:rsidRPr="00EC04A8">
        <w:rPr>
          <w:rFonts w:asciiTheme="majorBidi" w:hAnsiTheme="majorBidi" w:cstheme="majorBidi"/>
          <w:sz w:val="24"/>
          <w:szCs w:val="24"/>
        </w:rPr>
        <w:t>2009</w:t>
      </w:r>
      <w:r w:rsidR="00A275BB">
        <w:rPr>
          <w:rFonts w:asciiTheme="majorBidi" w:hAnsiTheme="majorBidi" w:cstheme="majorBidi"/>
          <w:sz w:val="24"/>
          <w:szCs w:val="24"/>
        </w:rPr>
        <w:t>)</w:t>
      </w:r>
      <w:r w:rsidRPr="00EC04A8">
        <w:rPr>
          <w:rFonts w:asciiTheme="majorBidi" w:hAnsiTheme="majorBidi" w:cstheme="majorBidi"/>
          <w:sz w:val="24"/>
          <w:szCs w:val="24"/>
        </w:rPr>
        <w:t>. Funding illness prevention and health promotion in Australia: a way forward. </w:t>
      </w:r>
      <w:r w:rsidRPr="00EC04A8">
        <w:rPr>
          <w:rFonts w:asciiTheme="majorBidi" w:hAnsiTheme="majorBidi" w:cstheme="majorBidi"/>
          <w:i/>
          <w:iCs/>
          <w:sz w:val="24"/>
          <w:szCs w:val="24"/>
        </w:rPr>
        <w:t>Australia and New Zealand Health Policy</w:t>
      </w:r>
      <w:r w:rsidRPr="00EC04A8">
        <w:rPr>
          <w:rFonts w:asciiTheme="majorBidi" w:hAnsiTheme="majorBidi" w:cstheme="majorBidi"/>
          <w:sz w:val="24"/>
          <w:szCs w:val="24"/>
        </w:rPr>
        <w:t>, </w:t>
      </w:r>
      <w:r w:rsidRPr="00EC04A8">
        <w:rPr>
          <w:rFonts w:asciiTheme="majorBidi" w:hAnsiTheme="majorBidi" w:cstheme="majorBidi"/>
          <w:i/>
          <w:iCs/>
          <w:sz w:val="24"/>
          <w:szCs w:val="24"/>
        </w:rPr>
        <w:t>6</w:t>
      </w:r>
      <w:r w:rsidRPr="00EC04A8">
        <w:rPr>
          <w:rFonts w:asciiTheme="majorBidi" w:hAnsiTheme="majorBidi" w:cstheme="majorBidi"/>
          <w:sz w:val="24"/>
          <w:szCs w:val="24"/>
        </w:rPr>
        <w:t>(1), p.25.</w:t>
      </w:r>
    </w:p>
    <w:p w14:paraId="5C917C0F" w14:textId="0586E071" w:rsidR="00EC04A8" w:rsidRDefault="00A275BB" w:rsidP="00A275BB">
      <w:pPr>
        <w:spacing w:line="480" w:lineRule="auto"/>
        <w:rPr>
          <w:rFonts w:asciiTheme="majorBidi" w:hAnsiTheme="majorBidi" w:cstheme="majorBidi"/>
          <w:sz w:val="24"/>
          <w:szCs w:val="24"/>
        </w:rPr>
      </w:pPr>
      <w:r>
        <w:rPr>
          <w:rFonts w:asciiTheme="majorBidi" w:hAnsiTheme="majorBidi" w:cstheme="majorBidi"/>
          <w:sz w:val="24"/>
          <w:szCs w:val="24"/>
        </w:rPr>
        <w:t>Hood, C</w:t>
      </w:r>
      <w:r w:rsidR="00EC04A8" w:rsidRPr="00EC04A8">
        <w:rPr>
          <w:rFonts w:asciiTheme="majorBidi" w:hAnsiTheme="majorBidi" w:cstheme="majorBidi"/>
          <w:sz w:val="24"/>
          <w:szCs w:val="24"/>
        </w:rPr>
        <w:t>. </w:t>
      </w:r>
      <w:r>
        <w:rPr>
          <w:rFonts w:asciiTheme="majorBidi" w:hAnsiTheme="majorBidi" w:cstheme="majorBidi"/>
          <w:sz w:val="24"/>
          <w:szCs w:val="24"/>
        </w:rPr>
        <w:t>(</w:t>
      </w:r>
      <w:r w:rsidR="00EC04A8" w:rsidRPr="00EC04A8">
        <w:rPr>
          <w:rFonts w:asciiTheme="majorBidi" w:hAnsiTheme="majorBidi" w:cstheme="majorBidi"/>
          <w:sz w:val="24"/>
          <w:szCs w:val="24"/>
        </w:rPr>
        <w:t>2002</w:t>
      </w:r>
      <w:r>
        <w:rPr>
          <w:rFonts w:asciiTheme="majorBidi" w:hAnsiTheme="majorBidi" w:cstheme="majorBidi"/>
          <w:sz w:val="24"/>
          <w:szCs w:val="24"/>
        </w:rPr>
        <w:t>)</w:t>
      </w:r>
      <w:r w:rsidR="00EC04A8" w:rsidRPr="00EC04A8">
        <w:rPr>
          <w:rFonts w:asciiTheme="majorBidi" w:hAnsiTheme="majorBidi" w:cstheme="majorBidi"/>
          <w:sz w:val="24"/>
          <w:szCs w:val="24"/>
        </w:rPr>
        <w:t>. The Risk Game and the Blame Game. </w:t>
      </w:r>
      <w:r w:rsidR="00EC04A8" w:rsidRPr="00EC04A8">
        <w:rPr>
          <w:rFonts w:asciiTheme="majorBidi" w:hAnsiTheme="majorBidi" w:cstheme="majorBidi"/>
          <w:i/>
          <w:iCs/>
          <w:sz w:val="24"/>
          <w:szCs w:val="24"/>
        </w:rPr>
        <w:t>Government and Opposition</w:t>
      </w:r>
      <w:r w:rsidR="00EC04A8" w:rsidRPr="00EC04A8">
        <w:rPr>
          <w:rFonts w:asciiTheme="majorBidi" w:hAnsiTheme="majorBidi" w:cstheme="majorBidi"/>
          <w:sz w:val="24"/>
          <w:szCs w:val="24"/>
        </w:rPr>
        <w:t> </w:t>
      </w:r>
      <w:r w:rsidR="00EC04A8" w:rsidRPr="00EC04A8">
        <w:rPr>
          <w:rFonts w:asciiTheme="majorBidi" w:hAnsiTheme="majorBidi" w:cstheme="majorBidi"/>
          <w:b/>
          <w:bCs/>
          <w:sz w:val="24"/>
          <w:szCs w:val="24"/>
        </w:rPr>
        <w:t>37</w:t>
      </w:r>
      <w:r w:rsidR="00EC04A8" w:rsidRPr="00EC04A8">
        <w:rPr>
          <w:rFonts w:asciiTheme="majorBidi" w:hAnsiTheme="majorBidi" w:cstheme="majorBidi"/>
          <w:sz w:val="24"/>
          <w:szCs w:val="24"/>
        </w:rPr>
        <w:t>(1):15–37.</w:t>
      </w:r>
    </w:p>
    <w:p w14:paraId="2A3FF3B9" w14:textId="582FC0BB" w:rsidR="001B0D9A" w:rsidRPr="001B0D9A" w:rsidRDefault="001B0D9A" w:rsidP="00A275BB">
      <w:pPr>
        <w:spacing w:line="480" w:lineRule="auto"/>
        <w:rPr>
          <w:rFonts w:asciiTheme="majorBidi" w:hAnsiTheme="majorBidi" w:cstheme="majorBidi"/>
          <w:sz w:val="24"/>
          <w:szCs w:val="24"/>
        </w:rPr>
      </w:pPr>
      <w:r w:rsidRPr="001B0D9A">
        <w:rPr>
          <w:rFonts w:asciiTheme="majorBidi" w:hAnsiTheme="majorBidi" w:cstheme="majorBidi"/>
          <w:sz w:val="24"/>
          <w:szCs w:val="24"/>
        </w:rPr>
        <w:t>Hogwood, B., Judge, D. and McVicar, M. (2001)</w:t>
      </w:r>
      <w:r w:rsidR="00A275BB">
        <w:rPr>
          <w:rFonts w:asciiTheme="majorBidi" w:hAnsiTheme="majorBidi" w:cstheme="majorBidi"/>
          <w:sz w:val="24"/>
          <w:szCs w:val="24"/>
        </w:rPr>
        <w:t>.</w:t>
      </w:r>
      <w:r w:rsidRPr="001B0D9A">
        <w:rPr>
          <w:rFonts w:asciiTheme="majorBidi" w:hAnsiTheme="majorBidi" w:cstheme="majorBidi"/>
          <w:sz w:val="24"/>
          <w:szCs w:val="24"/>
        </w:rPr>
        <w:t xml:space="preserve"> ‘Agencies, Ministers and Civil</w:t>
      </w:r>
    </w:p>
    <w:p w14:paraId="7275CFC7" w14:textId="77777777" w:rsidR="001B0D9A" w:rsidRPr="001B0D9A" w:rsidRDefault="001B0D9A" w:rsidP="00A275BB">
      <w:pPr>
        <w:spacing w:line="480" w:lineRule="auto"/>
        <w:rPr>
          <w:rFonts w:asciiTheme="majorBidi" w:hAnsiTheme="majorBidi" w:cstheme="majorBidi"/>
          <w:i/>
          <w:iCs/>
          <w:sz w:val="24"/>
          <w:szCs w:val="24"/>
        </w:rPr>
      </w:pPr>
      <w:r w:rsidRPr="001B0D9A">
        <w:rPr>
          <w:rFonts w:asciiTheme="majorBidi" w:hAnsiTheme="majorBidi" w:cstheme="majorBidi"/>
          <w:sz w:val="24"/>
          <w:szCs w:val="24"/>
        </w:rPr>
        <w:t xml:space="preserve">Servants in Britain’ in B.G. Peters, and J. Pierre, (eds) </w:t>
      </w:r>
      <w:r w:rsidRPr="001B0D9A">
        <w:rPr>
          <w:rFonts w:asciiTheme="majorBidi" w:hAnsiTheme="majorBidi" w:cstheme="majorBidi"/>
          <w:i/>
          <w:iCs/>
          <w:sz w:val="24"/>
          <w:szCs w:val="24"/>
        </w:rPr>
        <w:t>Politicians, Bureaucrats</w:t>
      </w:r>
    </w:p>
    <w:p w14:paraId="46C889E2" w14:textId="2C1FBA03" w:rsidR="001B0D9A" w:rsidRDefault="00A275BB" w:rsidP="00A275BB">
      <w:pPr>
        <w:spacing w:line="480" w:lineRule="auto"/>
        <w:rPr>
          <w:rFonts w:asciiTheme="majorBidi" w:hAnsiTheme="majorBidi" w:cstheme="majorBidi"/>
          <w:sz w:val="24"/>
          <w:szCs w:val="24"/>
        </w:rPr>
      </w:pPr>
      <w:r>
        <w:rPr>
          <w:rFonts w:asciiTheme="majorBidi" w:hAnsiTheme="majorBidi" w:cstheme="majorBidi"/>
          <w:i/>
          <w:iCs/>
          <w:sz w:val="24"/>
          <w:szCs w:val="24"/>
        </w:rPr>
        <w:t xml:space="preserve">and Administrative Reform. </w:t>
      </w:r>
      <w:r>
        <w:rPr>
          <w:rFonts w:asciiTheme="majorBidi" w:hAnsiTheme="majorBidi" w:cstheme="majorBidi"/>
          <w:sz w:val="24"/>
          <w:szCs w:val="24"/>
        </w:rPr>
        <w:t>London: Routledge</w:t>
      </w:r>
      <w:r w:rsidR="001B0D9A" w:rsidRPr="001B0D9A">
        <w:rPr>
          <w:rFonts w:asciiTheme="majorBidi" w:hAnsiTheme="majorBidi" w:cstheme="majorBidi"/>
          <w:sz w:val="24"/>
          <w:szCs w:val="24"/>
        </w:rPr>
        <w:t>.</w:t>
      </w:r>
    </w:p>
    <w:p w14:paraId="0954A33E" w14:textId="0624DE86" w:rsidR="00752B57" w:rsidRDefault="00752B57" w:rsidP="00A275BB">
      <w:pPr>
        <w:spacing w:line="480" w:lineRule="auto"/>
        <w:rPr>
          <w:rFonts w:asciiTheme="majorBidi" w:hAnsiTheme="majorBidi" w:cstheme="majorBidi"/>
          <w:sz w:val="24"/>
          <w:szCs w:val="24"/>
        </w:rPr>
      </w:pPr>
      <w:r w:rsidRPr="00752B57">
        <w:rPr>
          <w:rFonts w:asciiTheme="majorBidi" w:hAnsiTheme="majorBidi" w:cstheme="majorBidi"/>
          <w:sz w:val="24"/>
          <w:szCs w:val="24"/>
        </w:rPr>
        <w:t>Hornblow, A. (1997). New Zealand's health reforms: a clash of cultures. </w:t>
      </w:r>
      <w:r w:rsidRPr="00752B57">
        <w:rPr>
          <w:rFonts w:asciiTheme="majorBidi" w:hAnsiTheme="majorBidi" w:cstheme="majorBidi"/>
          <w:i/>
          <w:iCs/>
          <w:sz w:val="24"/>
          <w:szCs w:val="24"/>
        </w:rPr>
        <w:t>BMJ</w:t>
      </w:r>
      <w:r w:rsidRPr="00752B57">
        <w:rPr>
          <w:rFonts w:asciiTheme="majorBidi" w:hAnsiTheme="majorBidi" w:cstheme="majorBidi"/>
          <w:sz w:val="24"/>
          <w:szCs w:val="24"/>
        </w:rPr>
        <w:t>, </w:t>
      </w:r>
      <w:r w:rsidRPr="00752B57">
        <w:rPr>
          <w:rFonts w:asciiTheme="majorBidi" w:hAnsiTheme="majorBidi" w:cstheme="majorBidi"/>
          <w:i/>
          <w:iCs/>
          <w:sz w:val="24"/>
          <w:szCs w:val="24"/>
        </w:rPr>
        <w:t>314</w:t>
      </w:r>
      <w:r w:rsidRPr="00752B57">
        <w:rPr>
          <w:rFonts w:asciiTheme="majorBidi" w:hAnsiTheme="majorBidi" w:cstheme="majorBidi"/>
          <w:sz w:val="24"/>
          <w:szCs w:val="24"/>
        </w:rPr>
        <w:t>(7098), 1892.</w:t>
      </w:r>
    </w:p>
    <w:p w14:paraId="67EB37A5" w14:textId="67347581" w:rsidR="00EC04A8" w:rsidRDefault="00EC04A8" w:rsidP="00A275BB">
      <w:pPr>
        <w:spacing w:line="480" w:lineRule="auto"/>
        <w:rPr>
          <w:rFonts w:asciiTheme="majorBidi" w:hAnsiTheme="majorBidi" w:cstheme="majorBidi"/>
          <w:sz w:val="24"/>
          <w:szCs w:val="24"/>
        </w:rPr>
      </w:pPr>
      <w:r w:rsidRPr="00EC04A8">
        <w:rPr>
          <w:rFonts w:asciiTheme="majorBidi" w:hAnsiTheme="majorBidi" w:cstheme="majorBidi"/>
          <w:sz w:val="24"/>
          <w:szCs w:val="24"/>
        </w:rPr>
        <w:lastRenderedPageBreak/>
        <w:t xml:space="preserve">James, O., Petrovsky, N., Moseley, A. and Boyne, G.A., </w:t>
      </w:r>
      <w:r w:rsidR="00A275BB">
        <w:rPr>
          <w:rFonts w:asciiTheme="majorBidi" w:hAnsiTheme="majorBidi" w:cstheme="majorBidi"/>
          <w:sz w:val="24"/>
          <w:szCs w:val="24"/>
        </w:rPr>
        <w:t>(</w:t>
      </w:r>
      <w:r w:rsidRPr="00EC04A8">
        <w:rPr>
          <w:rFonts w:asciiTheme="majorBidi" w:hAnsiTheme="majorBidi" w:cstheme="majorBidi"/>
          <w:sz w:val="24"/>
          <w:szCs w:val="24"/>
        </w:rPr>
        <w:t>2016</w:t>
      </w:r>
      <w:r w:rsidR="00A275BB">
        <w:rPr>
          <w:rFonts w:asciiTheme="majorBidi" w:hAnsiTheme="majorBidi" w:cstheme="majorBidi"/>
          <w:sz w:val="24"/>
          <w:szCs w:val="24"/>
        </w:rPr>
        <w:t>)</w:t>
      </w:r>
      <w:r w:rsidRPr="00EC04A8">
        <w:rPr>
          <w:rFonts w:asciiTheme="majorBidi" w:hAnsiTheme="majorBidi" w:cstheme="majorBidi"/>
          <w:sz w:val="24"/>
          <w:szCs w:val="24"/>
        </w:rPr>
        <w:t>. The politics of agency death: ministers and the survival of government agencies in a parliamentary system. </w:t>
      </w:r>
      <w:r w:rsidRPr="00EC04A8">
        <w:rPr>
          <w:rFonts w:asciiTheme="majorBidi" w:hAnsiTheme="majorBidi" w:cstheme="majorBidi"/>
          <w:i/>
          <w:iCs/>
          <w:sz w:val="24"/>
          <w:szCs w:val="24"/>
        </w:rPr>
        <w:t>British Journal of Political Science</w:t>
      </w:r>
      <w:r w:rsidRPr="00EC04A8">
        <w:rPr>
          <w:rFonts w:asciiTheme="majorBidi" w:hAnsiTheme="majorBidi" w:cstheme="majorBidi"/>
          <w:sz w:val="24"/>
          <w:szCs w:val="24"/>
        </w:rPr>
        <w:t>, </w:t>
      </w:r>
      <w:r w:rsidRPr="00EC04A8">
        <w:rPr>
          <w:rFonts w:asciiTheme="majorBidi" w:hAnsiTheme="majorBidi" w:cstheme="majorBidi"/>
          <w:i/>
          <w:iCs/>
          <w:sz w:val="24"/>
          <w:szCs w:val="24"/>
        </w:rPr>
        <w:t>46</w:t>
      </w:r>
      <w:r w:rsidRPr="00EC04A8">
        <w:rPr>
          <w:rFonts w:asciiTheme="majorBidi" w:hAnsiTheme="majorBidi" w:cstheme="majorBidi"/>
          <w:sz w:val="24"/>
          <w:szCs w:val="24"/>
        </w:rPr>
        <w:t>(4), pp.763-784.</w:t>
      </w:r>
    </w:p>
    <w:p w14:paraId="29F35F0B" w14:textId="7C77F141" w:rsidR="00EC04A8" w:rsidRDefault="00EC04A8" w:rsidP="00A275BB">
      <w:pPr>
        <w:spacing w:line="480" w:lineRule="auto"/>
        <w:rPr>
          <w:rFonts w:asciiTheme="majorBidi" w:hAnsiTheme="majorBidi" w:cstheme="majorBidi"/>
          <w:sz w:val="24"/>
          <w:szCs w:val="24"/>
        </w:rPr>
      </w:pPr>
      <w:r w:rsidRPr="00EC04A8">
        <w:rPr>
          <w:rFonts w:asciiTheme="majorBidi" w:hAnsiTheme="majorBidi" w:cstheme="majorBidi"/>
          <w:sz w:val="24"/>
          <w:szCs w:val="24"/>
        </w:rPr>
        <w:t xml:space="preserve">Koop, C., </w:t>
      </w:r>
      <w:r w:rsidR="00A275BB">
        <w:rPr>
          <w:rFonts w:asciiTheme="majorBidi" w:hAnsiTheme="majorBidi" w:cstheme="majorBidi"/>
          <w:sz w:val="24"/>
          <w:szCs w:val="24"/>
        </w:rPr>
        <w:t>(</w:t>
      </w:r>
      <w:r w:rsidRPr="00EC04A8">
        <w:rPr>
          <w:rFonts w:asciiTheme="majorBidi" w:hAnsiTheme="majorBidi" w:cstheme="majorBidi"/>
          <w:sz w:val="24"/>
          <w:szCs w:val="24"/>
        </w:rPr>
        <w:t>2011</w:t>
      </w:r>
      <w:r w:rsidR="00A275BB">
        <w:rPr>
          <w:rFonts w:asciiTheme="majorBidi" w:hAnsiTheme="majorBidi" w:cstheme="majorBidi"/>
          <w:sz w:val="24"/>
          <w:szCs w:val="24"/>
        </w:rPr>
        <w:t>)</w:t>
      </w:r>
      <w:r w:rsidRPr="00EC04A8">
        <w:rPr>
          <w:rFonts w:asciiTheme="majorBidi" w:hAnsiTheme="majorBidi" w:cstheme="majorBidi"/>
          <w:sz w:val="24"/>
          <w:szCs w:val="24"/>
        </w:rPr>
        <w:t>. Explaining the accountability of independent agencies: The importance of political salience. </w:t>
      </w:r>
      <w:r w:rsidRPr="00EC04A8">
        <w:rPr>
          <w:rFonts w:asciiTheme="majorBidi" w:hAnsiTheme="majorBidi" w:cstheme="majorBidi"/>
          <w:i/>
          <w:iCs/>
          <w:sz w:val="24"/>
          <w:szCs w:val="24"/>
        </w:rPr>
        <w:t>Journal of Public Policy</w:t>
      </w:r>
      <w:r w:rsidRPr="00EC04A8">
        <w:rPr>
          <w:rFonts w:asciiTheme="majorBidi" w:hAnsiTheme="majorBidi" w:cstheme="majorBidi"/>
          <w:sz w:val="24"/>
          <w:szCs w:val="24"/>
        </w:rPr>
        <w:t>, </w:t>
      </w:r>
      <w:r w:rsidRPr="00EC04A8">
        <w:rPr>
          <w:rFonts w:asciiTheme="majorBidi" w:hAnsiTheme="majorBidi" w:cstheme="majorBidi"/>
          <w:i/>
          <w:iCs/>
          <w:sz w:val="24"/>
          <w:szCs w:val="24"/>
        </w:rPr>
        <w:t>31</w:t>
      </w:r>
      <w:r w:rsidRPr="00EC04A8">
        <w:rPr>
          <w:rFonts w:asciiTheme="majorBidi" w:hAnsiTheme="majorBidi" w:cstheme="majorBidi"/>
          <w:sz w:val="24"/>
          <w:szCs w:val="24"/>
        </w:rPr>
        <w:t>(2), pp.209-234.</w:t>
      </w:r>
    </w:p>
    <w:p w14:paraId="1611E4C9" w14:textId="5C7F9F43" w:rsidR="00EC04A8" w:rsidRDefault="00A275BB" w:rsidP="00A275BB">
      <w:pPr>
        <w:spacing w:line="480" w:lineRule="auto"/>
        <w:rPr>
          <w:rFonts w:asciiTheme="majorBidi" w:hAnsiTheme="majorBidi" w:cstheme="majorBidi"/>
          <w:sz w:val="24"/>
          <w:szCs w:val="24"/>
        </w:rPr>
      </w:pPr>
      <w:r w:rsidRPr="00A275BB">
        <w:rPr>
          <w:rFonts w:asciiTheme="majorBidi" w:hAnsiTheme="majorBidi" w:cstheme="majorBidi"/>
          <w:sz w:val="24"/>
          <w:szCs w:val="24"/>
        </w:rPr>
        <w:t xml:space="preserve">Lavertu, S. (2015). For fear of popular politics? Public attention and the delegation of authority to the United States executive branch. </w:t>
      </w:r>
      <w:r w:rsidRPr="00A275BB">
        <w:rPr>
          <w:rFonts w:asciiTheme="majorBidi" w:hAnsiTheme="majorBidi" w:cstheme="majorBidi"/>
          <w:i/>
          <w:iCs/>
          <w:sz w:val="24"/>
          <w:szCs w:val="24"/>
        </w:rPr>
        <w:t>Regulation &amp; Governance,</w:t>
      </w:r>
      <w:r w:rsidRPr="00A275BB">
        <w:rPr>
          <w:rFonts w:asciiTheme="majorBidi" w:hAnsiTheme="majorBidi" w:cstheme="majorBidi"/>
          <w:sz w:val="24"/>
          <w:szCs w:val="24"/>
        </w:rPr>
        <w:t xml:space="preserve"> 9(2), 160-177.</w:t>
      </w:r>
    </w:p>
    <w:p w14:paraId="79A7AFE3" w14:textId="18A038A8" w:rsidR="00F02F93" w:rsidRPr="00F02F93" w:rsidRDefault="00F02F93" w:rsidP="00A275BB">
      <w:pPr>
        <w:spacing w:line="480" w:lineRule="auto"/>
        <w:rPr>
          <w:rFonts w:asciiTheme="majorBidi" w:hAnsiTheme="majorBidi" w:cstheme="majorBidi"/>
          <w:sz w:val="24"/>
          <w:szCs w:val="24"/>
        </w:rPr>
      </w:pPr>
      <w:r w:rsidRPr="00F02F93">
        <w:rPr>
          <w:rFonts w:asciiTheme="majorBidi" w:hAnsiTheme="majorBidi" w:cstheme="majorBidi"/>
          <w:sz w:val="24"/>
          <w:szCs w:val="24"/>
        </w:rPr>
        <w:t xml:space="preserve">Lewis, D.E. </w:t>
      </w:r>
      <w:r w:rsidR="00A275BB">
        <w:rPr>
          <w:rFonts w:asciiTheme="majorBidi" w:hAnsiTheme="majorBidi" w:cstheme="majorBidi"/>
          <w:sz w:val="24"/>
          <w:szCs w:val="24"/>
        </w:rPr>
        <w:t>(</w:t>
      </w:r>
      <w:r w:rsidRPr="00F02F93">
        <w:rPr>
          <w:rFonts w:asciiTheme="majorBidi" w:hAnsiTheme="majorBidi" w:cstheme="majorBidi"/>
          <w:sz w:val="24"/>
          <w:szCs w:val="24"/>
        </w:rPr>
        <w:t>2002</w:t>
      </w:r>
      <w:r w:rsidR="00A275BB">
        <w:rPr>
          <w:rFonts w:asciiTheme="majorBidi" w:hAnsiTheme="majorBidi" w:cstheme="majorBidi"/>
          <w:sz w:val="24"/>
          <w:szCs w:val="24"/>
        </w:rPr>
        <w:t>)</w:t>
      </w:r>
      <w:r w:rsidRPr="00F02F93">
        <w:rPr>
          <w:rFonts w:asciiTheme="majorBidi" w:hAnsiTheme="majorBidi" w:cstheme="majorBidi"/>
          <w:sz w:val="24"/>
          <w:szCs w:val="24"/>
        </w:rPr>
        <w:t xml:space="preserve">. ‘The Politics of Agency Termination: Confronting the Myth of Agency Immortality’, </w:t>
      </w:r>
      <w:r w:rsidRPr="00F02F93">
        <w:rPr>
          <w:rFonts w:asciiTheme="majorBidi" w:hAnsiTheme="majorBidi" w:cstheme="majorBidi"/>
          <w:i/>
          <w:iCs/>
          <w:sz w:val="24"/>
          <w:szCs w:val="24"/>
        </w:rPr>
        <w:t>Journal of Politics</w:t>
      </w:r>
      <w:r w:rsidRPr="00F02F93">
        <w:rPr>
          <w:rFonts w:asciiTheme="majorBidi" w:hAnsiTheme="majorBidi" w:cstheme="majorBidi"/>
          <w:sz w:val="24"/>
          <w:szCs w:val="24"/>
        </w:rPr>
        <w:t>, 64, 1,</w:t>
      </w:r>
      <w:r>
        <w:rPr>
          <w:rFonts w:asciiTheme="majorBidi" w:hAnsiTheme="majorBidi" w:cstheme="majorBidi"/>
          <w:sz w:val="24"/>
          <w:szCs w:val="24"/>
        </w:rPr>
        <w:t xml:space="preserve"> </w:t>
      </w:r>
      <w:r w:rsidRPr="00F02F93">
        <w:rPr>
          <w:rFonts w:asciiTheme="majorBidi" w:hAnsiTheme="majorBidi" w:cstheme="majorBidi"/>
          <w:sz w:val="24"/>
          <w:szCs w:val="24"/>
        </w:rPr>
        <w:t>89–107.</w:t>
      </w:r>
    </w:p>
    <w:p w14:paraId="2FD0D539" w14:textId="0FBAFB31" w:rsidR="00EC04A8" w:rsidRDefault="00EC04A8" w:rsidP="00A275BB">
      <w:pPr>
        <w:spacing w:line="480" w:lineRule="auto"/>
        <w:rPr>
          <w:rFonts w:asciiTheme="majorBidi" w:hAnsiTheme="majorBidi" w:cstheme="majorBidi"/>
          <w:sz w:val="24"/>
          <w:szCs w:val="24"/>
        </w:rPr>
      </w:pPr>
      <w:r w:rsidRPr="00EC04A8">
        <w:rPr>
          <w:rFonts w:asciiTheme="majorBidi" w:hAnsiTheme="majorBidi" w:cstheme="majorBidi"/>
          <w:sz w:val="24"/>
          <w:szCs w:val="24"/>
        </w:rPr>
        <w:t xml:space="preserve">Marsh, I. and Miller, R., </w:t>
      </w:r>
      <w:r w:rsidR="00A275BB">
        <w:rPr>
          <w:rFonts w:asciiTheme="majorBidi" w:hAnsiTheme="majorBidi" w:cstheme="majorBidi"/>
          <w:sz w:val="24"/>
          <w:szCs w:val="24"/>
        </w:rPr>
        <w:t>(</w:t>
      </w:r>
      <w:r w:rsidRPr="00EC04A8">
        <w:rPr>
          <w:rFonts w:asciiTheme="majorBidi" w:hAnsiTheme="majorBidi" w:cstheme="majorBidi"/>
          <w:sz w:val="24"/>
          <w:szCs w:val="24"/>
        </w:rPr>
        <w:t>2012</w:t>
      </w:r>
      <w:r w:rsidR="00A275BB">
        <w:rPr>
          <w:rFonts w:asciiTheme="majorBidi" w:hAnsiTheme="majorBidi" w:cstheme="majorBidi"/>
          <w:sz w:val="24"/>
          <w:szCs w:val="24"/>
        </w:rPr>
        <w:t>)</w:t>
      </w:r>
      <w:r w:rsidRPr="00EC04A8">
        <w:rPr>
          <w:rFonts w:asciiTheme="majorBidi" w:hAnsiTheme="majorBidi" w:cstheme="majorBidi"/>
          <w:sz w:val="24"/>
          <w:szCs w:val="24"/>
        </w:rPr>
        <w:t>. </w:t>
      </w:r>
      <w:r w:rsidRPr="00EC04A8">
        <w:rPr>
          <w:rFonts w:asciiTheme="majorBidi" w:hAnsiTheme="majorBidi" w:cstheme="majorBidi"/>
          <w:i/>
          <w:iCs/>
          <w:sz w:val="24"/>
          <w:szCs w:val="24"/>
        </w:rPr>
        <w:t>Democratic decline and democratic renewal: Political change in Britain, Australia and New Zealand</w:t>
      </w:r>
      <w:r w:rsidR="00083C56">
        <w:rPr>
          <w:rFonts w:asciiTheme="majorBidi" w:hAnsiTheme="majorBidi" w:cstheme="majorBidi"/>
          <w:sz w:val="24"/>
          <w:szCs w:val="24"/>
        </w:rPr>
        <w:t>. Cambridge University Press: Cambridge.</w:t>
      </w:r>
    </w:p>
    <w:p w14:paraId="5CB7BC2D" w14:textId="7686EAF3" w:rsidR="00083C56" w:rsidRDefault="00083C56" w:rsidP="00083C56">
      <w:pPr>
        <w:spacing w:line="480" w:lineRule="auto"/>
        <w:rPr>
          <w:rFonts w:asciiTheme="majorBidi" w:hAnsiTheme="majorBidi" w:cstheme="majorBidi"/>
          <w:sz w:val="24"/>
          <w:szCs w:val="24"/>
        </w:rPr>
      </w:pPr>
      <w:r w:rsidRPr="005C4D7E">
        <w:rPr>
          <w:rFonts w:asciiTheme="majorBidi" w:hAnsiTheme="majorBidi" w:cstheme="majorBidi"/>
          <w:sz w:val="24"/>
          <w:szCs w:val="24"/>
        </w:rPr>
        <w:t xml:space="preserve">McLeroy, K. R., Bibeau, D., Steckler, A., &amp; Glanz, K. (1988). </w:t>
      </w:r>
      <w:r w:rsidRPr="00083C56">
        <w:rPr>
          <w:rFonts w:asciiTheme="majorBidi" w:hAnsiTheme="majorBidi" w:cstheme="majorBidi"/>
          <w:sz w:val="24"/>
          <w:szCs w:val="24"/>
        </w:rPr>
        <w:t>An ecological perspective on health promotion programs. </w:t>
      </w:r>
      <w:r w:rsidRPr="00083C56">
        <w:rPr>
          <w:rFonts w:asciiTheme="majorBidi" w:hAnsiTheme="majorBidi" w:cstheme="majorBidi"/>
          <w:i/>
          <w:iCs/>
          <w:sz w:val="24"/>
          <w:szCs w:val="24"/>
        </w:rPr>
        <w:t>Health education quarterly</w:t>
      </w:r>
      <w:r w:rsidRPr="00083C56">
        <w:rPr>
          <w:rFonts w:asciiTheme="majorBidi" w:hAnsiTheme="majorBidi" w:cstheme="majorBidi"/>
          <w:sz w:val="24"/>
          <w:szCs w:val="24"/>
        </w:rPr>
        <w:t>, </w:t>
      </w:r>
      <w:r w:rsidRPr="00083C56">
        <w:rPr>
          <w:rFonts w:asciiTheme="majorBidi" w:hAnsiTheme="majorBidi" w:cstheme="majorBidi"/>
          <w:i/>
          <w:iCs/>
          <w:sz w:val="24"/>
          <w:szCs w:val="24"/>
        </w:rPr>
        <w:t>15</w:t>
      </w:r>
      <w:r w:rsidRPr="00083C56">
        <w:rPr>
          <w:rFonts w:asciiTheme="majorBidi" w:hAnsiTheme="majorBidi" w:cstheme="majorBidi"/>
          <w:sz w:val="24"/>
          <w:szCs w:val="24"/>
        </w:rPr>
        <w:t>(4), 351-377.</w:t>
      </w:r>
    </w:p>
    <w:p w14:paraId="026522BE" w14:textId="5CA1B225" w:rsidR="00EC04A8" w:rsidRDefault="00A275BB" w:rsidP="00A275BB">
      <w:pPr>
        <w:spacing w:line="480" w:lineRule="auto"/>
        <w:rPr>
          <w:rFonts w:asciiTheme="majorBidi" w:hAnsiTheme="majorBidi" w:cstheme="majorBidi"/>
          <w:sz w:val="24"/>
          <w:szCs w:val="24"/>
        </w:rPr>
      </w:pPr>
      <w:r>
        <w:rPr>
          <w:rFonts w:asciiTheme="majorBidi" w:hAnsiTheme="majorBidi" w:cstheme="majorBidi"/>
          <w:sz w:val="24"/>
          <w:szCs w:val="24"/>
        </w:rPr>
        <w:t>McQueen, D.V. (</w:t>
      </w:r>
      <w:r w:rsidR="00EC04A8" w:rsidRPr="00EC04A8">
        <w:rPr>
          <w:rFonts w:asciiTheme="majorBidi" w:hAnsiTheme="majorBidi" w:cstheme="majorBidi"/>
          <w:sz w:val="24"/>
          <w:szCs w:val="24"/>
        </w:rPr>
        <w:t>2016</w:t>
      </w:r>
      <w:r>
        <w:rPr>
          <w:rFonts w:asciiTheme="majorBidi" w:hAnsiTheme="majorBidi" w:cstheme="majorBidi"/>
          <w:sz w:val="24"/>
          <w:szCs w:val="24"/>
        </w:rPr>
        <w:t>)</w:t>
      </w:r>
      <w:r w:rsidR="00EC04A8" w:rsidRPr="00EC04A8">
        <w:rPr>
          <w:rFonts w:asciiTheme="majorBidi" w:hAnsiTheme="majorBidi" w:cstheme="majorBidi"/>
          <w:sz w:val="24"/>
          <w:szCs w:val="24"/>
        </w:rPr>
        <w:t xml:space="preserve">. </w:t>
      </w:r>
      <w:r w:rsidR="00EC04A8">
        <w:rPr>
          <w:rFonts w:asciiTheme="majorBidi" w:hAnsiTheme="majorBidi" w:cstheme="majorBidi"/>
          <w:sz w:val="24"/>
          <w:szCs w:val="24"/>
        </w:rPr>
        <w:t>Global health promotion</w:t>
      </w:r>
      <w:r w:rsidR="00EC04A8" w:rsidRPr="00EC04A8">
        <w:rPr>
          <w:rFonts w:asciiTheme="majorBidi" w:hAnsiTheme="majorBidi" w:cstheme="majorBidi"/>
          <w:sz w:val="24"/>
          <w:szCs w:val="24"/>
        </w:rPr>
        <w:t>. </w:t>
      </w:r>
      <w:r w:rsidR="00EC04A8" w:rsidRPr="00EC04A8">
        <w:rPr>
          <w:rFonts w:asciiTheme="majorBidi" w:hAnsiTheme="majorBidi" w:cstheme="majorBidi"/>
          <w:i/>
          <w:iCs/>
          <w:sz w:val="24"/>
          <w:szCs w:val="24"/>
        </w:rPr>
        <w:t>Introduction to Global Health Promotion</w:t>
      </w:r>
      <w:r w:rsidR="00EC04A8" w:rsidRPr="00EC04A8">
        <w:rPr>
          <w:rFonts w:asciiTheme="majorBidi" w:hAnsiTheme="majorBidi" w:cstheme="majorBidi"/>
          <w:sz w:val="24"/>
          <w:szCs w:val="24"/>
        </w:rPr>
        <w:t>, p.31.</w:t>
      </w:r>
    </w:p>
    <w:p w14:paraId="3F82951E" w14:textId="25AC6A86" w:rsidR="00B97807" w:rsidRDefault="00121D63"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Meyer, J</w:t>
      </w:r>
      <w:r w:rsidR="00A275BB">
        <w:rPr>
          <w:rFonts w:asciiTheme="majorBidi" w:hAnsiTheme="majorBidi" w:cstheme="majorBidi"/>
          <w:sz w:val="24"/>
          <w:szCs w:val="24"/>
        </w:rPr>
        <w:t>. W., and Rowan, B. (1991).</w:t>
      </w:r>
      <w:r w:rsidRPr="00EF7113">
        <w:rPr>
          <w:rFonts w:asciiTheme="majorBidi" w:hAnsiTheme="majorBidi" w:cstheme="majorBidi"/>
          <w:sz w:val="24"/>
          <w:szCs w:val="24"/>
        </w:rPr>
        <w:t xml:space="preserve"> ‘Institutionalized Organizations: Formal Structure as Myth and Ceremony’, in DiMaggio, Paul J. and Walter W. Powell (eds.), </w:t>
      </w:r>
      <w:r w:rsidRPr="00EF7113">
        <w:rPr>
          <w:rFonts w:asciiTheme="majorBidi" w:hAnsiTheme="majorBidi" w:cstheme="majorBidi"/>
          <w:i/>
          <w:iCs/>
          <w:sz w:val="24"/>
          <w:szCs w:val="24"/>
        </w:rPr>
        <w:t>The New Institutionalism in Organizational Analysis</w:t>
      </w:r>
      <w:r w:rsidRPr="00EF7113">
        <w:rPr>
          <w:rFonts w:asciiTheme="majorBidi" w:hAnsiTheme="majorBidi" w:cstheme="majorBidi"/>
          <w:iCs/>
          <w:sz w:val="24"/>
          <w:szCs w:val="24"/>
        </w:rPr>
        <w:t>, pp. 41-62.</w:t>
      </w:r>
      <w:r w:rsidRPr="00EF7113">
        <w:rPr>
          <w:rFonts w:asciiTheme="majorBidi" w:hAnsiTheme="majorBidi" w:cstheme="majorBidi"/>
          <w:sz w:val="24"/>
          <w:szCs w:val="24"/>
        </w:rPr>
        <w:t xml:space="preserve"> London and Chicago: Chicago University Press.</w:t>
      </w:r>
    </w:p>
    <w:p w14:paraId="10302BE9" w14:textId="5CBC266F" w:rsidR="00FE40CB" w:rsidRDefault="009F410A" w:rsidP="00A275BB">
      <w:pPr>
        <w:spacing w:line="480" w:lineRule="auto"/>
        <w:rPr>
          <w:rFonts w:asciiTheme="majorBidi" w:hAnsiTheme="majorBidi" w:cstheme="majorBidi"/>
          <w:sz w:val="24"/>
          <w:szCs w:val="24"/>
        </w:rPr>
      </w:pPr>
      <w:r w:rsidRPr="009F410A">
        <w:rPr>
          <w:rFonts w:asciiTheme="majorBidi" w:hAnsiTheme="majorBidi" w:cstheme="majorBidi"/>
          <w:sz w:val="24"/>
          <w:szCs w:val="24"/>
        </w:rPr>
        <w:t>Moodie, R</w:t>
      </w:r>
      <w:r w:rsidR="00A275BB">
        <w:rPr>
          <w:rFonts w:asciiTheme="majorBidi" w:hAnsiTheme="majorBidi" w:cstheme="majorBidi"/>
          <w:sz w:val="24"/>
          <w:szCs w:val="24"/>
        </w:rPr>
        <w:t>., Harper, T. and Oldenburg, B.</w:t>
      </w:r>
      <w:r w:rsidRPr="009F410A">
        <w:rPr>
          <w:rFonts w:asciiTheme="majorBidi" w:hAnsiTheme="majorBidi" w:cstheme="majorBidi"/>
          <w:sz w:val="24"/>
          <w:szCs w:val="24"/>
        </w:rPr>
        <w:t xml:space="preserve"> </w:t>
      </w:r>
      <w:r w:rsidR="00A275BB">
        <w:rPr>
          <w:rFonts w:asciiTheme="majorBidi" w:hAnsiTheme="majorBidi" w:cstheme="majorBidi"/>
          <w:sz w:val="24"/>
          <w:szCs w:val="24"/>
        </w:rPr>
        <w:t>(</w:t>
      </w:r>
      <w:r w:rsidRPr="009F410A">
        <w:rPr>
          <w:rFonts w:asciiTheme="majorBidi" w:hAnsiTheme="majorBidi" w:cstheme="majorBidi"/>
          <w:sz w:val="24"/>
          <w:szCs w:val="24"/>
        </w:rPr>
        <w:t>2008</w:t>
      </w:r>
      <w:r w:rsidR="00A275BB">
        <w:rPr>
          <w:rFonts w:asciiTheme="majorBidi" w:hAnsiTheme="majorBidi" w:cstheme="majorBidi"/>
          <w:sz w:val="24"/>
          <w:szCs w:val="24"/>
        </w:rPr>
        <w:t>)</w:t>
      </w:r>
      <w:r w:rsidRPr="009F410A">
        <w:rPr>
          <w:rFonts w:asciiTheme="majorBidi" w:hAnsiTheme="majorBidi" w:cstheme="majorBidi"/>
          <w:sz w:val="24"/>
          <w:szCs w:val="24"/>
        </w:rPr>
        <w:t>. A national agency for promoting health and preventing illness. </w:t>
      </w:r>
      <w:r w:rsidRPr="009F410A">
        <w:rPr>
          <w:rFonts w:asciiTheme="majorBidi" w:hAnsiTheme="majorBidi" w:cstheme="majorBidi"/>
          <w:i/>
          <w:iCs/>
          <w:sz w:val="24"/>
          <w:szCs w:val="24"/>
        </w:rPr>
        <w:t>An options paper commissioned by the National Health and Hospitals Reform Commission</w:t>
      </w:r>
      <w:r w:rsidRPr="009F410A">
        <w:rPr>
          <w:rFonts w:asciiTheme="majorBidi" w:hAnsiTheme="majorBidi" w:cstheme="majorBidi"/>
          <w:sz w:val="24"/>
          <w:szCs w:val="24"/>
        </w:rPr>
        <w:t>.</w:t>
      </w:r>
    </w:p>
    <w:p w14:paraId="31772323" w14:textId="7EDA0D48" w:rsidR="00EC04A8" w:rsidRDefault="00A275BB" w:rsidP="00A275BB">
      <w:pPr>
        <w:spacing w:line="480" w:lineRule="auto"/>
        <w:rPr>
          <w:rFonts w:asciiTheme="majorBidi" w:hAnsiTheme="majorBidi" w:cstheme="majorBidi"/>
          <w:sz w:val="24"/>
          <w:szCs w:val="24"/>
        </w:rPr>
      </w:pPr>
      <w:r>
        <w:rPr>
          <w:rFonts w:asciiTheme="majorBidi" w:hAnsiTheme="majorBidi" w:cstheme="majorBidi"/>
          <w:sz w:val="24"/>
          <w:szCs w:val="24"/>
        </w:rPr>
        <w:lastRenderedPageBreak/>
        <w:t>O’Leary, C.</w:t>
      </w:r>
      <w:r w:rsidR="00EC04A8" w:rsidRPr="00C14F02">
        <w:rPr>
          <w:rFonts w:asciiTheme="majorBidi" w:hAnsiTheme="majorBidi" w:cstheme="majorBidi"/>
          <w:sz w:val="24"/>
          <w:szCs w:val="24"/>
        </w:rPr>
        <w:t xml:space="preserve"> </w:t>
      </w:r>
      <w:r>
        <w:rPr>
          <w:rFonts w:asciiTheme="majorBidi" w:hAnsiTheme="majorBidi" w:cstheme="majorBidi"/>
          <w:sz w:val="24"/>
          <w:szCs w:val="24"/>
        </w:rPr>
        <w:t>(</w:t>
      </w:r>
      <w:r w:rsidR="00EC04A8" w:rsidRPr="00C14F02">
        <w:rPr>
          <w:rFonts w:asciiTheme="majorBidi" w:hAnsiTheme="majorBidi" w:cstheme="majorBidi"/>
          <w:sz w:val="24"/>
          <w:szCs w:val="24"/>
        </w:rPr>
        <w:t>2015</w:t>
      </w:r>
      <w:r>
        <w:rPr>
          <w:rFonts w:asciiTheme="majorBidi" w:hAnsiTheme="majorBidi" w:cstheme="majorBidi"/>
          <w:sz w:val="24"/>
          <w:szCs w:val="24"/>
        </w:rPr>
        <w:t>)</w:t>
      </w:r>
      <w:r w:rsidR="00EC04A8" w:rsidRPr="00C14F02">
        <w:rPr>
          <w:rFonts w:asciiTheme="majorBidi" w:hAnsiTheme="majorBidi" w:cstheme="majorBidi"/>
          <w:sz w:val="24"/>
          <w:szCs w:val="24"/>
        </w:rPr>
        <w:t>. Agency Termination in the UK: What Explains the ‘Bonfire of the Quangos’?. </w:t>
      </w:r>
      <w:r w:rsidR="00EC04A8" w:rsidRPr="00C14F02">
        <w:rPr>
          <w:rFonts w:asciiTheme="majorBidi" w:hAnsiTheme="majorBidi" w:cstheme="majorBidi"/>
          <w:i/>
          <w:iCs/>
          <w:sz w:val="24"/>
          <w:szCs w:val="24"/>
        </w:rPr>
        <w:t>West European Politics</w:t>
      </w:r>
      <w:r w:rsidR="00EC04A8" w:rsidRPr="00C14F02">
        <w:rPr>
          <w:rFonts w:asciiTheme="majorBidi" w:hAnsiTheme="majorBidi" w:cstheme="majorBidi"/>
          <w:sz w:val="24"/>
          <w:szCs w:val="24"/>
        </w:rPr>
        <w:t>, </w:t>
      </w:r>
      <w:r w:rsidR="00EC04A8" w:rsidRPr="00C14F02">
        <w:rPr>
          <w:rFonts w:asciiTheme="majorBidi" w:hAnsiTheme="majorBidi" w:cstheme="majorBidi"/>
          <w:i/>
          <w:iCs/>
          <w:sz w:val="24"/>
          <w:szCs w:val="24"/>
        </w:rPr>
        <w:t>38</w:t>
      </w:r>
      <w:r w:rsidR="00EC04A8" w:rsidRPr="00C14F02">
        <w:rPr>
          <w:rFonts w:asciiTheme="majorBidi" w:hAnsiTheme="majorBidi" w:cstheme="majorBidi"/>
          <w:sz w:val="24"/>
          <w:szCs w:val="24"/>
        </w:rPr>
        <w:t>(6), pp.1327-1344.</w:t>
      </w:r>
    </w:p>
    <w:p w14:paraId="7EE69D04" w14:textId="42300C4F" w:rsidR="00EC04A8" w:rsidRDefault="00A275BB" w:rsidP="00A275BB">
      <w:pPr>
        <w:spacing w:line="480" w:lineRule="auto"/>
        <w:rPr>
          <w:rFonts w:asciiTheme="majorBidi" w:hAnsiTheme="majorBidi" w:cstheme="majorBidi"/>
          <w:sz w:val="24"/>
          <w:szCs w:val="24"/>
        </w:rPr>
      </w:pPr>
      <w:r>
        <w:rPr>
          <w:rFonts w:asciiTheme="majorBidi" w:hAnsiTheme="majorBidi" w:cstheme="majorBidi"/>
          <w:sz w:val="24"/>
          <w:szCs w:val="24"/>
        </w:rPr>
        <w:t>Park, S</w:t>
      </w:r>
      <w:r w:rsidR="00EC04A8" w:rsidRPr="00EC04A8">
        <w:rPr>
          <w:rFonts w:asciiTheme="majorBidi" w:hAnsiTheme="majorBidi" w:cstheme="majorBidi"/>
          <w:sz w:val="24"/>
          <w:szCs w:val="24"/>
        </w:rPr>
        <w:t>. </w:t>
      </w:r>
      <w:r>
        <w:rPr>
          <w:rFonts w:asciiTheme="majorBidi" w:hAnsiTheme="majorBidi" w:cstheme="majorBidi"/>
          <w:sz w:val="24"/>
          <w:szCs w:val="24"/>
        </w:rPr>
        <w:t>(</w:t>
      </w:r>
      <w:r w:rsidR="00EC04A8" w:rsidRPr="00EC04A8">
        <w:rPr>
          <w:rFonts w:asciiTheme="majorBidi" w:hAnsiTheme="majorBidi" w:cstheme="majorBidi"/>
          <w:sz w:val="24"/>
          <w:szCs w:val="24"/>
        </w:rPr>
        <w:t>2013</w:t>
      </w:r>
      <w:r>
        <w:rPr>
          <w:rFonts w:asciiTheme="majorBidi" w:hAnsiTheme="majorBidi" w:cstheme="majorBidi"/>
          <w:sz w:val="24"/>
          <w:szCs w:val="24"/>
        </w:rPr>
        <w:t>)</w:t>
      </w:r>
      <w:r w:rsidR="00EC04A8" w:rsidRPr="00EC04A8">
        <w:rPr>
          <w:rFonts w:asciiTheme="majorBidi" w:hAnsiTheme="majorBidi" w:cstheme="majorBidi"/>
          <w:sz w:val="24"/>
          <w:szCs w:val="24"/>
        </w:rPr>
        <w:t>. What Causes the Death of Public Sector Organizations? Understanding Structural Changes and Continuities in Korean Quangos. </w:t>
      </w:r>
      <w:r w:rsidR="00EC04A8" w:rsidRPr="00EC04A8">
        <w:rPr>
          <w:rFonts w:asciiTheme="majorBidi" w:hAnsiTheme="majorBidi" w:cstheme="majorBidi"/>
          <w:i/>
          <w:iCs/>
          <w:sz w:val="24"/>
          <w:szCs w:val="24"/>
        </w:rPr>
        <w:t>International Public Management Journal</w:t>
      </w:r>
      <w:r w:rsidR="00B37402">
        <w:rPr>
          <w:rFonts w:asciiTheme="majorBidi" w:hAnsiTheme="majorBidi" w:cstheme="majorBidi"/>
          <w:i/>
          <w:iCs/>
          <w:sz w:val="24"/>
          <w:szCs w:val="24"/>
        </w:rPr>
        <w:t xml:space="preserve"> </w:t>
      </w:r>
      <w:r w:rsidR="00EC04A8" w:rsidRPr="00EC04A8">
        <w:rPr>
          <w:rFonts w:asciiTheme="majorBidi" w:hAnsiTheme="majorBidi" w:cstheme="majorBidi"/>
          <w:b/>
          <w:bCs/>
          <w:sz w:val="24"/>
          <w:szCs w:val="24"/>
        </w:rPr>
        <w:t>16</w:t>
      </w:r>
      <w:r w:rsidR="00EC04A8" w:rsidRPr="00EC04A8">
        <w:rPr>
          <w:rFonts w:asciiTheme="majorBidi" w:hAnsiTheme="majorBidi" w:cstheme="majorBidi"/>
          <w:sz w:val="24"/>
          <w:szCs w:val="24"/>
        </w:rPr>
        <w:t>(3):</w:t>
      </w:r>
      <w:r w:rsidR="00B37402">
        <w:rPr>
          <w:rFonts w:asciiTheme="majorBidi" w:hAnsiTheme="majorBidi" w:cstheme="majorBidi"/>
          <w:sz w:val="24"/>
          <w:szCs w:val="24"/>
        </w:rPr>
        <w:t xml:space="preserve"> </w:t>
      </w:r>
      <w:r w:rsidR="00EC04A8" w:rsidRPr="00EC04A8">
        <w:rPr>
          <w:rFonts w:asciiTheme="majorBidi" w:hAnsiTheme="majorBidi" w:cstheme="majorBidi"/>
          <w:sz w:val="24"/>
          <w:szCs w:val="24"/>
        </w:rPr>
        <w:t>413–37.</w:t>
      </w:r>
    </w:p>
    <w:p w14:paraId="2DA12C6E" w14:textId="01E8BAA5" w:rsidR="009F410A" w:rsidRDefault="009F410A" w:rsidP="00A275BB">
      <w:pPr>
        <w:spacing w:line="480" w:lineRule="auto"/>
        <w:rPr>
          <w:rFonts w:asciiTheme="majorBidi" w:hAnsiTheme="majorBidi" w:cstheme="majorBidi"/>
          <w:sz w:val="24"/>
          <w:szCs w:val="24"/>
        </w:rPr>
      </w:pPr>
      <w:r w:rsidRPr="009F410A">
        <w:rPr>
          <w:rFonts w:asciiTheme="majorBidi" w:hAnsiTheme="majorBidi" w:cstheme="majorBidi"/>
          <w:sz w:val="24"/>
          <w:szCs w:val="24"/>
        </w:rPr>
        <w:t xml:space="preserve">Perez, A.M., Ayo-Yusuf, O.A., Hofman, K., Kalideen, S., Maker, A., Mokonoto, D., Morojele, N., Naidoo, P., Parry, C., Rendall-Mkosi, K. and Saloojee, Y., </w:t>
      </w:r>
      <w:r w:rsidR="00A275BB">
        <w:rPr>
          <w:rFonts w:asciiTheme="majorBidi" w:hAnsiTheme="majorBidi" w:cstheme="majorBidi"/>
          <w:sz w:val="24"/>
          <w:szCs w:val="24"/>
        </w:rPr>
        <w:t>(</w:t>
      </w:r>
      <w:r w:rsidRPr="009F410A">
        <w:rPr>
          <w:rFonts w:asciiTheme="majorBidi" w:hAnsiTheme="majorBidi" w:cstheme="majorBidi"/>
          <w:sz w:val="24"/>
          <w:szCs w:val="24"/>
        </w:rPr>
        <w:t>2013</w:t>
      </w:r>
      <w:r w:rsidR="00A275BB">
        <w:rPr>
          <w:rFonts w:asciiTheme="majorBidi" w:hAnsiTheme="majorBidi" w:cstheme="majorBidi"/>
          <w:sz w:val="24"/>
          <w:szCs w:val="24"/>
        </w:rPr>
        <w:t>)</w:t>
      </w:r>
      <w:r w:rsidRPr="009F410A">
        <w:rPr>
          <w:rFonts w:asciiTheme="majorBidi" w:hAnsiTheme="majorBidi" w:cstheme="majorBidi"/>
          <w:sz w:val="24"/>
          <w:szCs w:val="24"/>
        </w:rPr>
        <w:t>. Establishing a health promotion and development foundation in South Africa. </w:t>
      </w:r>
      <w:r w:rsidRPr="009F410A">
        <w:rPr>
          <w:rFonts w:asciiTheme="majorBidi" w:hAnsiTheme="majorBidi" w:cstheme="majorBidi"/>
          <w:i/>
          <w:iCs/>
          <w:sz w:val="24"/>
          <w:szCs w:val="24"/>
        </w:rPr>
        <w:t>SAMJ: South African Medical Journal</w:t>
      </w:r>
      <w:r w:rsidRPr="009F410A">
        <w:rPr>
          <w:rFonts w:asciiTheme="majorBidi" w:hAnsiTheme="majorBidi" w:cstheme="majorBidi"/>
          <w:sz w:val="24"/>
          <w:szCs w:val="24"/>
        </w:rPr>
        <w:t>, </w:t>
      </w:r>
      <w:r w:rsidRPr="009F410A">
        <w:rPr>
          <w:rFonts w:asciiTheme="majorBidi" w:hAnsiTheme="majorBidi" w:cstheme="majorBidi"/>
          <w:i/>
          <w:iCs/>
          <w:sz w:val="24"/>
          <w:szCs w:val="24"/>
        </w:rPr>
        <w:t>103</w:t>
      </w:r>
      <w:r w:rsidRPr="009F410A">
        <w:rPr>
          <w:rFonts w:asciiTheme="majorBidi" w:hAnsiTheme="majorBidi" w:cstheme="majorBidi"/>
          <w:sz w:val="24"/>
          <w:szCs w:val="24"/>
        </w:rPr>
        <w:t>(3), pp.147-149.</w:t>
      </w:r>
    </w:p>
    <w:p w14:paraId="07EE8970" w14:textId="0783A13B" w:rsidR="004B6586" w:rsidRDefault="004B6586" w:rsidP="00A275BB">
      <w:pPr>
        <w:spacing w:line="480" w:lineRule="auto"/>
        <w:rPr>
          <w:rFonts w:asciiTheme="majorBidi" w:hAnsiTheme="majorBidi" w:cstheme="majorBidi"/>
          <w:sz w:val="24"/>
          <w:szCs w:val="24"/>
        </w:rPr>
      </w:pPr>
      <w:r>
        <w:rPr>
          <w:rFonts w:asciiTheme="majorBidi" w:hAnsiTheme="majorBidi" w:cstheme="majorBidi"/>
          <w:sz w:val="24"/>
          <w:szCs w:val="24"/>
        </w:rPr>
        <w:t>Public Health England (2015) ‘</w:t>
      </w:r>
      <w:r w:rsidRPr="004B6586">
        <w:rPr>
          <w:rFonts w:asciiTheme="majorBidi" w:hAnsiTheme="majorBidi" w:cstheme="majorBidi"/>
          <w:sz w:val="24"/>
          <w:szCs w:val="24"/>
        </w:rPr>
        <w:t>E-cigarettes around 95% less harmful than tobacco estimates landmark review</w:t>
      </w:r>
      <w:r>
        <w:rPr>
          <w:rFonts w:asciiTheme="majorBidi" w:hAnsiTheme="majorBidi" w:cstheme="majorBidi"/>
          <w:sz w:val="24"/>
          <w:szCs w:val="24"/>
        </w:rPr>
        <w:t xml:space="preserve">’ </w:t>
      </w:r>
      <w:hyperlink r:id="rId8" w:history="1">
        <w:r w:rsidRPr="001938E9">
          <w:rPr>
            <w:rStyle w:val="Hyperlink"/>
            <w:rFonts w:asciiTheme="majorBidi" w:hAnsiTheme="majorBidi" w:cstheme="majorBidi"/>
            <w:sz w:val="24"/>
            <w:szCs w:val="24"/>
          </w:rPr>
          <w:t>https://www.gov.uk/government/news/e-cigarettes-around-95-less-harmful-than-tobacco-estimates-landmark-review</w:t>
        </w:r>
      </w:hyperlink>
      <w:r>
        <w:rPr>
          <w:rFonts w:asciiTheme="majorBidi" w:hAnsiTheme="majorBidi" w:cstheme="majorBidi"/>
          <w:sz w:val="24"/>
          <w:szCs w:val="24"/>
        </w:rPr>
        <w:t xml:space="preserve"> </w:t>
      </w:r>
    </w:p>
    <w:p w14:paraId="0AA4B9DC" w14:textId="1D0F1C20" w:rsidR="009F410A" w:rsidRDefault="009F410A" w:rsidP="00A275BB">
      <w:pPr>
        <w:spacing w:line="480" w:lineRule="auto"/>
        <w:rPr>
          <w:rFonts w:asciiTheme="majorBidi" w:hAnsiTheme="majorBidi" w:cstheme="majorBidi"/>
          <w:sz w:val="24"/>
          <w:szCs w:val="24"/>
        </w:rPr>
      </w:pPr>
      <w:r w:rsidRPr="009F410A">
        <w:rPr>
          <w:rFonts w:asciiTheme="majorBidi" w:hAnsiTheme="majorBidi" w:cstheme="majorBidi"/>
          <w:sz w:val="24"/>
          <w:szCs w:val="24"/>
        </w:rPr>
        <w:t xml:space="preserve">Rayner, G., Hawkes, C., Lang, T. and Bello, W., </w:t>
      </w:r>
      <w:r w:rsidR="00A275BB">
        <w:rPr>
          <w:rFonts w:asciiTheme="majorBidi" w:hAnsiTheme="majorBidi" w:cstheme="majorBidi"/>
          <w:sz w:val="24"/>
          <w:szCs w:val="24"/>
        </w:rPr>
        <w:t>(</w:t>
      </w:r>
      <w:r w:rsidRPr="009F410A">
        <w:rPr>
          <w:rFonts w:asciiTheme="majorBidi" w:hAnsiTheme="majorBidi" w:cstheme="majorBidi"/>
          <w:sz w:val="24"/>
          <w:szCs w:val="24"/>
        </w:rPr>
        <w:t>2006</w:t>
      </w:r>
      <w:r w:rsidR="00A275BB">
        <w:rPr>
          <w:rFonts w:asciiTheme="majorBidi" w:hAnsiTheme="majorBidi" w:cstheme="majorBidi"/>
          <w:sz w:val="24"/>
          <w:szCs w:val="24"/>
        </w:rPr>
        <w:t>)</w:t>
      </w:r>
      <w:r w:rsidRPr="009F410A">
        <w:rPr>
          <w:rFonts w:asciiTheme="majorBidi" w:hAnsiTheme="majorBidi" w:cstheme="majorBidi"/>
          <w:sz w:val="24"/>
          <w:szCs w:val="24"/>
        </w:rPr>
        <w:t>. Trade liberalization and the diet transition: a public health response. </w:t>
      </w:r>
      <w:r w:rsidRPr="009F410A">
        <w:rPr>
          <w:rFonts w:asciiTheme="majorBidi" w:hAnsiTheme="majorBidi" w:cstheme="majorBidi"/>
          <w:i/>
          <w:iCs/>
          <w:sz w:val="24"/>
          <w:szCs w:val="24"/>
        </w:rPr>
        <w:t>Health Promotion International</w:t>
      </w:r>
      <w:r w:rsidRPr="009F410A">
        <w:rPr>
          <w:rFonts w:asciiTheme="majorBidi" w:hAnsiTheme="majorBidi" w:cstheme="majorBidi"/>
          <w:sz w:val="24"/>
          <w:szCs w:val="24"/>
        </w:rPr>
        <w:t>, </w:t>
      </w:r>
      <w:r w:rsidRPr="009F410A">
        <w:rPr>
          <w:rFonts w:asciiTheme="majorBidi" w:hAnsiTheme="majorBidi" w:cstheme="majorBidi"/>
          <w:i/>
          <w:iCs/>
          <w:sz w:val="24"/>
          <w:szCs w:val="24"/>
        </w:rPr>
        <w:t>21</w:t>
      </w:r>
      <w:r w:rsidRPr="009F410A">
        <w:rPr>
          <w:rFonts w:asciiTheme="majorBidi" w:hAnsiTheme="majorBidi" w:cstheme="majorBidi"/>
          <w:sz w:val="24"/>
          <w:szCs w:val="24"/>
        </w:rPr>
        <w:t>(suppl_1), pp.67-74.</w:t>
      </w:r>
    </w:p>
    <w:p w14:paraId="33671169" w14:textId="30407897" w:rsidR="009F410A" w:rsidRDefault="009F410A" w:rsidP="00A275BB">
      <w:pPr>
        <w:spacing w:line="480" w:lineRule="auto"/>
        <w:rPr>
          <w:rFonts w:asciiTheme="majorBidi" w:hAnsiTheme="majorBidi" w:cstheme="majorBidi"/>
          <w:sz w:val="24"/>
          <w:szCs w:val="24"/>
        </w:rPr>
      </w:pPr>
      <w:r w:rsidRPr="009F410A">
        <w:rPr>
          <w:rFonts w:asciiTheme="majorBidi" w:hAnsiTheme="majorBidi" w:cstheme="majorBidi"/>
          <w:sz w:val="24"/>
          <w:szCs w:val="24"/>
        </w:rPr>
        <w:t xml:space="preserve">Rhodes, R.A., Wanna, J. and Weller, P., </w:t>
      </w:r>
      <w:r w:rsidR="00A275BB">
        <w:rPr>
          <w:rFonts w:asciiTheme="majorBidi" w:hAnsiTheme="majorBidi" w:cstheme="majorBidi"/>
          <w:sz w:val="24"/>
          <w:szCs w:val="24"/>
        </w:rPr>
        <w:t>(</w:t>
      </w:r>
      <w:r w:rsidRPr="009F410A">
        <w:rPr>
          <w:rFonts w:asciiTheme="majorBidi" w:hAnsiTheme="majorBidi" w:cstheme="majorBidi"/>
          <w:sz w:val="24"/>
          <w:szCs w:val="24"/>
        </w:rPr>
        <w:t>2009</w:t>
      </w:r>
      <w:r w:rsidR="00A275BB">
        <w:rPr>
          <w:rFonts w:asciiTheme="majorBidi" w:hAnsiTheme="majorBidi" w:cstheme="majorBidi"/>
          <w:sz w:val="24"/>
          <w:szCs w:val="24"/>
        </w:rPr>
        <w:t>)</w:t>
      </w:r>
      <w:r w:rsidRPr="009F410A">
        <w:rPr>
          <w:rFonts w:asciiTheme="majorBidi" w:hAnsiTheme="majorBidi" w:cstheme="majorBidi"/>
          <w:sz w:val="24"/>
          <w:szCs w:val="24"/>
        </w:rPr>
        <w:t>. </w:t>
      </w:r>
      <w:r w:rsidRPr="009F410A">
        <w:rPr>
          <w:rFonts w:asciiTheme="majorBidi" w:hAnsiTheme="majorBidi" w:cstheme="majorBidi"/>
          <w:i/>
          <w:iCs/>
          <w:sz w:val="24"/>
          <w:szCs w:val="24"/>
        </w:rPr>
        <w:t>Comparing Westminster</w:t>
      </w:r>
      <w:r w:rsidRPr="009F410A">
        <w:rPr>
          <w:rFonts w:asciiTheme="majorBidi" w:hAnsiTheme="majorBidi" w:cstheme="majorBidi"/>
          <w:sz w:val="24"/>
          <w:szCs w:val="24"/>
        </w:rPr>
        <w:t>.</w:t>
      </w:r>
      <w:r w:rsidR="00A275BB">
        <w:rPr>
          <w:rFonts w:asciiTheme="majorBidi" w:hAnsiTheme="majorBidi" w:cstheme="majorBidi"/>
          <w:sz w:val="24"/>
          <w:szCs w:val="24"/>
        </w:rPr>
        <w:t xml:space="preserve"> Oxford University Press: Oxford.</w:t>
      </w:r>
    </w:p>
    <w:p w14:paraId="0316EA4C" w14:textId="686C9C6A" w:rsidR="009F410A" w:rsidRDefault="009F410A" w:rsidP="00A275BB">
      <w:pPr>
        <w:spacing w:line="480" w:lineRule="auto"/>
        <w:rPr>
          <w:rFonts w:asciiTheme="majorBidi" w:hAnsiTheme="majorBidi" w:cstheme="majorBidi"/>
          <w:sz w:val="24"/>
          <w:szCs w:val="24"/>
        </w:rPr>
      </w:pPr>
      <w:r w:rsidRPr="009F410A">
        <w:rPr>
          <w:rFonts w:asciiTheme="majorBidi" w:hAnsiTheme="majorBidi" w:cstheme="majorBidi"/>
          <w:sz w:val="24"/>
          <w:szCs w:val="24"/>
        </w:rPr>
        <w:t xml:space="preserve">Rittel, H.W. and Webber, M.M., </w:t>
      </w:r>
      <w:r w:rsidR="00A275BB">
        <w:rPr>
          <w:rFonts w:asciiTheme="majorBidi" w:hAnsiTheme="majorBidi" w:cstheme="majorBidi"/>
          <w:sz w:val="24"/>
          <w:szCs w:val="24"/>
        </w:rPr>
        <w:t>(</w:t>
      </w:r>
      <w:r w:rsidRPr="009F410A">
        <w:rPr>
          <w:rFonts w:asciiTheme="majorBidi" w:hAnsiTheme="majorBidi" w:cstheme="majorBidi"/>
          <w:sz w:val="24"/>
          <w:szCs w:val="24"/>
        </w:rPr>
        <w:t>1973</w:t>
      </w:r>
      <w:r w:rsidR="00A275BB">
        <w:rPr>
          <w:rFonts w:asciiTheme="majorBidi" w:hAnsiTheme="majorBidi" w:cstheme="majorBidi"/>
          <w:sz w:val="24"/>
          <w:szCs w:val="24"/>
        </w:rPr>
        <w:t>)</w:t>
      </w:r>
      <w:r w:rsidRPr="009F410A">
        <w:rPr>
          <w:rFonts w:asciiTheme="majorBidi" w:hAnsiTheme="majorBidi" w:cstheme="majorBidi"/>
          <w:sz w:val="24"/>
          <w:szCs w:val="24"/>
        </w:rPr>
        <w:t>. Dilemmas in a general theory of planning. </w:t>
      </w:r>
      <w:r w:rsidRPr="009F410A">
        <w:rPr>
          <w:rFonts w:asciiTheme="majorBidi" w:hAnsiTheme="majorBidi" w:cstheme="majorBidi"/>
          <w:i/>
          <w:iCs/>
          <w:sz w:val="24"/>
          <w:szCs w:val="24"/>
        </w:rPr>
        <w:t>Policy sciences</w:t>
      </w:r>
      <w:r w:rsidRPr="009F410A">
        <w:rPr>
          <w:rFonts w:asciiTheme="majorBidi" w:hAnsiTheme="majorBidi" w:cstheme="majorBidi"/>
          <w:sz w:val="24"/>
          <w:szCs w:val="24"/>
        </w:rPr>
        <w:t>, </w:t>
      </w:r>
      <w:r w:rsidRPr="009F410A">
        <w:rPr>
          <w:rFonts w:asciiTheme="majorBidi" w:hAnsiTheme="majorBidi" w:cstheme="majorBidi"/>
          <w:i/>
          <w:iCs/>
          <w:sz w:val="24"/>
          <w:szCs w:val="24"/>
        </w:rPr>
        <w:t>4</w:t>
      </w:r>
      <w:r w:rsidRPr="009F410A">
        <w:rPr>
          <w:rFonts w:asciiTheme="majorBidi" w:hAnsiTheme="majorBidi" w:cstheme="majorBidi"/>
          <w:sz w:val="24"/>
          <w:szCs w:val="24"/>
        </w:rPr>
        <w:t>(2), pp.155-169.</w:t>
      </w:r>
    </w:p>
    <w:p w14:paraId="1EB3B332" w14:textId="1AC34966" w:rsidR="00EC04A8" w:rsidRDefault="00EC04A8" w:rsidP="00A275BB">
      <w:pPr>
        <w:spacing w:line="480" w:lineRule="auto"/>
        <w:rPr>
          <w:rFonts w:asciiTheme="majorBidi" w:hAnsiTheme="majorBidi" w:cstheme="majorBidi"/>
          <w:sz w:val="24"/>
          <w:szCs w:val="24"/>
        </w:rPr>
      </w:pPr>
      <w:r w:rsidRPr="00EC04A8">
        <w:rPr>
          <w:rFonts w:asciiTheme="majorBidi" w:hAnsiTheme="majorBidi" w:cstheme="majorBidi"/>
          <w:sz w:val="24"/>
          <w:szCs w:val="24"/>
        </w:rPr>
        <w:t xml:space="preserve">Schang, L.K., Czabanowska, K.M. and Lin, V., </w:t>
      </w:r>
      <w:r w:rsidR="00A275BB">
        <w:rPr>
          <w:rFonts w:asciiTheme="majorBidi" w:hAnsiTheme="majorBidi" w:cstheme="majorBidi"/>
          <w:sz w:val="24"/>
          <w:szCs w:val="24"/>
        </w:rPr>
        <w:t>(</w:t>
      </w:r>
      <w:r w:rsidRPr="00EC04A8">
        <w:rPr>
          <w:rFonts w:asciiTheme="majorBidi" w:hAnsiTheme="majorBidi" w:cstheme="majorBidi"/>
          <w:sz w:val="24"/>
          <w:szCs w:val="24"/>
        </w:rPr>
        <w:t>2011</w:t>
      </w:r>
      <w:r w:rsidR="00A275BB">
        <w:rPr>
          <w:rFonts w:asciiTheme="majorBidi" w:hAnsiTheme="majorBidi" w:cstheme="majorBidi"/>
          <w:sz w:val="24"/>
          <w:szCs w:val="24"/>
        </w:rPr>
        <w:t>)</w:t>
      </w:r>
      <w:r w:rsidRPr="00EC04A8">
        <w:rPr>
          <w:rFonts w:asciiTheme="majorBidi" w:hAnsiTheme="majorBidi" w:cstheme="majorBidi"/>
          <w:sz w:val="24"/>
          <w:szCs w:val="24"/>
        </w:rPr>
        <w:t>. Securing funds for health promotion: lessons from health promotion foundations based on experiences from Austria, Australia, Germany, Hungary and Switzerland. </w:t>
      </w:r>
      <w:r w:rsidRPr="00EC04A8">
        <w:rPr>
          <w:rFonts w:asciiTheme="majorBidi" w:hAnsiTheme="majorBidi" w:cstheme="majorBidi"/>
          <w:i/>
          <w:iCs/>
          <w:sz w:val="24"/>
          <w:szCs w:val="24"/>
        </w:rPr>
        <w:t>Health Promotion International</w:t>
      </w:r>
      <w:r w:rsidRPr="00EC04A8">
        <w:rPr>
          <w:rFonts w:asciiTheme="majorBidi" w:hAnsiTheme="majorBidi" w:cstheme="majorBidi"/>
          <w:sz w:val="24"/>
          <w:szCs w:val="24"/>
        </w:rPr>
        <w:t>, </w:t>
      </w:r>
      <w:r w:rsidRPr="00EC04A8">
        <w:rPr>
          <w:rFonts w:asciiTheme="majorBidi" w:hAnsiTheme="majorBidi" w:cstheme="majorBidi"/>
          <w:i/>
          <w:iCs/>
          <w:sz w:val="24"/>
          <w:szCs w:val="24"/>
        </w:rPr>
        <w:t>27</w:t>
      </w:r>
      <w:r w:rsidRPr="00EC04A8">
        <w:rPr>
          <w:rFonts w:asciiTheme="majorBidi" w:hAnsiTheme="majorBidi" w:cstheme="majorBidi"/>
          <w:sz w:val="24"/>
          <w:szCs w:val="24"/>
        </w:rPr>
        <w:t>(2), pp.295-305.</w:t>
      </w:r>
    </w:p>
    <w:p w14:paraId="70B2AC6B" w14:textId="453495D3" w:rsidR="009F410A" w:rsidRDefault="009F410A" w:rsidP="00A275BB">
      <w:pPr>
        <w:spacing w:line="480" w:lineRule="auto"/>
        <w:rPr>
          <w:rFonts w:asciiTheme="majorBidi" w:hAnsiTheme="majorBidi" w:cstheme="majorBidi"/>
          <w:sz w:val="24"/>
          <w:szCs w:val="24"/>
        </w:rPr>
      </w:pPr>
      <w:r w:rsidRPr="009F410A">
        <w:rPr>
          <w:rFonts w:asciiTheme="majorBidi" w:hAnsiTheme="majorBidi" w:cstheme="majorBidi"/>
          <w:sz w:val="24"/>
          <w:szCs w:val="24"/>
        </w:rPr>
        <w:lastRenderedPageBreak/>
        <w:t xml:space="preserve">Sopitarchasak, S., Adulyanon, S. and Lorthong, T., </w:t>
      </w:r>
      <w:r w:rsidR="00A275BB">
        <w:rPr>
          <w:rFonts w:asciiTheme="majorBidi" w:hAnsiTheme="majorBidi" w:cstheme="majorBidi"/>
          <w:sz w:val="24"/>
          <w:szCs w:val="24"/>
        </w:rPr>
        <w:t>(</w:t>
      </w:r>
      <w:r w:rsidRPr="009F410A">
        <w:rPr>
          <w:rFonts w:asciiTheme="majorBidi" w:hAnsiTheme="majorBidi" w:cstheme="majorBidi"/>
          <w:sz w:val="24"/>
          <w:szCs w:val="24"/>
        </w:rPr>
        <w:t>2015</w:t>
      </w:r>
      <w:r w:rsidR="00A275BB">
        <w:rPr>
          <w:rFonts w:asciiTheme="majorBidi" w:hAnsiTheme="majorBidi" w:cstheme="majorBidi"/>
          <w:sz w:val="24"/>
          <w:szCs w:val="24"/>
        </w:rPr>
        <w:t>)</w:t>
      </w:r>
      <w:r w:rsidRPr="009F410A">
        <w:rPr>
          <w:rFonts w:asciiTheme="majorBidi" w:hAnsiTheme="majorBidi" w:cstheme="majorBidi"/>
          <w:sz w:val="24"/>
          <w:szCs w:val="24"/>
        </w:rPr>
        <w:t>. Thai Health Promotion Foundation: Innovative Enabler for Health Promotion. </w:t>
      </w:r>
      <w:r w:rsidRPr="009F410A">
        <w:rPr>
          <w:rFonts w:asciiTheme="majorBidi" w:hAnsiTheme="majorBidi" w:cstheme="majorBidi"/>
          <w:i/>
          <w:iCs/>
          <w:sz w:val="24"/>
          <w:szCs w:val="24"/>
        </w:rPr>
        <w:t>World Health &amp; Population</w:t>
      </w:r>
      <w:r w:rsidRPr="009F410A">
        <w:rPr>
          <w:rFonts w:asciiTheme="majorBidi" w:hAnsiTheme="majorBidi" w:cstheme="majorBidi"/>
          <w:sz w:val="24"/>
          <w:szCs w:val="24"/>
        </w:rPr>
        <w:t>, </w:t>
      </w:r>
      <w:r w:rsidRPr="009F410A">
        <w:rPr>
          <w:rFonts w:asciiTheme="majorBidi" w:hAnsiTheme="majorBidi" w:cstheme="majorBidi"/>
          <w:i/>
          <w:iCs/>
          <w:sz w:val="24"/>
          <w:szCs w:val="24"/>
        </w:rPr>
        <w:t>16</w:t>
      </w:r>
      <w:r w:rsidRPr="009F410A">
        <w:rPr>
          <w:rFonts w:asciiTheme="majorBidi" w:hAnsiTheme="majorBidi" w:cstheme="majorBidi"/>
          <w:sz w:val="24"/>
          <w:szCs w:val="24"/>
        </w:rPr>
        <w:t xml:space="preserve">(1), pp.62-71. </w:t>
      </w:r>
    </w:p>
    <w:p w14:paraId="13F14BAD" w14:textId="64173802" w:rsidR="00083C56" w:rsidRDefault="00083C56" w:rsidP="00083C56">
      <w:pPr>
        <w:spacing w:line="480" w:lineRule="auto"/>
        <w:rPr>
          <w:rFonts w:asciiTheme="majorBidi" w:hAnsiTheme="majorBidi" w:cstheme="majorBidi"/>
          <w:sz w:val="24"/>
          <w:szCs w:val="24"/>
        </w:rPr>
      </w:pPr>
      <w:r w:rsidRPr="00083C56">
        <w:rPr>
          <w:rFonts w:asciiTheme="majorBidi" w:hAnsiTheme="majorBidi" w:cstheme="majorBidi"/>
          <w:sz w:val="24"/>
          <w:szCs w:val="24"/>
        </w:rPr>
        <w:t>Stokols, D. (1996). Translating social ecological theory into guidelines for community health promotion. </w:t>
      </w:r>
      <w:r>
        <w:rPr>
          <w:rFonts w:asciiTheme="majorBidi" w:hAnsiTheme="majorBidi" w:cstheme="majorBidi"/>
          <w:i/>
          <w:iCs/>
          <w:sz w:val="24"/>
          <w:szCs w:val="24"/>
        </w:rPr>
        <w:t>American Journal of Health P</w:t>
      </w:r>
      <w:r w:rsidRPr="00083C56">
        <w:rPr>
          <w:rFonts w:asciiTheme="majorBidi" w:hAnsiTheme="majorBidi" w:cstheme="majorBidi"/>
          <w:i/>
          <w:iCs/>
          <w:sz w:val="24"/>
          <w:szCs w:val="24"/>
        </w:rPr>
        <w:t>romotion</w:t>
      </w:r>
      <w:r w:rsidRPr="00083C56">
        <w:rPr>
          <w:rFonts w:asciiTheme="majorBidi" w:hAnsiTheme="majorBidi" w:cstheme="majorBidi"/>
          <w:sz w:val="24"/>
          <w:szCs w:val="24"/>
        </w:rPr>
        <w:t>, </w:t>
      </w:r>
      <w:r w:rsidRPr="00083C56">
        <w:rPr>
          <w:rFonts w:asciiTheme="majorBidi" w:hAnsiTheme="majorBidi" w:cstheme="majorBidi"/>
          <w:i/>
          <w:iCs/>
          <w:sz w:val="24"/>
          <w:szCs w:val="24"/>
        </w:rPr>
        <w:t>10</w:t>
      </w:r>
      <w:r w:rsidRPr="00083C56">
        <w:rPr>
          <w:rFonts w:asciiTheme="majorBidi" w:hAnsiTheme="majorBidi" w:cstheme="majorBidi"/>
          <w:sz w:val="24"/>
          <w:szCs w:val="24"/>
        </w:rPr>
        <w:t>(4), 282-298.</w:t>
      </w:r>
    </w:p>
    <w:p w14:paraId="183EDF9B" w14:textId="6AB8978E" w:rsidR="008C05B7" w:rsidRPr="00EF7113" w:rsidRDefault="008C05B7" w:rsidP="00A275BB">
      <w:pPr>
        <w:spacing w:line="480" w:lineRule="auto"/>
        <w:rPr>
          <w:rFonts w:asciiTheme="majorBidi" w:hAnsiTheme="majorBidi" w:cstheme="majorBidi"/>
          <w:sz w:val="24"/>
          <w:szCs w:val="24"/>
        </w:rPr>
      </w:pPr>
      <w:r w:rsidRPr="008C05B7">
        <w:rPr>
          <w:rFonts w:asciiTheme="majorBidi" w:hAnsiTheme="majorBidi" w:cstheme="majorBidi"/>
          <w:sz w:val="24"/>
          <w:szCs w:val="24"/>
        </w:rPr>
        <w:t>The Helsinki Statement on Health in All Policies, </w:t>
      </w:r>
      <w:r w:rsidRPr="008C05B7">
        <w:rPr>
          <w:rFonts w:asciiTheme="majorBidi" w:hAnsiTheme="majorBidi" w:cstheme="majorBidi"/>
          <w:i/>
          <w:iCs/>
          <w:sz w:val="24"/>
          <w:szCs w:val="24"/>
        </w:rPr>
        <w:t>Health Promotion International</w:t>
      </w:r>
      <w:r w:rsidRPr="008C05B7">
        <w:rPr>
          <w:rFonts w:asciiTheme="majorBidi" w:hAnsiTheme="majorBidi" w:cstheme="majorBidi"/>
          <w:sz w:val="24"/>
          <w:szCs w:val="24"/>
        </w:rPr>
        <w:t xml:space="preserve">, </w:t>
      </w:r>
      <w:r w:rsidR="00A275BB">
        <w:rPr>
          <w:rFonts w:asciiTheme="majorBidi" w:hAnsiTheme="majorBidi" w:cstheme="majorBidi"/>
          <w:sz w:val="24"/>
          <w:szCs w:val="24"/>
        </w:rPr>
        <w:t>29</w:t>
      </w:r>
      <w:r w:rsidRPr="008C05B7">
        <w:rPr>
          <w:rFonts w:asciiTheme="majorBidi" w:hAnsiTheme="majorBidi" w:cstheme="majorBidi"/>
          <w:sz w:val="24"/>
          <w:szCs w:val="24"/>
        </w:rPr>
        <w:t xml:space="preserve"> </w:t>
      </w:r>
      <w:r w:rsidR="00A275BB">
        <w:rPr>
          <w:rFonts w:asciiTheme="majorBidi" w:hAnsiTheme="majorBidi" w:cstheme="majorBidi"/>
          <w:sz w:val="24"/>
          <w:szCs w:val="24"/>
        </w:rPr>
        <w:t>(</w:t>
      </w:r>
      <w:r w:rsidRPr="008C05B7">
        <w:rPr>
          <w:rFonts w:asciiTheme="majorBidi" w:hAnsiTheme="majorBidi" w:cstheme="majorBidi"/>
          <w:sz w:val="24"/>
          <w:szCs w:val="24"/>
        </w:rPr>
        <w:t>suppl_1</w:t>
      </w:r>
      <w:r w:rsidR="00A275BB">
        <w:rPr>
          <w:rFonts w:asciiTheme="majorBidi" w:hAnsiTheme="majorBidi" w:cstheme="majorBidi"/>
          <w:sz w:val="24"/>
          <w:szCs w:val="24"/>
        </w:rPr>
        <w:t>)</w:t>
      </w:r>
      <w:r w:rsidRPr="008C05B7">
        <w:rPr>
          <w:rFonts w:asciiTheme="majorBidi" w:hAnsiTheme="majorBidi" w:cstheme="majorBidi"/>
          <w:sz w:val="24"/>
          <w:szCs w:val="24"/>
        </w:rPr>
        <w:t>, 1 June 2014, Pages i17–i18, </w:t>
      </w:r>
      <w:hyperlink r:id="rId9" w:history="1">
        <w:r w:rsidRPr="008C05B7">
          <w:rPr>
            <w:rStyle w:val="Hyperlink"/>
            <w:rFonts w:asciiTheme="majorBidi" w:hAnsiTheme="majorBidi" w:cstheme="majorBidi"/>
            <w:sz w:val="24"/>
            <w:szCs w:val="24"/>
          </w:rPr>
          <w:t>https://doi.org/10.1093/heapro/dau036</w:t>
        </w:r>
      </w:hyperlink>
    </w:p>
    <w:p w14:paraId="712B77B7" w14:textId="4BD8D852" w:rsidR="001F057E" w:rsidRPr="00EF7113" w:rsidRDefault="001F057E" w:rsidP="00A275BB">
      <w:pPr>
        <w:spacing w:line="480" w:lineRule="auto"/>
        <w:rPr>
          <w:rFonts w:asciiTheme="majorBidi" w:hAnsiTheme="majorBidi" w:cstheme="majorBidi"/>
          <w:sz w:val="24"/>
          <w:szCs w:val="24"/>
        </w:rPr>
      </w:pPr>
      <w:r w:rsidRPr="00EF7113">
        <w:rPr>
          <w:rFonts w:asciiTheme="majorBidi" w:hAnsiTheme="majorBidi" w:cstheme="majorBidi"/>
          <w:sz w:val="24"/>
          <w:szCs w:val="24"/>
        </w:rPr>
        <w:t xml:space="preserve">Verhoest, Koen, Sandra Van Thiel, Geert Bouckaert, and Per Legreid, (2012), “Introduction”, in Koen Verhoest, Sandra Van Thiel, Geert Bouckaert, and Per Legreid (eds.), </w:t>
      </w:r>
      <w:r w:rsidRPr="00EF7113">
        <w:rPr>
          <w:rFonts w:asciiTheme="majorBidi" w:hAnsiTheme="majorBidi" w:cstheme="majorBidi"/>
          <w:i/>
          <w:sz w:val="24"/>
          <w:szCs w:val="24"/>
        </w:rPr>
        <w:t>Government Agencies: Practices and Lessons from 30 Countries</w:t>
      </w:r>
      <w:r w:rsidRPr="00EF7113">
        <w:rPr>
          <w:rFonts w:asciiTheme="majorBidi" w:hAnsiTheme="majorBidi" w:cstheme="majorBidi"/>
          <w:sz w:val="24"/>
          <w:szCs w:val="24"/>
        </w:rPr>
        <w:t>. Basingstoke; New York: Palgrave Macmillan.</w:t>
      </w:r>
    </w:p>
    <w:p w14:paraId="788C68A2" w14:textId="332A985B" w:rsidR="003C4F60" w:rsidRPr="00EF7113" w:rsidRDefault="00A275BB" w:rsidP="00A275BB">
      <w:pPr>
        <w:spacing w:line="480" w:lineRule="auto"/>
        <w:rPr>
          <w:rFonts w:asciiTheme="majorBidi" w:hAnsiTheme="majorBidi" w:cstheme="majorBidi"/>
          <w:sz w:val="24"/>
          <w:szCs w:val="24"/>
        </w:rPr>
      </w:pPr>
      <w:r>
        <w:rPr>
          <w:rFonts w:asciiTheme="majorBidi" w:hAnsiTheme="majorBidi" w:cstheme="majorBidi"/>
          <w:sz w:val="24"/>
          <w:szCs w:val="24"/>
        </w:rPr>
        <w:t>Verhoest, K. (2013).</w:t>
      </w:r>
      <w:r w:rsidR="003C4F60" w:rsidRPr="00EF7113">
        <w:rPr>
          <w:rFonts w:asciiTheme="majorBidi" w:hAnsiTheme="majorBidi" w:cstheme="majorBidi"/>
          <w:sz w:val="24"/>
          <w:szCs w:val="24"/>
        </w:rPr>
        <w:t xml:space="preserve"> ‘Agencification processes and agency governance: Organisational innovation at a global scale?’, in Pekka Valkama, Stephen J. Bailey, and Ari-Veikko Anttoroiko (eds.), </w:t>
      </w:r>
      <w:r w:rsidR="003C4F60" w:rsidRPr="00EF7113">
        <w:rPr>
          <w:rFonts w:asciiTheme="majorBidi" w:hAnsiTheme="majorBidi" w:cstheme="majorBidi"/>
          <w:i/>
          <w:sz w:val="24"/>
          <w:szCs w:val="24"/>
        </w:rPr>
        <w:t>Organizational innovation in public services: Forms and governance</w:t>
      </w:r>
      <w:r w:rsidR="003C4F60" w:rsidRPr="00EF7113">
        <w:rPr>
          <w:rFonts w:asciiTheme="majorBidi" w:hAnsiTheme="majorBidi" w:cstheme="majorBidi"/>
          <w:sz w:val="24"/>
          <w:szCs w:val="24"/>
        </w:rPr>
        <w:t>, pp. 49-71. Basingstoke; New York: Palgrave Macmillan.</w:t>
      </w:r>
    </w:p>
    <w:p w14:paraId="36BCFADC" w14:textId="6991E535" w:rsidR="009F410A" w:rsidRDefault="009F410A" w:rsidP="00A275BB">
      <w:pPr>
        <w:spacing w:line="480" w:lineRule="auto"/>
        <w:rPr>
          <w:rFonts w:asciiTheme="majorBidi" w:hAnsiTheme="majorBidi" w:cstheme="majorBidi"/>
          <w:sz w:val="24"/>
          <w:szCs w:val="24"/>
        </w:rPr>
      </w:pPr>
      <w:r w:rsidRPr="009F410A">
        <w:rPr>
          <w:rFonts w:asciiTheme="majorBidi" w:hAnsiTheme="majorBidi" w:cstheme="majorBidi"/>
          <w:sz w:val="24"/>
          <w:szCs w:val="24"/>
        </w:rPr>
        <w:t xml:space="preserve">Watt, R.G., </w:t>
      </w:r>
      <w:r w:rsidR="00A275BB">
        <w:rPr>
          <w:rFonts w:asciiTheme="majorBidi" w:hAnsiTheme="majorBidi" w:cstheme="majorBidi"/>
          <w:sz w:val="24"/>
          <w:szCs w:val="24"/>
        </w:rPr>
        <w:t>(</w:t>
      </w:r>
      <w:r w:rsidRPr="009F410A">
        <w:rPr>
          <w:rFonts w:asciiTheme="majorBidi" w:hAnsiTheme="majorBidi" w:cstheme="majorBidi"/>
          <w:sz w:val="24"/>
          <w:szCs w:val="24"/>
        </w:rPr>
        <w:t>2005</w:t>
      </w:r>
      <w:r w:rsidR="00A275BB">
        <w:rPr>
          <w:rFonts w:asciiTheme="majorBidi" w:hAnsiTheme="majorBidi" w:cstheme="majorBidi"/>
          <w:sz w:val="24"/>
          <w:szCs w:val="24"/>
        </w:rPr>
        <w:t>)</w:t>
      </w:r>
      <w:r w:rsidRPr="009F410A">
        <w:rPr>
          <w:rFonts w:asciiTheme="majorBidi" w:hAnsiTheme="majorBidi" w:cstheme="majorBidi"/>
          <w:sz w:val="24"/>
          <w:szCs w:val="24"/>
        </w:rPr>
        <w:t>. Strategies and approaches in oral disease prevention and health promotion. </w:t>
      </w:r>
      <w:r w:rsidRPr="009F410A">
        <w:rPr>
          <w:rFonts w:asciiTheme="majorBidi" w:hAnsiTheme="majorBidi" w:cstheme="majorBidi"/>
          <w:i/>
          <w:iCs/>
          <w:sz w:val="24"/>
          <w:szCs w:val="24"/>
        </w:rPr>
        <w:t>Bulletin of the World Health Organization</w:t>
      </w:r>
      <w:r w:rsidRPr="009F410A">
        <w:rPr>
          <w:rFonts w:asciiTheme="majorBidi" w:hAnsiTheme="majorBidi" w:cstheme="majorBidi"/>
          <w:sz w:val="24"/>
          <w:szCs w:val="24"/>
        </w:rPr>
        <w:t>, </w:t>
      </w:r>
      <w:r w:rsidRPr="009F410A">
        <w:rPr>
          <w:rFonts w:asciiTheme="majorBidi" w:hAnsiTheme="majorBidi" w:cstheme="majorBidi"/>
          <w:i/>
          <w:iCs/>
          <w:sz w:val="24"/>
          <w:szCs w:val="24"/>
        </w:rPr>
        <w:t>83</w:t>
      </w:r>
      <w:r w:rsidRPr="009F410A">
        <w:rPr>
          <w:rFonts w:asciiTheme="majorBidi" w:hAnsiTheme="majorBidi" w:cstheme="majorBidi"/>
          <w:sz w:val="24"/>
          <w:szCs w:val="24"/>
        </w:rPr>
        <w:t xml:space="preserve">, pp.711-718. </w:t>
      </w:r>
    </w:p>
    <w:p w14:paraId="7414191C" w14:textId="7E40E0A9" w:rsidR="00FE40CB" w:rsidRDefault="00FE40CB" w:rsidP="00A275BB">
      <w:pPr>
        <w:spacing w:line="480" w:lineRule="auto"/>
        <w:rPr>
          <w:rFonts w:asciiTheme="majorBidi" w:hAnsiTheme="majorBidi" w:cstheme="majorBidi"/>
          <w:sz w:val="24"/>
          <w:szCs w:val="24"/>
        </w:rPr>
      </w:pPr>
      <w:r>
        <w:rPr>
          <w:rFonts w:asciiTheme="majorBidi" w:hAnsiTheme="majorBidi" w:cstheme="majorBidi"/>
          <w:sz w:val="24"/>
          <w:szCs w:val="24"/>
        </w:rPr>
        <w:t>Wood</w:t>
      </w:r>
      <w:r w:rsidR="00B93FF9">
        <w:rPr>
          <w:rFonts w:asciiTheme="majorBidi" w:hAnsiTheme="majorBidi" w:cstheme="majorBidi"/>
          <w:sz w:val="24"/>
          <w:szCs w:val="24"/>
        </w:rPr>
        <w:t>, M.</w:t>
      </w:r>
      <w:r>
        <w:rPr>
          <w:rFonts w:asciiTheme="majorBidi" w:hAnsiTheme="majorBidi" w:cstheme="majorBidi"/>
          <w:sz w:val="24"/>
          <w:szCs w:val="24"/>
        </w:rPr>
        <w:t xml:space="preserve"> </w:t>
      </w:r>
      <w:r w:rsidR="00A275BB">
        <w:rPr>
          <w:rFonts w:asciiTheme="majorBidi" w:hAnsiTheme="majorBidi" w:cstheme="majorBidi"/>
          <w:sz w:val="24"/>
          <w:szCs w:val="24"/>
        </w:rPr>
        <w:t>(</w:t>
      </w:r>
      <w:r>
        <w:rPr>
          <w:rFonts w:asciiTheme="majorBidi" w:hAnsiTheme="majorBidi" w:cstheme="majorBidi"/>
          <w:sz w:val="24"/>
          <w:szCs w:val="24"/>
        </w:rPr>
        <w:t>forthcoming</w:t>
      </w:r>
      <w:r w:rsidR="00A275BB">
        <w:rPr>
          <w:rFonts w:asciiTheme="majorBidi" w:hAnsiTheme="majorBidi" w:cstheme="majorBidi"/>
          <w:sz w:val="24"/>
          <w:szCs w:val="24"/>
        </w:rPr>
        <w:t>)</w:t>
      </w:r>
      <w:r w:rsidR="00B93FF9">
        <w:rPr>
          <w:rFonts w:asciiTheme="majorBidi" w:hAnsiTheme="majorBidi" w:cstheme="majorBidi"/>
          <w:sz w:val="24"/>
          <w:szCs w:val="24"/>
        </w:rPr>
        <w:t xml:space="preserve">. </w:t>
      </w:r>
      <w:r w:rsidR="00B93FF9" w:rsidRPr="00B93FF9">
        <w:rPr>
          <w:rFonts w:asciiTheme="majorBidi" w:hAnsiTheme="majorBidi" w:cstheme="majorBidi"/>
          <w:i/>
          <w:iCs/>
          <w:sz w:val="24"/>
          <w:szCs w:val="24"/>
        </w:rPr>
        <w:t>Hyperactive Governance.</w:t>
      </w:r>
      <w:r w:rsidR="00B93FF9">
        <w:rPr>
          <w:rFonts w:asciiTheme="majorBidi" w:hAnsiTheme="majorBidi" w:cstheme="majorBidi"/>
          <w:sz w:val="24"/>
          <w:szCs w:val="24"/>
        </w:rPr>
        <w:t xml:space="preserve"> Cambridge University Press.</w:t>
      </w:r>
    </w:p>
    <w:p w14:paraId="7458D5F7" w14:textId="4E5B8A35" w:rsidR="00B97807" w:rsidRPr="00EF7113" w:rsidRDefault="009F410A" w:rsidP="00A275BB">
      <w:pPr>
        <w:spacing w:line="480" w:lineRule="auto"/>
        <w:rPr>
          <w:rFonts w:asciiTheme="majorBidi" w:hAnsiTheme="majorBidi" w:cstheme="majorBidi"/>
          <w:sz w:val="24"/>
          <w:szCs w:val="24"/>
        </w:rPr>
      </w:pPr>
      <w:r w:rsidRPr="009F410A">
        <w:rPr>
          <w:rFonts w:asciiTheme="majorBidi" w:hAnsiTheme="majorBidi" w:cstheme="majorBidi"/>
          <w:sz w:val="24"/>
          <w:szCs w:val="24"/>
        </w:rPr>
        <w:t xml:space="preserve">Yanow, D. and Schwartz-Shea, P., </w:t>
      </w:r>
      <w:r w:rsidR="00A275BB">
        <w:rPr>
          <w:rFonts w:asciiTheme="majorBidi" w:hAnsiTheme="majorBidi" w:cstheme="majorBidi"/>
          <w:sz w:val="24"/>
          <w:szCs w:val="24"/>
        </w:rPr>
        <w:t>(</w:t>
      </w:r>
      <w:r w:rsidRPr="009F410A">
        <w:rPr>
          <w:rFonts w:asciiTheme="majorBidi" w:hAnsiTheme="majorBidi" w:cstheme="majorBidi"/>
          <w:sz w:val="24"/>
          <w:szCs w:val="24"/>
        </w:rPr>
        <w:t>2012</w:t>
      </w:r>
      <w:r w:rsidR="00A275BB">
        <w:rPr>
          <w:rFonts w:asciiTheme="majorBidi" w:hAnsiTheme="majorBidi" w:cstheme="majorBidi"/>
          <w:sz w:val="24"/>
          <w:szCs w:val="24"/>
        </w:rPr>
        <w:t>)</w:t>
      </w:r>
      <w:r w:rsidRPr="009F410A">
        <w:rPr>
          <w:rFonts w:asciiTheme="majorBidi" w:hAnsiTheme="majorBidi" w:cstheme="majorBidi"/>
          <w:sz w:val="24"/>
          <w:szCs w:val="24"/>
        </w:rPr>
        <w:t xml:space="preserve">. </w:t>
      </w:r>
      <w:r>
        <w:rPr>
          <w:rFonts w:asciiTheme="majorBidi" w:hAnsiTheme="majorBidi" w:cstheme="majorBidi"/>
          <w:i/>
          <w:iCs/>
          <w:sz w:val="24"/>
          <w:szCs w:val="24"/>
        </w:rPr>
        <w:t>Interpret</w:t>
      </w:r>
      <w:r w:rsidRPr="009F410A">
        <w:rPr>
          <w:rFonts w:asciiTheme="majorBidi" w:hAnsiTheme="majorBidi" w:cstheme="majorBidi"/>
          <w:i/>
          <w:iCs/>
          <w:sz w:val="24"/>
          <w:szCs w:val="24"/>
        </w:rPr>
        <w:t>ive research design: Concepts and processes.</w:t>
      </w:r>
      <w:r>
        <w:rPr>
          <w:rFonts w:asciiTheme="majorBidi" w:hAnsiTheme="majorBidi" w:cstheme="majorBidi"/>
          <w:sz w:val="24"/>
          <w:szCs w:val="24"/>
        </w:rPr>
        <w:t xml:space="preserve"> Routledge: New York.</w:t>
      </w:r>
    </w:p>
    <w:sectPr w:rsidR="00B97807" w:rsidRPr="00EF711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62E5F" w14:textId="77777777" w:rsidR="0029370A" w:rsidRDefault="0029370A" w:rsidP="001D41BF">
      <w:pPr>
        <w:spacing w:after="0" w:line="240" w:lineRule="auto"/>
      </w:pPr>
      <w:r>
        <w:separator/>
      </w:r>
    </w:p>
  </w:endnote>
  <w:endnote w:type="continuationSeparator" w:id="0">
    <w:p w14:paraId="74436E72" w14:textId="77777777" w:rsidR="0029370A" w:rsidRDefault="0029370A" w:rsidP="001D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103405"/>
      <w:docPartObj>
        <w:docPartGallery w:val="Page Numbers (Bottom of Page)"/>
        <w:docPartUnique/>
      </w:docPartObj>
    </w:sdtPr>
    <w:sdtEndPr>
      <w:rPr>
        <w:noProof/>
      </w:rPr>
    </w:sdtEndPr>
    <w:sdtContent>
      <w:p w14:paraId="2BF3CA07" w14:textId="566FA42F" w:rsidR="00DB606A" w:rsidRDefault="00DB606A">
        <w:pPr>
          <w:pStyle w:val="Footer"/>
        </w:pPr>
        <w:r>
          <w:fldChar w:fldCharType="begin"/>
        </w:r>
        <w:r>
          <w:instrText xml:space="preserve"> PAGE   \* MERGEFORMAT </w:instrText>
        </w:r>
        <w:r>
          <w:fldChar w:fldCharType="separate"/>
        </w:r>
        <w:r w:rsidR="001B5932">
          <w:rPr>
            <w:noProof/>
          </w:rPr>
          <w:t>1</w:t>
        </w:r>
        <w:r>
          <w:rPr>
            <w:noProof/>
          </w:rPr>
          <w:fldChar w:fldCharType="end"/>
        </w:r>
      </w:p>
    </w:sdtContent>
  </w:sdt>
  <w:p w14:paraId="56ABFE22" w14:textId="77777777" w:rsidR="00DB606A" w:rsidRDefault="00DB6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5A004" w14:textId="77777777" w:rsidR="0029370A" w:rsidRDefault="0029370A" w:rsidP="001D41BF">
      <w:pPr>
        <w:spacing w:after="0" w:line="240" w:lineRule="auto"/>
      </w:pPr>
      <w:r>
        <w:separator/>
      </w:r>
    </w:p>
  </w:footnote>
  <w:footnote w:type="continuationSeparator" w:id="0">
    <w:p w14:paraId="5B63E3C1" w14:textId="77777777" w:rsidR="0029370A" w:rsidRDefault="0029370A" w:rsidP="001D41BF">
      <w:pPr>
        <w:spacing w:after="0" w:line="240" w:lineRule="auto"/>
      </w:pPr>
      <w:r>
        <w:continuationSeparator/>
      </w:r>
    </w:p>
  </w:footnote>
  <w:footnote w:id="1">
    <w:p w14:paraId="6516566A" w14:textId="3EC8E4AD" w:rsidR="00996C6C" w:rsidRDefault="00996C6C">
      <w:pPr>
        <w:pStyle w:val="FootnoteText"/>
      </w:pPr>
      <w:r>
        <w:rPr>
          <w:rStyle w:val="FootnoteReference"/>
        </w:rPr>
        <w:footnoteRef/>
      </w:r>
      <w:r>
        <w:t xml:space="preserve"> This paper is published in slightly adapted form in the journal </w:t>
      </w:r>
      <w:r w:rsidRPr="00996C6C">
        <w:rPr>
          <w:i/>
          <w:iCs/>
        </w:rPr>
        <w:t>Social Science &amp; Medicine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1ECD"/>
    <w:multiLevelType w:val="hybridMultilevel"/>
    <w:tmpl w:val="9D28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2A"/>
    <w:rsid w:val="0000295C"/>
    <w:rsid w:val="000057DB"/>
    <w:rsid w:val="0001524B"/>
    <w:rsid w:val="00025000"/>
    <w:rsid w:val="00030DEE"/>
    <w:rsid w:val="00031498"/>
    <w:rsid w:val="000329B3"/>
    <w:rsid w:val="000425FE"/>
    <w:rsid w:val="00044D49"/>
    <w:rsid w:val="00046E1D"/>
    <w:rsid w:val="00063554"/>
    <w:rsid w:val="000758DA"/>
    <w:rsid w:val="00083C56"/>
    <w:rsid w:val="000A4342"/>
    <w:rsid w:val="000A619D"/>
    <w:rsid w:val="000C63A7"/>
    <w:rsid w:val="000D513F"/>
    <w:rsid w:val="000D7E8D"/>
    <w:rsid w:val="000E1681"/>
    <w:rsid w:val="000E5D5E"/>
    <w:rsid w:val="000F68B0"/>
    <w:rsid w:val="00106644"/>
    <w:rsid w:val="001140AA"/>
    <w:rsid w:val="00121D63"/>
    <w:rsid w:val="00122AD4"/>
    <w:rsid w:val="001232DA"/>
    <w:rsid w:val="001302EC"/>
    <w:rsid w:val="00130A20"/>
    <w:rsid w:val="00135300"/>
    <w:rsid w:val="001368BA"/>
    <w:rsid w:val="00151DA9"/>
    <w:rsid w:val="00152F7D"/>
    <w:rsid w:val="00153561"/>
    <w:rsid w:val="00165053"/>
    <w:rsid w:val="00167FD6"/>
    <w:rsid w:val="0018125F"/>
    <w:rsid w:val="0019148F"/>
    <w:rsid w:val="001B0D9A"/>
    <w:rsid w:val="001B2D7D"/>
    <w:rsid w:val="001B3871"/>
    <w:rsid w:val="001B5932"/>
    <w:rsid w:val="001C1882"/>
    <w:rsid w:val="001C70CE"/>
    <w:rsid w:val="001C7716"/>
    <w:rsid w:val="001D3590"/>
    <w:rsid w:val="001D41BF"/>
    <w:rsid w:val="001D469D"/>
    <w:rsid w:val="001D6E1D"/>
    <w:rsid w:val="001E0085"/>
    <w:rsid w:val="001E26AF"/>
    <w:rsid w:val="001E5A53"/>
    <w:rsid w:val="001E6AF1"/>
    <w:rsid w:val="001F057E"/>
    <w:rsid w:val="001F1D37"/>
    <w:rsid w:val="001F70C3"/>
    <w:rsid w:val="00205D60"/>
    <w:rsid w:val="00206413"/>
    <w:rsid w:val="002075AE"/>
    <w:rsid w:val="00213114"/>
    <w:rsid w:val="00230DC9"/>
    <w:rsid w:val="00231EB6"/>
    <w:rsid w:val="0023235E"/>
    <w:rsid w:val="00234352"/>
    <w:rsid w:val="002438E0"/>
    <w:rsid w:val="00260719"/>
    <w:rsid w:val="00261D64"/>
    <w:rsid w:val="002831E5"/>
    <w:rsid w:val="002840E9"/>
    <w:rsid w:val="0029370A"/>
    <w:rsid w:val="00297826"/>
    <w:rsid w:val="002A03E4"/>
    <w:rsid w:val="002B5C92"/>
    <w:rsid w:val="002C3F9C"/>
    <w:rsid w:val="002C3FEE"/>
    <w:rsid w:val="002E56C8"/>
    <w:rsid w:val="002E6640"/>
    <w:rsid w:val="002F3577"/>
    <w:rsid w:val="00306CD3"/>
    <w:rsid w:val="0033037A"/>
    <w:rsid w:val="00337863"/>
    <w:rsid w:val="00342E81"/>
    <w:rsid w:val="0034639C"/>
    <w:rsid w:val="00364806"/>
    <w:rsid w:val="00365CDF"/>
    <w:rsid w:val="0038155C"/>
    <w:rsid w:val="00387204"/>
    <w:rsid w:val="00390C1D"/>
    <w:rsid w:val="0039241E"/>
    <w:rsid w:val="0039357A"/>
    <w:rsid w:val="003A6D69"/>
    <w:rsid w:val="003B0D15"/>
    <w:rsid w:val="003B1781"/>
    <w:rsid w:val="003B5088"/>
    <w:rsid w:val="003B7DE4"/>
    <w:rsid w:val="003C17AB"/>
    <w:rsid w:val="003C4321"/>
    <w:rsid w:val="003C4F60"/>
    <w:rsid w:val="003C73DD"/>
    <w:rsid w:val="003D51E4"/>
    <w:rsid w:val="003D56FB"/>
    <w:rsid w:val="003E7E4E"/>
    <w:rsid w:val="003F3FED"/>
    <w:rsid w:val="00402773"/>
    <w:rsid w:val="00405503"/>
    <w:rsid w:val="00405A2E"/>
    <w:rsid w:val="0041161F"/>
    <w:rsid w:val="00412C68"/>
    <w:rsid w:val="0041653F"/>
    <w:rsid w:val="004168CF"/>
    <w:rsid w:val="0045412A"/>
    <w:rsid w:val="004572C0"/>
    <w:rsid w:val="00473314"/>
    <w:rsid w:val="00475C7F"/>
    <w:rsid w:val="0048739E"/>
    <w:rsid w:val="00496972"/>
    <w:rsid w:val="004A0F55"/>
    <w:rsid w:val="004A109C"/>
    <w:rsid w:val="004A2344"/>
    <w:rsid w:val="004B05F8"/>
    <w:rsid w:val="004B6586"/>
    <w:rsid w:val="004C35B7"/>
    <w:rsid w:val="004C3BC2"/>
    <w:rsid w:val="004C6DB6"/>
    <w:rsid w:val="004D317B"/>
    <w:rsid w:val="004D3631"/>
    <w:rsid w:val="004D6699"/>
    <w:rsid w:val="004E3BFC"/>
    <w:rsid w:val="004E49F2"/>
    <w:rsid w:val="004E5539"/>
    <w:rsid w:val="004E5908"/>
    <w:rsid w:val="004E73D7"/>
    <w:rsid w:val="00504EF0"/>
    <w:rsid w:val="00504FBE"/>
    <w:rsid w:val="00505777"/>
    <w:rsid w:val="0051176C"/>
    <w:rsid w:val="00513EBC"/>
    <w:rsid w:val="005273BB"/>
    <w:rsid w:val="005346D2"/>
    <w:rsid w:val="0054285E"/>
    <w:rsid w:val="00544146"/>
    <w:rsid w:val="005455AB"/>
    <w:rsid w:val="00545610"/>
    <w:rsid w:val="00545FDD"/>
    <w:rsid w:val="0055468E"/>
    <w:rsid w:val="005571EB"/>
    <w:rsid w:val="00561B89"/>
    <w:rsid w:val="00566EA2"/>
    <w:rsid w:val="00583AA2"/>
    <w:rsid w:val="0058628B"/>
    <w:rsid w:val="005939E8"/>
    <w:rsid w:val="005A3915"/>
    <w:rsid w:val="005A3FEF"/>
    <w:rsid w:val="005A41A3"/>
    <w:rsid w:val="005A52D8"/>
    <w:rsid w:val="005B1833"/>
    <w:rsid w:val="005C0A15"/>
    <w:rsid w:val="005C2256"/>
    <w:rsid w:val="005C27D2"/>
    <w:rsid w:val="005C4D7E"/>
    <w:rsid w:val="005C5BD0"/>
    <w:rsid w:val="005D0F18"/>
    <w:rsid w:val="005D1B59"/>
    <w:rsid w:val="005E25A0"/>
    <w:rsid w:val="005E27C7"/>
    <w:rsid w:val="005E664D"/>
    <w:rsid w:val="005F6D8F"/>
    <w:rsid w:val="00612282"/>
    <w:rsid w:val="00616CC7"/>
    <w:rsid w:val="00621CD2"/>
    <w:rsid w:val="00623B0C"/>
    <w:rsid w:val="006260B0"/>
    <w:rsid w:val="00647C7B"/>
    <w:rsid w:val="00650E51"/>
    <w:rsid w:val="00652E1C"/>
    <w:rsid w:val="006530BD"/>
    <w:rsid w:val="0065662A"/>
    <w:rsid w:val="006603CA"/>
    <w:rsid w:val="00664694"/>
    <w:rsid w:val="0066635C"/>
    <w:rsid w:val="0067268F"/>
    <w:rsid w:val="00674066"/>
    <w:rsid w:val="0067630E"/>
    <w:rsid w:val="00677DCD"/>
    <w:rsid w:val="006B1111"/>
    <w:rsid w:val="006B5809"/>
    <w:rsid w:val="006C0D09"/>
    <w:rsid w:val="006C66CC"/>
    <w:rsid w:val="006D27C0"/>
    <w:rsid w:val="006E2383"/>
    <w:rsid w:val="006F13F8"/>
    <w:rsid w:val="00704A51"/>
    <w:rsid w:val="00706F9F"/>
    <w:rsid w:val="0071262B"/>
    <w:rsid w:val="0073272B"/>
    <w:rsid w:val="00742A5C"/>
    <w:rsid w:val="00752B57"/>
    <w:rsid w:val="00754E80"/>
    <w:rsid w:val="007560FD"/>
    <w:rsid w:val="0076332D"/>
    <w:rsid w:val="00777103"/>
    <w:rsid w:val="00791CE9"/>
    <w:rsid w:val="00791D02"/>
    <w:rsid w:val="00795752"/>
    <w:rsid w:val="007A36AE"/>
    <w:rsid w:val="007B7101"/>
    <w:rsid w:val="007C0501"/>
    <w:rsid w:val="007C2768"/>
    <w:rsid w:val="007C541C"/>
    <w:rsid w:val="007F4D46"/>
    <w:rsid w:val="00805AF8"/>
    <w:rsid w:val="00806776"/>
    <w:rsid w:val="00812453"/>
    <w:rsid w:val="008158CD"/>
    <w:rsid w:val="008366BA"/>
    <w:rsid w:val="008423E8"/>
    <w:rsid w:val="00845C79"/>
    <w:rsid w:val="00851ACC"/>
    <w:rsid w:val="00865C13"/>
    <w:rsid w:val="008669FF"/>
    <w:rsid w:val="00876858"/>
    <w:rsid w:val="00877C10"/>
    <w:rsid w:val="0088680F"/>
    <w:rsid w:val="00893AD9"/>
    <w:rsid w:val="00895E3C"/>
    <w:rsid w:val="008A2DBF"/>
    <w:rsid w:val="008C05B7"/>
    <w:rsid w:val="008C2991"/>
    <w:rsid w:val="008C2CD6"/>
    <w:rsid w:val="008C7AE1"/>
    <w:rsid w:val="008D48C7"/>
    <w:rsid w:val="008D4F13"/>
    <w:rsid w:val="008E21D7"/>
    <w:rsid w:val="008E47C3"/>
    <w:rsid w:val="00903E66"/>
    <w:rsid w:val="0090706C"/>
    <w:rsid w:val="00911548"/>
    <w:rsid w:val="00916BE4"/>
    <w:rsid w:val="0091789E"/>
    <w:rsid w:val="009231B1"/>
    <w:rsid w:val="00952871"/>
    <w:rsid w:val="0095533F"/>
    <w:rsid w:val="0095744D"/>
    <w:rsid w:val="009578AF"/>
    <w:rsid w:val="00962EAD"/>
    <w:rsid w:val="009722A0"/>
    <w:rsid w:val="00976C08"/>
    <w:rsid w:val="0098492A"/>
    <w:rsid w:val="009929E0"/>
    <w:rsid w:val="009946EA"/>
    <w:rsid w:val="00994ABF"/>
    <w:rsid w:val="00996C6C"/>
    <w:rsid w:val="009A4227"/>
    <w:rsid w:val="009C73B5"/>
    <w:rsid w:val="009D4E18"/>
    <w:rsid w:val="009E267A"/>
    <w:rsid w:val="009F154F"/>
    <w:rsid w:val="009F410A"/>
    <w:rsid w:val="00A0024B"/>
    <w:rsid w:val="00A275BB"/>
    <w:rsid w:val="00A30127"/>
    <w:rsid w:val="00A418E1"/>
    <w:rsid w:val="00A52E6D"/>
    <w:rsid w:val="00A64772"/>
    <w:rsid w:val="00A82FCA"/>
    <w:rsid w:val="00AA30AF"/>
    <w:rsid w:val="00AB26BE"/>
    <w:rsid w:val="00AB329D"/>
    <w:rsid w:val="00AD37C3"/>
    <w:rsid w:val="00AD3812"/>
    <w:rsid w:val="00AD6B6A"/>
    <w:rsid w:val="00B018B9"/>
    <w:rsid w:val="00B057FC"/>
    <w:rsid w:val="00B227E8"/>
    <w:rsid w:val="00B37402"/>
    <w:rsid w:val="00B4042C"/>
    <w:rsid w:val="00B47A3D"/>
    <w:rsid w:val="00B54CF0"/>
    <w:rsid w:val="00B733CE"/>
    <w:rsid w:val="00B8673D"/>
    <w:rsid w:val="00B93FF9"/>
    <w:rsid w:val="00B97807"/>
    <w:rsid w:val="00BA1016"/>
    <w:rsid w:val="00BB0C10"/>
    <w:rsid w:val="00BB22A5"/>
    <w:rsid w:val="00BC2B67"/>
    <w:rsid w:val="00BD1D90"/>
    <w:rsid w:val="00BE2474"/>
    <w:rsid w:val="00BE5109"/>
    <w:rsid w:val="00C040CB"/>
    <w:rsid w:val="00C14F02"/>
    <w:rsid w:val="00C209A8"/>
    <w:rsid w:val="00C26D58"/>
    <w:rsid w:val="00C4452A"/>
    <w:rsid w:val="00C471F0"/>
    <w:rsid w:val="00C51667"/>
    <w:rsid w:val="00C71611"/>
    <w:rsid w:val="00C724E8"/>
    <w:rsid w:val="00C730AA"/>
    <w:rsid w:val="00C77915"/>
    <w:rsid w:val="00C80E1B"/>
    <w:rsid w:val="00C83BAA"/>
    <w:rsid w:val="00C84008"/>
    <w:rsid w:val="00C95DAA"/>
    <w:rsid w:val="00C96673"/>
    <w:rsid w:val="00CA17F2"/>
    <w:rsid w:val="00CC352A"/>
    <w:rsid w:val="00CD17AB"/>
    <w:rsid w:val="00CD6EEC"/>
    <w:rsid w:val="00CE19EB"/>
    <w:rsid w:val="00D13776"/>
    <w:rsid w:val="00D31BCA"/>
    <w:rsid w:val="00D3557C"/>
    <w:rsid w:val="00D92C40"/>
    <w:rsid w:val="00DB606A"/>
    <w:rsid w:val="00DB7C87"/>
    <w:rsid w:val="00DC0A9F"/>
    <w:rsid w:val="00DC19C8"/>
    <w:rsid w:val="00DC3DBF"/>
    <w:rsid w:val="00DC5FAE"/>
    <w:rsid w:val="00DC66C5"/>
    <w:rsid w:val="00DD1ACA"/>
    <w:rsid w:val="00DE109F"/>
    <w:rsid w:val="00DE22F6"/>
    <w:rsid w:val="00DF0E5F"/>
    <w:rsid w:val="00DF516C"/>
    <w:rsid w:val="00DF6ED0"/>
    <w:rsid w:val="00E078E2"/>
    <w:rsid w:val="00E1501A"/>
    <w:rsid w:val="00E226F4"/>
    <w:rsid w:val="00E22F19"/>
    <w:rsid w:val="00E231B5"/>
    <w:rsid w:val="00E2323E"/>
    <w:rsid w:val="00E457E6"/>
    <w:rsid w:val="00E52146"/>
    <w:rsid w:val="00E606DF"/>
    <w:rsid w:val="00E622C0"/>
    <w:rsid w:val="00E752F1"/>
    <w:rsid w:val="00E7552C"/>
    <w:rsid w:val="00E7704B"/>
    <w:rsid w:val="00EB05F7"/>
    <w:rsid w:val="00EB3E11"/>
    <w:rsid w:val="00EC04A8"/>
    <w:rsid w:val="00EC0B69"/>
    <w:rsid w:val="00EC3888"/>
    <w:rsid w:val="00EC4AE0"/>
    <w:rsid w:val="00EC4E86"/>
    <w:rsid w:val="00EC7096"/>
    <w:rsid w:val="00EE0E41"/>
    <w:rsid w:val="00EE1720"/>
    <w:rsid w:val="00EF3FA0"/>
    <w:rsid w:val="00EF67F2"/>
    <w:rsid w:val="00EF7113"/>
    <w:rsid w:val="00F02F93"/>
    <w:rsid w:val="00F107EE"/>
    <w:rsid w:val="00F15C93"/>
    <w:rsid w:val="00F16F2F"/>
    <w:rsid w:val="00F20FAF"/>
    <w:rsid w:val="00F222C3"/>
    <w:rsid w:val="00F35706"/>
    <w:rsid w:val="00F376FB"/>
    <w:rsid w:val="00F43EAA"/>
    <w:rsid w:val="00F470D6"/>
    <w:rsid w:val="00F478E6"/>
    <w:rsid w:val="00F71136"/>
    <w:rsid w:val="00F714C5"/>
    <w:rsid w:val="00F83B65"/>
    <w:rsid w:val="00F954DF"/>
    <w:rsid w:val="00F95F1F"/>
    <w:rsid w:val="00FA1628"/>
    <w:rsid w:val="00FC2495"/>
    <w:rsid w:val="00FC2E5B"/>
    <w:rsid w:val="00FE40CB"/>
    <w:rsid w:val="00FE44A2"/>
    <w:rsid w:val="00FF4A70"/>
    <w:rsid w:val="00FF62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A8CC"/>
  <w15:docId w15:val="{952EDE75-9E29-4D8A-B4F6-B3DC50B4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3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40E9"/>
    <w:rPr>
      <w:sz w:val="16"/>
      <w:szCs w:val="16"/>
    </w:rPr>
  </w:style>
  <w:style w:type="paragraph" w:styleId="CommentText">
    <w:name w:val="annotation text"/>
    <w:basedOn w:val="Normal"/>
    <w:link w:val="CommentTextChar"/>
    <w:uiPriority w:val="99"/>
    <w:semiHidden/>
    <w:unhideWhenUsed/>
    <w:rsid w:val="002840E9"/>
    <w:pPr>
      <w:spacing w:line="240" w:lineRule="auto"/>
    </w:pPr>
    <w:rPr>
      <w:sz w:val="20"/>
      <w:szCs w:val="20"/>
    </w:rPr>
  </w:style>
  <w:style w:type="character" w:customStyle="1" w:styleId="CommentTextChar">
    <w:name w:val="Comment Text Char"/>
    <w:basedOn w:val="DefaultParagraphFont"/>
    <w:link w:val="CommentText"/>
    <w:uiPriority w:val="99"/>
    <w:semiHidden/>
    <w:rsid w:val="002840E9"/>
    <w:rPr>
      <w:sz w:val="20"/>
      <w:szCs w:val="20"/>
    </w:rPr>
  </w:style>
  <w:style w:type="paragraph" w:styleId="CommentSubject">
    <w:name w:val="annotation subject"/>
    <w:basedOn w:val="CommentText"/>
    <w:next w:val="CommentText"/>
    <w:link w:val="CommentSubjectChar"/>
    <w:uiPriority w:val="99"/>
    <w:semiHidden/>
    <w:unhideWhenUsed/>
    <w:rsid w:val="002840E9"/>
    <w:rPr>
      <w:b/>
      <w:bCs/>
    </w:rPr>
  </w:style>
  <w:style w:type="character" w:customStyle="1" w:styleId="CommentSubjectChar">
    <w:name w:val="Comment Subject Char"/>
    <w:basedOn w:val="CommentTextChar"/>
    <w:link w:val="CommentSubject"/>
    <w:uiPriority w:val="99"/>
    <w:semiHidden/>
    <w:rsid w:val="002840E9"/>
    <w:rPr>
      <w:b/>
      <w:bCs/>
      <w:sz w:val="20"/>
      <w:szCs w:val="20"/>
    </w:rPr>
  </w:style>
  <w:style w:type="paragraph" w:styleId="BalloonText">
    <w:name w:val="Balloon Text"/>
    <w:basedOn w:val="Normal"/>
    <w:link w:val="BalloonTextChar"/>
    <w:uiPriority w:val="99"/>
    <w:semiHidden/>
    <w:unhideWhenUsed/>
    <w:rsid w:val="00284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0E9"/>
    <w:rPr>
      <w:rFonts w:ascii="Segoe UI" w:hAnsi="Segoe UI" w:cs="Segoe UI"/>
      <w:sz w:val="18"/>
      <w:szCs w:val="18"/>
    </w:rPr>
  </w:style>
  <w:style w:type="character" w:styleId="Hyperlink">
    <w:name w:val="Hyperlink"/>
    <w:basedOn w:val="DefaultParagraphFont"/>
    <w:uiPriority w:val="99"/>
    <w:unhideWhenUsed/>
    <w:rsid w:val="002840E9"/>
    <w:rPr>
      <w:color w:val="0000FF" w:themeColor="hyperlink"/>
      <w:u w:val="single"/>
    </w:rPr>
  </w:style>
  <w:style w:type="character" w:styleId="FollowedHyperlink">
    <w:name w:val="FollowedHyperlink"/>
    <w:basedOn w:val="DefaultParagraphFont"/>
    <w:uiPriority w:val="99"/>
    <w:semiHidden/>
    <w:unhideWhenUsed/>
    <w:rsid w:val="00EC3888"/>
    <w:rPr>
      <w:color w:val="800080" w:themeColor="followedHyperlink"/>
      <w:u w:val="single"/>
    </w:rPr>
  </w:style>
  <w:style w:type="paragraph" w:styleId="Header">
    <w:name w:val="header"/>
    <w:basedOn w:val="Normal"/>
    <w:link w:val="HeaderChar"/>
    <w:uiPriority w:val="99"/>
    <w:unhideWhenUsed/>
    <w:rsid w:val="001D4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1BF"/>
  </w:style>
  <w:style w:type="paragraph" w:styleId="Footer">
    <w:name w:val="footer"/>
    <w:basedOn w:val="Normal"/>
    <w:link w:val="FooterChar"/>
    <w:uiPriority w:val="99"/>
    <w:unhideWhenUsed/>
    <w:rsid w:val="001D4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1BF"/>
  </w:style>
  <w:style w:type="paragraph" w:styleId="FootnoteText">
    <w:name w:val="footnote text"/>
    <w:basedOn w:val="Normal"/>
    <w:link w:val="FootnoteTextChar"/>
    <w:uiPriority w:val="99"/>
    <w:semiHidden/>
    <w:unhideWhenUsed/>
    <w:rsid w:val="004027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773"/>
    <w:rPr>
      <w:sz w:val="20"/>
      <w:szCs w:val="20"/>
    </w:rPr>
  </w:style>
  <w:style w:type="character" w:styleId="FootnoteReference">
    <w:name w:val="footnote reference"/>
    <w:basedOn w:val="DefaultParagraphFont"/>
    <w:uiPriority w:val="99"/>
    <w:semiHidden/>
    <w:unhideWhenUsed/>
    <w:rsid w:val="00402773"/>
    <w:rPr>
      <w:vertAlign w:val="superscript"/>
    </w:rPr>
  </w:style>
  <w:style w:type="paragraph" w:styleId="Revision">
    <w:name w:val="Revision"/>
    <w:hidden/>
    <w:uiPriority w:val="99"/>
    <w:semiHidden/>
    <w:rsid w:val="00DC0A9F"/>
    <w:pPr>
      <w:spacing w:after="0" w:line="240" w:lineRule="auto"/>
    </w:pPr>
  </w:style>
  <w:style w:type="paragraph" w:styleId="ListParagraph">
    <w:name w:val="List Paragraph"/>
    <w:basedOn w:val="Normal"/>
    <w:uiPriority w:val="34"/>
    <w:qFormat/>
    <w:rsid w:val="00E23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0977">
      <w:bodyDiv w:val="1"/>
      <w:marLeft w:val="0"/>
      <w:marRight w:val="0"/>
      <w:marTop w:val="0"/>
      <w:marBottom w:val="0"/>
      <w:divBdr>
        <w:top w:val="none" w:sz="0" w:space="0" w:color="auto"/>
        <w:left w:val="none" w:sz="0" w:space="0" w:color="auto"/>
        <w:bottom w:val="none" w:sz="0" w:space="0" w:color="auto"/>
        <w:right w:val="none" w:sz="0" w:space="0" w:color="auto"/>
      </w:divBdr>
    </w:div>
    <w:div w:id="47532878">
      <w:bodyDiv w:val="1"/>
      <w:marLeft w:val="0"/>
      <w:marRight w:val="0"/>
      <w:marTop w:val="0"/>
      <w:marBottom w:val="0"/>
      <w:divBdr>
        <w:top w:val="none" w:sz="0" w:space="0" w:color="auto"/>
        <w:left w:val="none" w:sz="0" w:space="0" w:color="auto"/>
        <w:bottom w:val="none" w:sz="0" w:space="0" w:color="auto"/>
        <w:right w:val="none" w:sz="0" w:space="0" w:color="auto"/>
      </w:divBdr>
      <w:divsChild>
        <w:div w:id="1539968523">
          <w:marLeft w:val="0"/>
          <w:marRight w:val="0"/>
          <w:marTop w:val="0"/>
          <w:marBottom w:val="0"/>
          <w:divBdr>
            <w:top w:val="none" w:sz="0" w:space="0" w:color="auto"/>
            <w:left w:val="none" w:sz="0" w:space="0" w:color="auto"/>
            <w:bottom w:val="none" w:sz="0" w:space="0" w:color="auto"/>
            <w:right w:val="none" w:sz="0" w:space="0" w:color="auto"/>
          </w:divBdr>
        </w:div>
        <w:div w:id="1234194184">
          <w:marLeft w:val="0"/>
          <w:marRight w:val="0"/>
          <w:marTop w:val="0"/>
          <w:marBottom w:val="0"/>
          <w:divBdr>
            <w:top w:val="none" w:sz="0" w:space="0" w:color="auto"/>
            <w:left w:val="none" w:sz="0" w:space="0" w:color="auto"/>
            <w:bottom w:val="none" w:sz="0" w:space="0" w:color="auto"/>
            <w:right w:val="none" w:sz="0" w:space="0" w:color="auto"/>
          </w:divBdr>
        </w:div>
      </w:divsChild>
    </w:div>
    <w:div w:id="60521905">
      <w:bodyDiv w:val="1"/>
      <w:marLeft w:val="0"/>
      <w:marRight w:val="0"/>
      <w:marTop w:val="0"/>
      <w:marBottom w:val="0"/>
      <w:divBdr>
        <w:top w:val="none" w:sz="0" w:space="0" w:color="auto"/>
        <w:left w:val="none" w:sz="0" w:space="0" w:color="auto"/>
        <w:bottom w:val="none" w:sz="0" w:space="0" w:color="auto"/>
        <w:right w:val="none" w:sz="0" w:space="0" w:color="auto"/>
      </w:divBdr>
    </w:div>
    <w:div w:id="168637999">
      <w:bodyDiv w:val="1"/>
      <w:marLeft w:val="0"/>
      <w:marRight w:val="0"/>
      <w:marTop w:val="0"/>
      <w:marBottom w:val="0"/>
      <w:divBdr>
        <w:top w:val="none" w:sz="0" w:space="0" w:color="auto"/>
        <w:left w:val="none" w:sz="0" w:space="0" w:color="auto"/>
        <w:bottom w:val="none" w:sz="0" w:space="0" w:color="auto"/>
        <w:right w:val="none" w:sz="0" w:space="0" w:color="auto"/>
      </w:divBdr>
    </w:div>
    <w:div w:id="174732565">
      <w:bodyDiv w:val="1"/>
      <w:marLeft w:val="0"/>
      <w:marRight w:val="0"/>
      <w:marTop w:val="0"/>
      <w:marBottom w:val="0"/>
      <w:divBdr>
        <w:top w:val="none" w:sz="0" w:space="0" w:color="auto"/>
        <w:left w:val="none" w:sz="0" w:space="0" w:color="auto"/>
        <w:bottom w:val="none" w:sz="0" w:space="0" w:color="auto"/>
        <w:right w:val="none" w:sz="0" w:space="0" w:color="auto"/>
      </w:divBdr>
      <w:divsChild>
        <w:div w:id="1821917312">
          <w:marLeft w:val="0"/>
          <w:marRight w:val="0"/>
          <w:marTop w:val="0"/>
          <w:marBottom w:val="0"/>
          <w:divBdr>
            <w:top w:val="none" w:sz="0" w:space="0" w:color="auto"/>
            <w:left w:val="none" w:sz="0" w:space="0" w:color="auto"/>
            <w:bottom w:val="none" w:sz="0" w:space="0" w:color="auto"/>
            <w:right w:val="none" w:sz="0" w:space="0" w:color="auto"/>
          </w:divBdr>
        </w:div>
        <w:div w:id="43407940">
          <w:marLeft w:val="0"/>
          <w:marRight w:val="0"/>
          <w:marTop w:val="0"/>
          <w:marBottom w:val="0"/>
          <w:divBdr>
            <w:top w:val="none" w:sz="0" w:space="0" w:color="auto"/>
            <w:left w:val="none" w:sz="0" w:space="0" w:color="auto"/>
            <w:bottom w:val="none" w:sz="0" w:space="0" w:color="auto"/>
            <w:right w:val="none" w:sz="0" w:space="0" w:color="auto"/>
          </w:divBdr>
        </w:div>
      </w:divsChild>
    </w:div>
    <w:div w:id="181483389">
      <w:bodyDiv w:val="1"/>
      <w:marLeft w:val="0"/>
      <w:marRight w:val="0"/>
      <w:marTop w:val="0"/>
      <w:marBottom w:val="0"/>
      <w:divBdr>
        <w:top w:val="none" w:sz="0" w:space="0" w:color="auto"/>
        <w:left w:val="none" w:sz="0" w:space="0" w:color="auto"/>
        <w:bottom w:val="none" w:sz="0" w:space="0" w:color="auto"/>
        <w:right w:val="none" w:sz="0" w:space="0" w:color="auto"/>
      </w:divBdr>
    </w:div>
    <w:div w:id="189608204">
      <w:bodyDiv w:val="1"/>
      <w:marLeft w:val="0"/>
      <w:marRight w:val="0"/>
      <w:marTop w:val="0"/>
      <w:marBottom w:val="0"/>
      <w:divBdr>
        <w:top w:val="none" w:sz="0" w:space="0" w:color="auto"/>
        <w:left w:val="none" w:sz="0" w:space="0" w:color="auto"/>
        <w:bottom w:val="none" w:sz="0" w:space="0" w:color="auto"/>
        <w:right w:val="none" w:sz="0" w:space="0" w:color="auto"/>
      </w:divBdr>
      <w:divsChild>
        <w:div w:id="781414371">
          <w:marLeft w:val="0"/>
          <w:marRight w:val="0"/>
          <w:marTop w:val="0"/>
          <w:marBottom w:val="0"/>
          <w:divBdr>
            <w:top w:val="none" w:sz="0" w:space="0" w:color="auto"/>
            <w:left w:val="none" w:sz="0" w:space="0" w:color="auto"/>
            <w:bottom w:val="none" w:sz="0" w:space="0" w:color="auto"/>
            <w:right w:val="none" w:sz="0" w:space="0" w:color="auto"/>
          </w:divBdr>
          <w:divsChild>
            <w:div w:id="652609918">
              <w:marLeft w:val="0"/>
              <w:marRight w:val="0"/>
              <w:marTop w:val="0"/>
              <w:marBottom w:val="0"/>
              <w:divBdr>
                <w:top w:val="none" w:sz="0" w:space="0" w:color="auto"/>
                <w:left w:val="none" w:sz="0" w:space="0" w:color="auto"/>
                <w:bottom w:val="none" w:sz="0" w:space="0" w:color="auto"/>
                <w:right w:val="none" w:sz="0" w:space="0" w:color="auto"/>
              </w:divBdr>
            </w:div>
          </w:divsChild>
        </w:div>
        <w:div w:id="721565085">
          <w:marLeft w:val="0"/>
          <w:marRight w:val="0"/>
          <w:marTop w:val="0"/>
          <w:marBottom w:val="0"/>
          <w:divBdr>
            <w:top w:val="none" w:sz="0" w:space="0" w:color="auto"/>
            <w:left w:val="none" w:sz="0" w:space="0" w:color="auto"/>
            <w:bottom w:val="none" w:sz="0" w:space="0" w:color="auto"/>
            <w:right w:val="none" w:sz="0" w:space="0" w:color="auto"/>
          </w:divBdr>
          <w:divsChild>
            <w:div w:id="2133668261">
              <w:marLeft w:val="0"/>
              <w:marRight w:val="0"/>
              <w:marTop w:val="0"/>
              <w:marBottom w:val="0"/>
              <w:divBdr>
                <w:top w:val="none" w:sz="0" w:space="0" w:color="auto"/>
                <w:left w:val="none" w:sz="0" w:space="0" w:color="auto"/>
                <w:bottom w:val="none" w:sz="0" w:space="0" w:color="auto"/>
                <w:right w:val="none" w:sz="0" w:space="0" w:color="auto"/>
              </w:divBdr>
              <w:divsChild>
                <w:div w:id="892928036">
                  <w:marLeft w:val="0"/>
                  <w:marRight w:val="0"/>
                  <w:marTop w:val="0"/>
                  <w:marBottom w:val="0"/>
                  <w:divBdr>
                    <w:top w:val="none" w:sz="0" w:space="0" w:color="auto"/>
                    <w:left w:val="none" w:sz="0" w:space="0" w:color="auto"/>
                    <w:bottom w:val="none" w:sz="0" w:space="0" w:color="auto"/>
                    <w:right w:val="none" w:sz="0" w:space="0" w:color="auto"/>
                  </w:divBdr>
                  <w:divsChild>
                    <w:div w:id="104230481">
                      <w:marLeft w:val="0"/>
                      <w:marRight w:val="0"/>
                      <w:marTop w:val="0"/>
                      <w:marBottom w:val="0"/>
                      <w:divBdr>
                        <w:top w:val="none" w:sz="0" w:space="0" w:color="auto"/>
                        <w:left w:val="none" w:sz="0" w:space="0" w:color="auto"/>
                        <w:bottom w:val="none" w:sz="0" w:space="0" w:color="auto"/>
                        <w:right w:val="none" w:sz="0" w:space="0" w:color="auto"/>
                      </w:divBdr>
                    </w:div>
                    <w:div w:id="916520986">
                      <w:marLeft w:val="0"/>
                      <w:marRight w:val="0"/>
                      <w:marTop w:val="210"/>
                      <w:marBottom w:val="150"/>
                      <w:divBdr>
                        <w:top w:val="none" w:sz="0" w:space="0" w:color="auto"/>
                        <w:left w:val="none" w:sz="0" w:space="0" w:color="auto"/>
                        <w:bottom w:val="none" w:sz="0" w:space="0" w:color="auto"/>
                        <w:right w:val="none" w:sz="0" w:space="0" w:color="auto"/>
                      </w:divBdr>
                    </w:div>
                    <w:div w:id="809445779">
                      <w:marLeft w:val="0"/>
                      <w:marRight w:val="0"/>
                      <w:marTop w:val="225"/>
                      <w:marBottom w:val="0"/>
                      <w:divBdr>
                        <w:top w:val="none" w:sz="0" w:space="0" w:color="auto"/>
                        <w:left w:val="none" w:sz="0" w:space="0" w:color="auto"/>
                        <w:bottom w:val="none" w:sz="0" w:space="0" w:color="auto"/>
                        <w:right w:val="none" w:sz="0" w:space="0" w:color="auto"/>
                      </w:divBdr>
                    </w:div>
                    <w:div w:id="13233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42425">
          <w:marLeft w:val="0"/>
          <w:marRight w:val="0"/>
          <w:marTop w:val="0"/>
          <w:marBottom w:val="0"/>
          <w:divBdr>
            <w:top w:val="none" w:sz="0" w:space="0" w:color="auto"/>
            <w:left w:val="none" w:sz="0" w:space="0" w:color="auto"/>
            <w:bottom w:val="none" w:sz="0" w:space="0" w:color="auto"/>
            <w:right w:val="none" w:sz="0" w:space="0" w:color="auto"/>
          </w:divBdr>
          <w:divsChild>
            <w:div w:id="4869867">
              <w:marLeft w:val="-225"/>
              <w:marRight w:val="-225"/>
              <w:marTop w:val="0"/>
              <w:marBottom w:val="0"/>
              <w:divBdr>
                <w:top w:val="none" w:sz="0" w:space="0" w:color="auto"/>
                <w:left w:val="none" w:sz="0" w:space="0" w:color="auto"/>
                <w:bottom w:val="none" w:sz="0" w:space="0" w:color="auto"/>
                <w:right w:val="none" w:sz="0" w:space="0" w:color="auto"/>
              </w:divBdr>
              <w:divsChild>
                <w:div w:id="399596061">
                  <w:marLeft w:val="0"/>
                  <w:marRight w:val="0"/>
                  <w:marTop w:val="0"/>
                  <w:marBottom w:val="975"/>
                  <w:divBdr>
                    <w:top w:val="none" w:sz="0" w:space="0" w:color="auto"/>
                    <w:left w:val="none" w:sz="0" w:space="0" w:color="auto"/>
                    <w:bottom w:val="none" w:sz="0" w:space="0" w:color="auto"/>
                    <w:right w:val="none" w:sz="0" w:space="0" w:color="auto"/>
                  </w:divBdr>
                  <w:divsChild>
                    <w:div w:id="1934436952">
                      <w:marLeft w:val="0"/>
                      <w:marRight w:val="0"/>
                      <w:marTop w:val="0"/>
                      <w:marBottom w:val="0"/>
                      <w:divBdr>
                        <w:top w:val="single" w:sz="6" w:space="8" w:color="898989"/>
                        <w:left w:val="single" w:sz="6" w:space="8" w:color="898989"/>
                        <w:bottom w:val="single" w:sz="6" w:space="8" w:color="898989"/>
                        <w:right w:val="none" w:sz="0" w:space="0" w:color="auto"/>
                      </w:divBdr>
                    </w:div>
                  </w:divsChild>
                </w:div>
                <w:div w:id="989555192">
                  <w:marLeft w:val="0"/>
                  <w:marRight w:val="0"/>
                  <w:marTop w:val="0"/>
                  <w:marBottom w:val="0"/>
                  <w:divBdr>
                    <w:top w:val="none" w:sz="0" w:space="0" w:color="auto"/>
                    <w:left w:val="none" w:sz="0" w:space="0" w:color="auto"/>
                    <w:bottom w:val="none" w:sz="0" w:space="0" w:color="auto"/>
                    <w:right w:val="none" w:sz="0" w:space="0" w:color="auto"/>
                  </w:divBdr>
                  <w:divsChild>
                    <w:div w:id="1162042536">
                      <w:marLeft w:val="0"/>
                      <w:marRight w:val="0"/>
                      <w:marTop w:val="0"/>
                      <w:marBottom w:val="0"/>
                      <w:divBdr>
                        <w:top w:val="none" w:sz="0" w:space="0" w:color="auto"/>
                        <w:left w:val="none" w:sz="0" w:space="0" w:color="auto"/>
                        <w:bottom w:val="none" w:sz="0" w:space="0" w:color="auto"/>
                        <w:right w:val="none" w:sz="0" w:space="0" w:color="auto"/>
                      </w:divBdr>
                      <w:divsChild>
                        <w:div w:id="1819883008">
                          <w:marLeft w:val="0"/>
                          <w:marRight w:val="0"/>
                          <w:marTop w:val="0"/>
                          <w:marBottom w:val="0"/>
                          <w:divBdr>
                            <w:top w:val="none" w:sz="0" w:space="0" w:color="auto"/>
                            <w:left w:val="none" w:sz="0" w:space="0" w:color="auto"/>
                            <w:bottom w:val="none" w:sz="0" w:space="0" w:color="auto"/>
                            <w:right w:val="none" w:sz="0" w:space="0" w:color="auto"/>
                          </w:divBdr>
                          <w:divsChild>
                            <w:div w:id="645621450">
                              <w:marLeft w:val="0"/>
                              <w:marRight w:val="0"/>
                              <w:marTop w:val="0"/>
                              <w:marBottom w:val="0"/>
                              <w:divBdr>
                                <w:top w:val="none" w:sz="0" w:space="0" w:color="auto"/>
                                <w:left w:val="none" w:sz="0" w:space="0" w:color="auto"/>
                                <w:bottom w:val="none" w:sz="0" w:space="0" w:color="auto"/>
                                <w:right w:val="none" w:sz="0" w:space="0" w:color="auto"/>
                              </w:divBdr>
                              <w:divsChild>
                                <w:div w:id="2090468793">
                                  <w:marLeft w:val="-225"/>
                                  <w:marRight w:val="-225"/>
                                  <w:marTop w:val="0"/>
                                  <w:marBottom w:val="0"/>
                                  <w:divBdr>
                                    <w:top w:val="none" w:sz="0" w:space="0" w:color="auto"/>
                                    <w:left w:val="none" w:sz="0" w:space="0" w:color="auto"/>
                                    <w:bottom w:val="none" w:sz="0" w:space="0" w:color="auto"/>
                                    <w:right w:val="none" w:sz="0" w:space="0" w:color="auto"/>
                                  </w:divBdr>
                                  <w:divsChild>
                                    <w:div w:id="1503275488">
                                      <w:marLeft w:val="0"/>
                                      <w:marRight w:val="0"/>
                                      <w:marTop w:val="0"/>
                                      <w:marBottom w:val="0"/>
                                      <w:divBdr>
                                        <w:top w:val="none" w:sz="0" w:space="0" w:color="auto"/>
                                        <w:left w:val="none" w:sz="0" w:space="0" w:color="auto"/>
                                        <w:bottom w:val="none" w:sz="0" w:space="0" w:color="auto"/>
                                        <w:right w:val="none" w:sz="0" w:space="0" w:color="auto"/>
                                      </w:divBdr>
                                      <w:divsChild>
                                        <w:div w:id="1852834952">
                                          <w:marLeft w:val="0"/>
                                          <w:marRight w:val="0"/>
                                          <w:marTop w:val="0"/>
                                          <w:marBottom w:val="0"/>
                                          <w:divBdr>
                                            <w:top w:val="none" w:sz="0" w:space="0" w:color="auto"/>
                                            <w:left w:val="none" w:sz="0" w:space="0" w:color="auto"/>
                                            <w:bottom w:val="none" w:sz="0" w:space="0" w:color="auto"/>
                                            <w:right w:val="none" w:sz="0" w:space="0" w:color="auto"/>
                                          </w:divBdr>
                                          <w:divsChild>
                                            <w:div w:id="470681039">
                                              <w:marLeft w:val="0"/>
                                              <w:marRight w:val="0"/>
                                              <w:marTop w:val="0"/>
                                              <w:marBottom w:val="0"/>
                                              <w:divBdr>
                                                <w:top w:val="none" w:sz="0" w:space="0" w:color="auto"/>
                                                <w:left w:val="none" w:sz="0" w:space="0" w:color="auto"/>
                                                <w:bottom w:val="none" w:sz="0" w:space="0" w:color="auto"/>
                                                <w:right w:val="none" w:sz="0" w:space="0" w:color="auto"/>
                                              </w:divBdr>
                                              <w:divsChild>
                                                <w:div w:id="1159735686">
                                                  <w:marLeft w:val="0"/>
                                                  <w:marRight w:val="0"/>
                                                  <w:marTop w:val="0"/>
                                                  <w:marBottom w:val="0"/>
                                                  <w:divBdr>
                                                    <w:top w:val="none" w:sz="0" w:space="0" w:color="auto"/>
                                                    <w:left w:val="none" w:sz="0" w:space="0" w:color="auto"/>
                                                    <w:bottom w:val="none" w:sz="0" w:space="0" w:color="auto"/>
                                                    <w:right w:val="none" w:sz="0" w:space="0" w:color="auto"/>
                                                  </w:divBdr>
                                                  <w:divsChild>
                                                    <w:div w:id="7243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966545">
      <w:bodyDiv w:val="1"/>
      <w:marLeft w:val="0"/>
      <w:marRight w:val="0"/>
      <w:marTop w:val="0"/>
      <w:marBottom w:val="0"/>
      <w:divBdr>
        <w:top w:val="none" w:sz="0" w:space="0" w:color="auto"/>
        <w:left w:val="none" w:sz="0" w:space="0" w:color="auto"/>
        <w:bottom w:val="none" w:sz="0" w:space="0" w:color="auto"/>
        <w:right w:val="none" w:sz="0" w:space="0" w:color="auto"/>
      </w:divBdr>
    </w:div>
    <w:div w:id="218787100">
      <w:bodyDiv w:val="1"/>
      <w:marLeft w:val="0"/>
      <w:marRight w:val="0"/>
      <w:marTop w:val="0"/>
      <w:marBottom w:val="0"/>
      <w:divBdr>
        <w:top w:val="none" w:sz="0" w:space="0" w:color="auto"/>
        <w:left w:val="none" w:sz="0" w:space="0" w:color="auto"/>
        <w:bottom w:val="none" w:sz="0" w:space="0" w:color="auto"/>
        <w:right w:val="none" w:sz="0" w:space="0" w:color="auto"/>
      </w:divBdr>
    </w:div>
    <w:div w:id="242881824">
      <w:bodyDiv w:val="1"/>
      <w:marLeft w:val="0"/>
      <w:marRight w:val="0"/>
      <w:marTop w:val="0"/>
      <w:marBottom w:val="0"/>
      <w:divBdr>
        <w:top w:val="none" w:sz="0" w:space="0" w:color="auto"/>
        <w:left w:val="none" w:sz="0" w:space="0" w:color="auto"/>
        <w:bottom w:val="none" w:sz="0" w:space="0" w:color="auto"/>
        <w:right w:val="none" w:sz="0" w:space="0" w:color="auto"/>
      </w:divBdr>
      <w:divsChild>
        <w:div w:id="1155799519">
          <w:marLeft w:val="0"/>
          <w:marRight w:val="0"/>
          <w:marTop w:val="0"/>
          <w:marBottom w:val="0"/>
          <w:divBdr>
            <w:top w:val="none" w:sz="0" w:space="0" w:color="auto"/>
            <w:left w:val="none" w:sz="0" w:space="0" w:color="auto"/>
            <w:bottom w:val="none" w:sz="0" w:space="0" w:color="auto"/>
            <w:right w:val="none" w:sz="0" w:space="0" w:color="auto"/>
          </w:divBdr>
        </w:div>
        <w:div w:id="576596034">
          <w:marLeft w:val="0"/>
          <w:marRight w:val="0"/>
          <w:marTop w:val="0"/>
          <w:marBottom w:val="0"/>
          <w:divBdr>
            <w:top w:val="none" w:sz="0" w:space="0" w:color="auto"/>
            <w:left w:val="none" w:sz="0" w:space="0" w:color="auto"/>
            <w:bottom w:val="none" w:sz="0" w:space="0" w:color="auto"/>
            <w:right w:val="none" w:sz="0" w:space="0" w:color="auto"/>
          </w:divBdr>
        </w:div>
      </w:divsChild>
    </w:div>
    <w:div w:id="263194977">
      <w:bodyDiv w:val="1"/>
      <w:marLeft w:val="0"/>
      <w:marRight w:val="0"/>
      <w:marTop w:val="0"/>
      <w:marBottom w:val="0"/>
      <w:divBdr>
        <w:top w:val="none" w:sz="0" w:space="0" w:color="auto"/>
        <w:left w:val="none" w:sz="0" w:space="0" w:color="auto"/>
        <w:bottom w:val="none" w:sz="0" w:space="0" w:color="auto"/>
        <w:right w:val="none" w:sz="0" w:space="0" w:color="auto"/>
      </w:divBdr>
      <w:divsChild>
        <w:div w:id="35398720">
          <w:marLeft w:val="0"/>
          <w:marRight w:val="0"/>
          <w:marTop w:val="0"/>
          <w:marBottom w:val="0"/>
          <w:divBdr>
            <w:top w:val="none" w:sz="0" w:space="0" w:color="auto"/>
            <w:left w:val="none" w:sz="0" w:space="0" w:color="auto"/>
            <w:bottom w:val="none" w:sz="0" w:space="0" w:color="auto"/>
            <w:right w:val="none" w:sz="0" w:space="0" w:color="auto"/>
          </w:divBdr>
        </w:div>
        <w:div w:id="1297444769">
          <w:marLeft w:val="0"/>
          <w:marRight w:val="0"/>
          <w:marTop w:val="0"/>
          <w:marBottom w:val="0"/>
          <w:divBdr>
            <w:top w:val="none" w:sz="0" w:space="0" w:color="auto"/>
            <w:left w:val="none" w:sz="0" w:space="0" w:color="auto"/>
            <w:bottom w:val="none" w:sz="0" w:space="0" w:color="auto"/>
            <w:right w:val="none" w:sz="0" w:space="0" w:color="auto"/>
          </w:divBdr>
        </w:div>
      </w:divsChild>
    </w:div>
    <w:div w:id="554702170">
      <w:bodyDiv w:val="1"/>
      <w:marLeft w:val="0"/>
      <w:marRight w:val="0"/>
      <w:marTop w:val="0"/>
      <w:marBottom w:val="0"/>
      <w:divBdr>
        <w:top w:val="none" w:sz="0" w:space="0" w:color="auto"/>
        <w:left w:val="none" w:sz="0" w:space="0" w:color="auto"/>
        <w:bottom w:val="none" w:sz="0" w:space="0" w:color="auto"/>
        <w:right w:val="none" w:sz="0" w:space="0" w:color="auto"/>
      </w:divBdr>
    </w:div>
    <w:div w:id="557473317">
      <w:bodyDiv w:val="1"/>
      <w:marLeft w:val="0"/>
      <w:marRight w:val="0"/>
      <w:marTop w:val="0"/>
      <w:marBottom w:val="0"/>
      <w:divBdr>
        <w:top w:val="none" w:sz="0" w:space="0" w:color="auto"/>
        <w:left w:val="none" w:sz="0" w:space="0" w:color="auto"/>
        <w:bottom w:val="none" w:sz="0" w:space="0" w:color="auto"/>
        <w:right w:val="none" w:sz="0" w:space="0" w:color="auto"/>
      </w:divBdr>
      <w:divsChild>
        <w:div w:id="775635528">
          <w:marLeft w:val="0"/>
          <w:marRight w:val="0"/>
          <w:marTop w:val="0"/>
          <w:marBottom w:val="0"/>
          <w:divBdr>
            <w:top w:val="none" w:sz="0" w:space="0" w:color="auto"/>
            <w:left w:val="none" w:sz="0" w:space="0" w:color="auto"/>
            <w:bottom w:val="none" w:sz="0" w:space="0" w:color="auto"/>
            <w:right w:val="none" w:sz="0" w:space="0" w:color="auto"/>
          </w:divBdr>
        </w:div>
        <w:div w:id="1648440805">
          <w:marLeft w:val="0"/>
          <w:marRight w:val="0"/>
          <w:marTop w:val="0"/>
          <w:marBottom w:val="0"/>
          <w:divBdr>
            <w:top w:val="none" w:sz="0" w:space="0" w:color="auto"/>
            <w:left w:val="none" w:sz="0" w:space="0" w:color="auto"/>
            <w:bottom w:val="none" w:sz="0" w:space="0" w:color="auto"/>
            <w:right w:val="none" w:sz="0" w:space="0" w:color="auto"/>
          </w:divBdr>
        </w:div>
      </w:divsChild>
    </w:div>
    <w:div w:id="737020905">
      <w:bodyDiv w:val="1"/>
      <w:marLeft w:val="0"/>
      <w:marRight w:val="0"/>
      <w:marTop w:val="0"/>
      <w:marBottom w:val="0"/>
      <w:divBdr>
        <w:top w:val="none" w:sz="0" w:space="0" w:color="auto"/>
        <w:left w:val="none" w:sz="0" w:space="0" w:color="auto"/>
        <w:bottom w:val="none" w:sz="0" w:space="0" w:color="auto"/>
        <w:right w:val="none" w:sz="0" w:space="0" w:color="auto"/>
      </w:divBdr>
    </w:div>
    <w:div w:id="831797967">
      <w:bodyDiv w:val="1"/>
      <w:marLeft w:val="0"/>
      <w:marRight w:val="0"/>
      <w:marTop w:val="0"/>
      <w:marBottom w:val="0"/>
      <w:divBdr>
        <w:top w:val="none" w:sz="0" w:space="0" w:color="auto"/>
        <w:left w:val="none" w:sz="0" w:space="0" w:color="auto"/>
        <w:bottom w:val="none" w:sz="0" w:space="0" w:color="auto"/>
        <w:right w:val="none" w:sz="0" w:space="0" w:color="auto"/>
      </w:divBdr>
    </w:div>
    <w:div w:id="904149923">
      <w:bodyDiv w:val="1"/>
      <w:marLeft w:val="0"/>
      <w:marRight w:val="0"/>
      <w:marTop w:val="0"/>
      <w:marBottom w:val="0"/>
      <w:divBdr>
        <w:top w:val="none" w:sz="0" w:space="0" w:color="auto"/>
        <w:left w:val="none" w:sz="0" w:space="0" w:color="auto"/>
        <w:bottom w:val="none" w:sz="0" w:space="0" w:color="auto"/>
        <w:right w:val="none" w:sz="0" w:space="0" w:color="auto"/>
      </w:divBdr>
      <w:divsChild>
        <w:div w:id="887451867">
          <w:marLeft w:val="0"/>
          <w:marRight w:val="0"/>
          <w:marTop w:val="0"/>
          <w:marBottom w:val="0"/>
          <w:divBdr>
            <w:top w:val="none" w:sz="0" w:space="0" w:color="auto"/>
            <w:left w:val="none" w:sz="0" w:space="0" w:color="auto"/>
            <w:bottom w:val="none" w:sz="0" w:space="0" w:color="auto"/>
            <w:right w:val="none" w:sz="0" w:space="0" w:color="auto"/>
          </w:divBdr>
        </w:div>
        <w:div w:id="721713675">
          <w:marLeft w:val="0"/>
          <w:marRight w:val="0"/>
          <w:marTop w:val="0"/>
          <w:marBottom w:val="0"/>
          <w:divBdr>
            <w:top w:val="none" w:sz="0" w:space="0" w:color="auto"/>
            <w:left w:val="none" w:sz="0" w:space="0" w:color="auto"/>
            <w:bottom w:val="none" w:sz="0" w:space="0" w:color="auto"/>
            <w:right w:val="none" w:sz="0" w:space="0" w:color="auto"/>
          </w:divBdr>
        </w:div>
      </w:divsChild>
    </w:div>
    <w:div w:id="1020398135">
      <w:bodyDiv w:val="1"/>
      <w:marLeft w:val="0"/>
      <w:marRight w:val="0"/>
      <w:marTop w:val="0"/>
      <w:marBottom w:val="0"/>
      <w:divBdr>
        <w:top w:val="none" w:sz="0" w:space="0" w:color="auto"/>
        <w:left w:val="none" w:sz="0" w:space="0" w:color="auto"/>
        <w:bottom w:val="none" w:sz="0" w:space="0" w:color="auto"/>
        <w:right w:val="none" w:sz="0" w:space="0" w:color="auto"/>
      </w:divBdr>
    </w:div>
    <w:div w:id="1158686497">
      <w:bodyDiv w:val="1"/>
      <w:marLeft w:val="0"/>
      <w:marRight w:val="0"/>
      <w:marTop w:val="0"/>
      <w:marBottom w:val="0"/>
      <w:divBdr>
        <w:top w:val="none" w:sz="0" w:space="0" w:color="auto"/>
        <w:left w:val="none" w:sz="0" w:space="0" w:color="auto"/>
        <w:bottom w:val="none" w:sz="0" w:space="0" w:color="auto"/>
        <w:right w:val="none" w:sz="0" w:space="0" w:color="auto"/>
      </w:divBdr>
    </w:div>
    <w:div w:id="1234317348">
      <w:bodyDiv w:val="1"/>
      <w:marLeft w:val="0"/>
      <w:marRight w:val="0"/>
      <w:marTop w:val="0"/>
      <w:marBottom w:val="0"/>
      <w:divBdr>
        <w:top w:val="none" w:sz="0" w:space="0" w:color="auto"/>
        <w:left w:val="none" w:sz="0" w:space="0" w:color="auto"/>
        <w:bottom w:val="none" w:sz="0" w:space="0" w:color="auto"/>
        <w:right w:val="none" w:sz="0" w:space="0" w:color="auto"/>
      </w:divBdr>
    </w:div>
    <w:div w:id="1242060799">
      <w:bodyDiv w:val="1"/>
      <w:marLeft w:val="0"/>
      <w:marRight w:val="0"/>
      <w:marTop w:val="0"/>
      <w:marBottom w:val="0"/>
      <w:divBdr>
        <w:top w:val="none" w:sz="0" w:space="0" w:color="auto"/>
        <w:left w:val="none" w:sz="0" w:space="0" w:color="auto"/>
        <w:bottom w:val="none" w:sz="0" w:space="0" w:color="auto"/>
        <w:right w:val="none" w:sz="0" w:space="0" w:color="auto"/>
      </w:divBdr>
    </w:div>
    <w:div w:id="1564488561">
      <w:bodyDiv w:val="1"/>
      <w:marLeft w:val="0"/>
      <w:marRight w:val="0"/>
      <w:marTop w:val="0"/>
      <w:marBottom w:val="0"/>
      <w:divBdr>
        <w:top w:val="none" w:sz="0" w:space="0" w:color="auto"/>
        <w:left w:val="none" w:sz="0" w:space="0" w:color="auto"/>
        <w:bottom w:val="none" w:sz="0" w:space="0" w:color="auto"/>
        <w:right w:val="none" w:sz="0" w:space="0" w:color="auto"/>
      </w:divBdr>
      <w:divsChild>
        <w:div w:id="721178239">
          <w:marLeft w:val="0"/>
          <w:marRight w:val="0"/>
          <w:marTop w:val="0"/>
          <w:marBottom w:val="0"/>
          <w:divBdr>
            <w:top w:val="none" w:sz="0" w:space="0" w:color="auto"/>
            <w:left w:val="none" w:sz="0" w:space="0" w:color="auto"/>
            <w:bottom w:val="none" w:sz="0" w:space="0" w:color="auto"/>
            <w:right w:val="none" w:sz="0" w:space="0" w:color="auto"/>
          </w:divBdr>
        </w:div>
        <w:div w:id="2561024">
          <w:marLeft w:val="0"/>
          <w:marRight w:val="0"/>
          <w:marTop w:val="0"/>
          <w:marBottom w:val="0"/>
          <w:divBdr>
            <w:top w:val="none" w:sz="0" w:space="0" w:color="auto"/>
            <w:left w:val="none" w:sz="0" w:space="0" w:color="auto"/>
            <w:bottom w:val="none" w:sz="0" w:space="0" w:color="auto"/>
            <w:right w:val="none" w:sz="0" w:space="0" w:color="auto"/>
          </w:divBdr>
        </w:div>
        <w:div w:id="1152793432">
          <w:marLeft w:val="0"/>
          <w:marRight w:val="0"/>
          <w:marTop w:val="0"/>
          <w:marBottom w:val="0"/>
          <w:divBdr>
            <w:top w:val="none" w:sz="0" w:space="0" w:color="auto"/>
            <w:left w:val="none" w:sz="0" w:space="0" w:color="auto"/>
            <w:bottom w:val="none" w:sz="0" w:space="0" w:color="auto"/>
            <w:right w:val="none" w:sz="0" w:space="0" w:color="auto"/>
          </w:divBdr>
        </w:div>
        <w:div w:id="788623540">
          <w:marLeft w:val="0"/>
          <w:marRight w:val="0"/>
          <w:marTop w:val="0"/>
          <w:marBottom w:val="0"/>
          <w:divBdr>
            <w:top w:val="none" w:sz="0" w:space="0" w:color="auto"/>
            <w:left w:val="none" w:sz="0" w:space="0" w:color="auto"/>
            <w:bottom w:val="none" w:sz="0" w:space="0" w:color="auto"/>
            <w:right w:val="none" w:sz="0" w:space="0" w:color="auto"/>
          </w:divBdr>
        </w:div>
      </w:divsChild>
    </w:div>
    <w:div w:id="1583220594">
      <w:bodyDiv w:val="1"/>
      <w:marLeft w:val="0"/>
      <w:marRight w:val="0"/>
      <w:marTop w:val="0"/>
      <w:marBottom w:val="0"/>
      <w:divBdr>
        <w:top w:val="none" w:sz="0" w:space="0" w:color="auto"/>
        <w:left w:val="none" w:sz="0" w:space="0" w:color="auto"/>
        <w:bottom w:val="none" w:sz="0" w:space="0" w:color="auto"/>
        <w:right w:val="none" w:sz="0" w:space="0" w:color="auto"/>
      </w:divBdr>
      <w:divsChild>
        <w:div w:id="146673367">
          <w:marLeft w:val="0"/>
          <w:marRight w:val="0"/>
          <w:marTop w:val="0"/>
          <w:marBottom w:val="0"/>
          <w:divBdr>
            <w:top w:val="none" w:sz="0" w:space="0" w:color="auto"/>
            <w:left w:val="none" w:sz="0" w:space="0" w:color="auto"/>
            <w:bottom w:val="none" w:sz="0" w:space="0" w:color="auto"/>
            <w:right w:val="none" w:sz="0" w:space="0" w:color="auto"/>
          </w:divBdr>
        </w:div>
        <w:div w:id="1446464783">
          <w:marLeft w:val="0"/>
          <w:marRight w:val="0"/>
          <w:marTop w:val="0"/>
          <w:marBottom w:val="0"/>
          <w:divBdr>
            <w:top w:val="none" w:sz="0" w:space="0" w:color="auto"/>
            <w:left w:val="none" w:sz="0" w:space="0" w:color="auto"/>
            <w:bottom w:val="none" w:sz="0" w:space="0" w:color="auto"/>
            <w:right w:val="none" w:sz="0" w:space="0" w:color="auto"/>
          </w:divBdr>
        </w:div>
      </w:divsChild>
    </w:div>
    <w:div w:id="1621841537">
      <w:bodyDiv w:val="1"/>
      <w:marLeft w:val="0"/>
      <w:marRight w:val="0"/>
      <w:marTop w:val="0"/>
      <w:marBottom w:val="0"/>
      <w:divBdr>
        <w:top w:val="none" w:sz="0" w:space="0" w:color="auto"/>
        <w:left w:val="none" w:sz="0" w:space="0" w:color="auto"/>
        <w:bottom w:val="none" w:sz="0" w:space="0" w:color="auto"/>
        <w:right w:val="none" w:sz="0" w:space="0" w:color="auto"/>
      </w:divBdr>
    </w:div>
    <w:div w:id="1942100465">
      <w:bodyDiv w:val="1"/>
      <w:marLeft w:val="0"/>
      <w:marRight w:val="0"/>
      <w:marTop w:val="0"/>
      <w:marBottom w:val="0"/>
      <w:divBdr>
        <w:top w:val="none" w:sz="0" w:space="0" w:color="auto"/>
        <w:left w:val="none" w:sz="0" w:space="0" w:color="auto"/>
        <w:bottom w:val="none" w:sz="0" w:space="0" w:color="auto"/>
        <w:right w:val="none" w:sz="0" w:space="0" w:color="auto"/>
      </w:divBdr>
      <w:divsChild>
        <w:div w:id="20714087">
          <w:marLeft w:val="0"/>
          <w:marRight w:val="0"/>
          <w:marTop w:val="0"/>
          <w:marBottom w:val="0"/>
          <w:divBdr>
            <w:top w:val="none" w:sz="0" w:space="0" w:color="auto"/>
            <w:left w:val="none" w:sz="0" w:space="0" w:color="auto"/>
            <w:bottom w:val="none" w:sz="0" w:space="0" w:color="auto"/>
            <w:right w:val="none" w:sz="0" w:space="0" w:color="auto"/>
          </w:divBdr>
        </w:div>
        <w:div w:id="223956273">
          <w:marLeft w:val="0"/>
          <w:marRight w:val="0"/>
          <w:marTop w:val="0"/>
          <w:marBottom w:val="0"/>
          <w:divBdr>
            <w:top w:val="none" w:sz="0" w:space="0" w:color="auto"/>
            <w:left w:val="none" w:sz="0" w:space="0" w:color="auto"/>
            <w:bottom w:val="none" w:sz="0" w:space="0" w:color="auto"/>
            <w:right w:val="none" w:sz="0" w:space="0" w:color="auto"/>
          </w:divBdr>
        </w:div>
      </w:divsChild>
    </w:div>
    <w:div w:id="1980452428">
      <w:bodyDiv w:val="1"/>
      <w:marLeft w:val="0"/>
      <w:marRight w:val="0"/>
      <w:marTop w:val="0"/>
      <w:marBottom w:val="0"/>
      <w:divBdr>
        <w:top w:val="none" w:sz="0" w:space="0" w:color="auto"/>
        <w:left w:val="none" w:sz="0" w:space="0" w:color="auto"/>
        <w:bottom w:val="none" w:sz="0" w:space="0" w:color="auto"/>
        <w:right w:val="none" w:sz="0" w:space="0" w:color="auto"/>
      </w:divBdr>
      <w:divsChild>
        <w:div w:id="198977444">
          <w:marLeft w:val="0"/>
          <w:marRight w:val="0"/>
          <w:marTop w:val="0"/>
          <w:marBottom w:val="0"/>
          <w:divBdr>
            <w:top w:val="none" w:sz="0" w:space="0" w:color="auto"/>
            <w:left w:val="none" w:sz="0" w:space="0" w:color="auto"/>
            <w:bottom w:val="none" w:sz="0" w:space="0" w:color="auto"/>
            <w:right w:val="none" w:sz="0" w:space="0" w:color="auto"/>
          </w:divBdr>
        </w:div>
        <w:div w:id="1603798727">
          <w:marLeft w:val="0"/>
          <w:marRight w:val="0"/>
          <w:marTop w:val="0"/>
          <w:marBottom w:val="0"/>
          <w:divBdr>
            <w:top w:val="none" w:sz="0" w:space="0" w:color="auto"/>
            <w:left w:val="none" w:sz="0" w:space="0" w:color="auto"/>
            <w:bottom w:val="none" w:sz="0" w:space="0" w:color="auto"/>
            <w:right w:val="none" w:sz="0" w:space="0" w:color="auto"/>
          </w:divBdr>
        </w:div>
        <w:div w:id="2130276816">
          <w:marLeft w:val="0"/>
          <w:marRight w:val="0"/>
          <w:marTop w:val="0"/>
          <w:marBottom w:val="0"/>
          <w:divBdr>
            <w:top w:val="none" w:sz="0" w:space="0" w:color="auto"/>
            <w:left w:val="none" w:sz="0" w:space="0" w:color="auto"/>
            <w:bottom w:val="none" w:sz="0" w:space="0" w:color="auto"/>
            <w:right w:val="none" w:sz="0" w:space="0" w:color="auto"/>
          </w:divBdr>
        </w:div>
        <w:div w:id="1482384317">
          <w:marLeft w:val="0"/>
          <w:marRight w:val="0"/>
          <w:marTop w:val="0"/>
          <w:marBottom w:val="0"/>
          <w:divBdr>
            <w:top w:val="none" w:sz="0" w:space="0" w:color="auto"/>
            <w:left w:val="none" w:sz="0" w:space="0" w:color="auto"/>
            <w:bottom w:val="none" w:sz="0" w:space="0" w:color="auto"/>
            <w:right w:val="none" w:sz="0" w:space="0" w:color="auto"/>
          </w:divBdr>
        </w:div>
      </w:divsChild>
    </w:div>
    <w:div w:id="2005354910">
      <w:bodyDiv w:val="1"/>
      <w:marLeft w:val="0"/>
      <w:marRight w:val="0"/>
      <w:marTop w:val="0"/>
      <w:marBottom w:val="0"/>
      <w:divBdr>
        <w:top w:val="none" w:sz="0" w:space="0" w:color="auto"/>
        <w:left w:val="none" w:sz="0" w:space="0" w:color="auto"/>
        <w:bottom w:val="none" w:sz="0" w:space="0" w:color="auto"/>
        <w:right w:val="none" w:sz="0" w:space="0" w:color="auto"/>
      </w:divBdr>
      <w:divsChild>
        <w:div w:id="595210606">
          <w:marLeft w:val="0"/>
          <w:marRight w:val="0"/>
          <w:marTop w:val="0"/>
          <w:marBottom w:val="0"/>
          <w:divBdr>
            <w:top w:val="none" w:sz="0" w:space="0" w:color="auto"/>
            <w:left w:val="none" w:sz="0" w:space="0" w:color="auto"/>
            <w:bottom w:val="none" w:sz="0" w:space="0" w:color="auto"/>
            <w:right w:val="none" w:sz="0" w:space="0" w:color="auto"/>
          </w:divBdr>
        </w:div>
        <w:div w:id="1400134435">
          <w:marLeft w:val="0"/>
          <w:marRight w:val="0"/>
          <w:marTop w:val="0"/>
          <w:marBottom w:val="0"/>
          <w:divBdr>
            <w:top w:val="none" w:sz="0" w:space="0" w:color="auto"/>
            <w:left w:val="none" w:sz="0" w:space="0" w:color="auto"/>
            <w:bottom w:val="none" w:sz="0" w:space="0" w:color="auto"/>
            <w:right w:val="none" w:sz="0" w:space="0" w:color="auto"/>
          </w:divBdr>
        </w:div>
      </w:divsChild>
    </w:div>
    <w:div w:id="2050105294">
      <w:bodyDiv w:val="1"/>
      <w:marLeft w:val="0"/>
      <w:marRight w:val="0"/>
      <w:marTop w:val="0"/>
      <w:marBottom w:val="0"/>
      <w:divBdr>
        <w:top w:val="none" w:sz="0" w:space="0" w:color="auto"/>
        <w:left w:val="none" w:sz="0" w:space="0" w:color="auto"/>
        <w:bottom w:val="none" w:sz="0" w:space="0" w:color="auto"/>
        <w:right w:val="none" w:sz="0" w:space="0" w:color="auto"/>
      </w:divBdr>
      <w:divsChild>
        <w:div w:id="1696494379">
          <w:marLeft w:val="0"/>
          <w:marRight w:val="0"/>
          <w:marTop w:val="0"/>
          <w:marBottom w:val="0"/>
          <w:divBdr>
            <w:top w:val="none" w:sz="0" w:space="0" w:color="auto"/>
            <w:left w:val="none" w:sz="0" w:space="0" w:color="auto"/>
            <w:bottom w:val="none" w:sz="0" w:space="0" w:color="auto"/>
            <w:right w:val="none" w:sz="0" w:space="0" w:color="auto"/>
          </w:divBdr>
        </w:div>
        <w:div w:id="1753239060">
          <w:marLeft w:val="0"/>
          <w:marRight w:val="0"/>
          <w:marTop w:val="0"/>
          <w:marBottom w:val="0"/>
          <w:divBdr>
            <w:top w:val="none" w:sz="0" w:space="0" w:color="auto"/>
            <w:left w:val="none" w:sz="0" w:space="0" w:color="auto"/>
            <w:bottom w:val="none" w:sz="0" w:space="0" w:color="auto"/>
            <w:right w:val="none" w:sz="0" w:space="0" w:color="auto"/>
          </w:divBdr>
        </w:div>
      </w:divsChild>
    </w:div>
    <w:div w:id="2086758149">
      <w:bodyDiv w:val="1"/>
      <w:marLeft w:val="0"/>
      <w:marRight w:val="0"/>
      <w:marTop w:val="0"/>
      <w:marBottom w:val="0"/>
      <w:divBdr>
        <w:top w:val="none" w:sz="0" w:space="0" w:color="auto"/>
        <w:left w:val="none" w:sz="0" w:space="0" w:color="auto"/>
        <w:bottom w:val="none" w:sz="0" w:space="0" w:color="auto"/>
        <w:right w:val="none" w:sz="0" w:space="0" w:color="auto"/>
      </w:divBdr>
    </w:div>
    <w:div w:id="214330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e-cigarettes-around-95-less-harmful-than-tobacco-estimates-landmark-re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93/heapro/dau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2216F-7A12-4F4E-993C-65D05D6C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8816</Words>
  <Characters>50253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Boswell J.C.</dc:creator>
  <cp:lastModifiedBy>Edwards L.</cp:lastModifiedBy>
  <cp:revision>2</cp:revision>
  <cp:lastPrinted>2018-12-18T10:43:00Z</cp:lastPrinted>
  <dcterms:created xsi:type="dcterms:W3CDTF">2019-03-14T11:42:00Z</dcterms:created>
  <dcterms:modified xsi:type="dcterms:W3CDTF">2019-03-14T11:42:00Z</dcterms:modified>
</cp:coreProperties>
</file>