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E13" w:rsidRPr="00F75DDE" w:rsidRDefault="00AE7E13" w:rsidP="002B5B95">
      <w:pPr>
        <w:pStyle w:val="Heading1"/>
        <w:spacing w:before="211" w:line="480" w:lineRule="auto"/>
        <w:ind w:left="0" w:right="217"/>
        <w:rPr>
          <w:lang w:val="en-GB"/>
        </w:rPr>
      </w:pPr>
      <w:bookmarkStart w:id="0" w:name="_GoBack"/>
      <w:bookmarkEnd w:id="0"/>
      <w:r w:rsidRPr="00F75DDE">
        <w:rPr>
          <w:lang w:val="en-GB"/>
        </w:rPr>
        <w:t>PERINATAL ENCEPHALOPATHY, THE SYNDROME OF INTRACRANIAL HYPERTENSION AND ASSOCIATED DIAGNOSTIC LABELS IN THE COMMONWEALTH OF INDEPENDENT</w:t>
      </w:r>
      <w:r w:rsidRPr="00F75DDE">
        <w:rPr>
          <w:spacing w:val="-15"/>
          <w:lang w:val="en-GB"/>
        </w:rPr>
        <w:t xml:space="preserve"> </w:t>
      </w:r>
      <w:r w:rsidRPr="00F75DDE">
        <w:rPr>
          <w:lang w:val="en-GB"/>
        </w:rPr>
        <w:t>STATES</w:t>
      </w:r>
      <w:r>
        <w:rPr>
          <w:lang w:val="en-GB"/>
        </w:rPr>
        <w:t>:</w:t>
      </w:r>
      <w:r w:rsidRPr="002D66CD">
        <w:rPr>
          <w:lang w:val="en-GB"/>
        </w:rPr>
        <w:t xml:space="preserve"> </w:t>
      </w:r>
      <w:r>
        <w:rPr>
          <w:lang w:val="en-GB"/>
        </w:rPr>
        <w:t>A SYSTEMATIC REVIEW</w:t>
      </w:r>
    </w:p>
    <w:p w:rsidR="00AE7E13" w:rsidRPr="00F75DDE" w:rsidRDefault="00AE7E13" w:rsidP="001D7099">
      <w:pPr>
        <w:pStyle w:val="BodyText"/>
        <w:spacing w:before="169" w:line="480" w:lineRule="auto"/>
        <w:ind w:left="0" w:right="217"/>
        <w:rPr>
          <w:position w:val="11"/>
          <w:lang w:val="en-GB"/>
        </w:rPr>
      </w:pPr>
      <w:r w:rsidRPr="00F75DDE">
        <w:rPr>
          <w:lang w:val="en-GB"/>
        </w:rPr>
        <w:t>Revan Mustafayev MD,</w:t>
      </w:r>
      <w:r w:rsidRPr="00F75DDE">
        <w:rPr>
          <w:position w:val="11"/>
          <w:vertAlign w:val="superscript"/>
          <w:lang w:val="en-GB"/>
        </w:rPr>
        <w:t>1</w:t>
      </w:r>
      <w:r w:rsidRPr="00F75DDE">
        <w:rPr>
          <w:position w:val="11"/>
          <w:lang w:val="en-GB"/>
        </w:rPr>
        <w:t xml:space="preserve"> </w:t>
      </w:r>
      <w:r w:rsidRPr="00F75DDE">
        <w:rPr>
          <w:lang w:val="en-GB"/>
        </w:rPr>
        <w:t>Tarana Seyid-Mammadova MD,</w:t>
      </w:r>
      <w:r w:rsidRPr="00F75DDE">
        <w:rPr>
          <w:position w:val="11"/>
          <w:vertAlign w:val="superscript"/>
          <w:lang w:val="en-GB"/>
        </w:rPr>
        <w:t>2</w:t>
      </w:r>
      <w:r w:rsidRPr="00F75DDE">
        <w:rPr>
          <w:position w:val="11"/>
          <w:lang w:val="en-GB"/>
        </w:rPr>
        <w:t xml:space="preserve"> </w:t>
      </w:r>
      <w:r w:rsidRPr="00F75DDE">
        <w:rPr>
          <w:lang w:val="en-GB"/>
        </w:rPr>
        <w:t>Colin Kennedy MBBS MD,</w:t>
      </w:r>
      <w:r w:rsidRPr="00F75DDE">
        <w:rPr>
          <w:position w:val="11"/>
          <w:vertAlign w:val="superscript"/>
          <w:lang w:val="en-GB"/>
        </w:rPr>
        <w:t>3</w:t>
      </w:r>
      <w:r w:rsidRPr="00F75DDE">
        <w:rPr>
          <w:spacing w:val="2"/>
          <w:position w:val="11"/>
          <w:lang w:val="en-GB"/>
        </w:rPr>
        <w:t xml:space="preserve"> </w:t>
      </w:r>
      <w:r w:rsidRPr="00F75DDE">
        <w:rPr>
          <w:lang w:val="en-GB"/>
        </w:rPr>
        <w:t>Ilgi O</w:t>
      </w:r>
      <w:r>
        <w:rPr>
          <w:lang w:val="en-GB"/>
        </w:rPr>
        <w:t>.</w:t>
      </w:r>
      <w:r w:rsidRPr="00F75DDE">
        <w:rPr>
          <w:lang w:val="en-GB"/>
        </w:rPr>
        <w:t xml:space="preserve"> Ertem MD,</w:t>
      </w:r>
      <w:r w:rsidRPr="00F75DDE">
        <w:rPr>
          <w:position w:val="11"/>
          <w:vertAlign w:val="superscript"/>
          <w:lang w:val="en-GB"/>
        </w:rPr>
        <w:t>1</w:t>
      </w:r>
      <w:r w:rsidRPr="00F75DDE">
        <w:rPr>
          <w:position w:val="11"/>
          <w:lang w:val="en-GB"/>
        </w:rPr>
        <w:t xml:space="preserve"> </w:t>
      </w:r>
      <w:r w:rsidRPr="00F75DDE">
        <w:rPr>
          <w:lang w:val="en-GB"/>
        </w:rPr>
        <w:t>Brian Forsyth MBChB,</w:t>
      </w:r>
      <w:r w:rsidRPr="00F75DDE">
        <w:rPr>
          <w:position w:val="11"/>
          <w:vertAlign w:val="superscript"/>
          <w:lang w:val="en-GB"/>
        </w:rPr>
        <w:t>4</w:t>
      </w:r>
      <w:r w:rsidRPr="00F75DDE">
        <w:rPr>
          <w:position w:val="11"/>
          <w:lang w:val="en-GB"/>
        </w:rPr>
        <w:t xml:space="preserve"> </w:t>
      </w:r>
      <w:r w:rsidRPr="00F75DDE">
        <w:rPr>
          <w:lang w:val="en-GB"/>
        </w:rPr>
        <w:t>Martin W.Weber MD,</w:t>
      </w:r>
      <w:r w:rsidRPr="00F75DDE">
        <w:rPr>
          <w:spacing w:val="-10"/>
          <w:lang w:val="en-GB"/>
        </w:rPr>
        <w:t xml:space="preserve"> </w:t>
      </w:r>
      <w:r w:rsidRPr="00F75DDE">
        <w:rPr>
          <w:lang w:val="en-GB"/>
        </w:rPr>
        <w:t>PhD.</w:t>
      </w:r>
      <w:r w:rsidRPr="00F75DDE">
        <w:rPr>
          <w:position w:val="11"/>
          <w:vertAlign w:val="superscript"/>
          <w:lang w:val="en-GB"/>
        </w:rPr>
        <w:t>5</w:t>
      </w:r>
    </w:p>
    <w:p w:rsidR="00AE7E13" w:rsidRPr="00F75DDE" w:rsidRDefault="00AE7E13" w:rsidP="001D7099">
      <w:pPr>
        <w:pStyle w:val="BodyText"/>
        <w:spacing w:line="480" w:lineRule="auto"/>
        <w:ind w:left="0" w:right="217"/>
        <w:rPr>
          <w:lang w:val="en-GB"/>
        </w:rPr>
      </w:pPr>
      <w:r w:rsidRPr="00F75DDE">
        <w:rPr>
          <w:position w:val="11"/>
          <w:vertAlign w:val="superscript"/>
          <w:lang w:val="en-GB"/>
        </w:rPr>
        <w:t>1</w:t>
      </w:r>
      <w:r w:rsidRPr="00F75DDE">
        <w:rPr>
          <w:lang w:val="en-GB"/>
        </w:rPr>
        <w:t>Ankara University School of Medicine, Department of Pediatrics, Developmental</w:t>
      </w:r>
      <w:r w:rsidRPr="00F75DDE">
        <w:rPr>
          <w:spacing w:val="-10"/>
          <w:lang w:val="en-GB"/>
        </w:rPr>
        <w:t xml:space="preserve"> </w:t>
      </w:r>
      <w:r w:rsidRPr="00F75DDE">
        <w:rPr>
          <w:lang w:val="en-GB"/>
        </w:rPr>
        <w:t>Pediatrics Division, Ankara,</w:t>
      </w:r>
      <w:r w:rsidRPr="00F75DDE">
        <w:rPr>
          <w:spacing w:val="-4"/>
          <w:lang w:val="en-GB"/>
        </w:rPr>
        <w:t xml:space="preserve"> </w:t>
      </w:r>
      <w:r w:rsidRPr="00F75DDE">
        <w:rPr>
          <w:lang w:val="en-GB"/>
        </w:rPr>
        <w:t>Turkey</w:t>
      </w:r>
    </w:p>
    <w:p w:rsidR="00AE7E13" w:rsidRPr="00F75DDE" w:rsidRDefault="00AE7E13" w:rsidP="001D7099">
      <w:pPr>
        <w:pStyle w:val="BodyText"/>
        <w:spacing w:before="131" w:line="480" w:lineRule="auto"/>
        <w:ind w:left="0" w:right="217"/>
        <w:rPr>
          <w:lang w:val="en-GB"/>
        </w:rPr>
      </w:pPr>
      <w:r w:rsidRPr="00F75DDE">
        <w:rPr>
          <w:position w:val="11"/>
          <w:vertAlign w:val="superscript"/>
          <w:lang w:val="en-GB"/>
        </w:rPr>
        <w:t>2</w:t>
      </w:r>
      <w:r w:rsidRPr="00F75DDE">
        <w:rPr>
          <w:lang w:val="en-GB"/>
        </w:rPr>
        <w:t>Children’s Rehabilitation Center, Baku,</w:t>
      </w:r>
      <w:r w:rsidRPr="00F75DDE">
        <w:rPr>
          <w:spacing w:val="-17"/>
          <w:lang w:val="en-GB"/>
        </w:rPr>
        <w:t xml:space="preserve"> </w:t>
      </w:r>
      <w:r w:rsidRPr="00F75DDE">
        <w:rPr>
          <w:lang w:val="en-GB"/>
        </w:rPr>
        <w:t>Azerbaijan</w:t>
      </w:r>
    </w:p>
    <w:p w:rsidR="00AE7E13" w:rsidRPr="00F75DDE" w:rsidRDefault="00AE7E13" w:rsidP="001D7099">
      <w:pPr>
        <w:pStyle w:val="BodyText"/>
        <w:spacing w:before="128" w:line="480" w:lineRule="auto"/>
        <w:ind w:left="0" w:right="217"/>
        <w:rPr>
          <w:lang w:val="en-GB"/>
        </w:rPr>
      </w:pPr>
      <w:r w:rsidRPr="00F75DDE">
        <w:rPr>
          <w:position w:val="11"/>
          <w:vertAlign w:val="superscript"/>
          <w:lang w:val="en-GB"/>
        </w:rPr>
        <w:t>3</w:t>
      </w:r>
      <w:r w:rsidRPr="00F75DDE">
        <w:rPr>
          <w:lang w:val="en-GB"/>
        </w:rPr>
        <w:t>Clinical Neurosciences, Faculty of Medicine, University of Southampton, Southampton, SO171BJ,</w:t>
      </w:r>
      <w:r w:rsidRPr="00F75DDE">
        <w:rPr>
          <w:spacing w:val="-9"/>
          <w:lang w:val="en-GB"/>
        </w:rPr>
        <w:t xml:space="preserve"> </w:t>
      </w:r>
      <w:r w:rsidRPr="00F75DDE">
        <w:rPr>
          <w:lang w:val="en-GB"/>
        </w:rPr>
        <w:t>UK</w:t>
      </w:r>
    </w:p>
    <w:p w:rsidR="00AE7E13" w:rsidRPr="00F75DDE" w:rsidRDefault="00AE7E13" w:rsidP="001D7099">
      <w:pPr>
        <w:pStyle w:val="BodyText"/>
        <w:spacing w:before="133" w:line="480" w:lineRule="auto"/>
        <w:ind w:left="0" w:right="217"/>
        <w:rPr>
          <w:lang w:val="en-GB"/>
        </w:rPr>
      </w:pPr>
      <w:r w:rsidRPr="00F75DDE">
        <w:rPr>
          <w:position w:val="11"/>
          <w:vertAlign w:val="superscript"/>
          <w:lang w:val="en-GB"/>
        </w:rPr>
        <w:t>4</w:t>
      </w:r>
      <w:r w:rsidRPr="00F75DDE">
        <w:rPr>
          <w:lang w:val="en-GB"/>
        </w:rPr>
        <w:t>Yale University School of Medicine, Department of Pediatrics, New Haven, CT 06520-8064,</w:t>
      </w:r>
      <w:r w:rsidRPr="00F75DDE">
        <w:rPr>
          <w:spacing w:val="-3"/>
          <w:lang w:val="en-GB"/>
        </w:rPr>
        <w:t xml:space="preserve"> </w:t>
      </w:r>
      <w:r w:rsidRPr="00F75DDE">
        <w:rPr>
          <w:lang w:val="en-GB"/>
        </w:rPr>
        <w:t>USA</w:t>
      </w:r>
    </w:p>
    <w:p w:rsidR="00AE7E13" w:rsidRPr="00F75DDE" w:rsidRDefault="00AE7E13" w:rsidP="001D7099">
      <w:pPr>
        <w:pStyle w:val="BodyText"/>
        <w:spacing w:before="131" w:line="480" w:lineRule="auto"/>
        <w:ind w:left="0"/>
        <w:rPr>
          <w:lang w:val="en-GB"/>
        </w:rPr>
      </w:pPr>
      <w:r w:rsidRPr="00F75DDE">
        <w:rPr>
          <w:position w:val="11"/>
          <w:vertAlign w:val="superscript"/>
          <w:lang w:val="en-GB"/>
        </w:rPr>
        <w:t>5</w:t>
      </w:r>
      <w:r w:rsidRPr="00F75DDE">
        <w:rPr>
          <w:lang w:val="en-GB"/>
        </w:rPr>
        <w:t>World Health Organization, Child and Adolescent Health, WHO Regional Office for</w:t>
      </w:r>
      <w:r w:rsidRPr="00F75DDE">
        <w:rPr>
          <w:spacing w:val="-13"/>
          <w:lang w:val="en-GB"/>
        </w:rPr>
        <w:t xml:space="preserve"> </w:t>
      </w:r>
      <w:r w:rsidRPr="00F75DDE">
        <w:rPr>
          <w:lang w:val="en-GB"/>
        </w:rPr>
        <w:t>Europe, Copenhagen Ø,</w:t>
      </w:r>
      <w:r w:rsidRPr="00F75DDE">
        <w:rPr>
          <w:spacing w:val="-7"/>
          <w:lang w:val="en-GB"/>
        </w:rPr>
        <w:t xml:space="preserve"> </w:t>
      </w:r>
      <w:r w:rsidRPr="00F75DDE">
        <w:rPr>
          <w:lang w:val="en-GB"/>
        </w:rPr>
        <w:t>Denmark</w:t>
      </w:r>
    </w:p>
    <w:p w:rsidR="00AE7E13" w:rsidRPr="00F75DDE" w:rsidRDefault="00AE7E13" w:rsidP="001D7099">
      <w:pPr>
        <w:pStyle w:val="BodyText"/>
        <w:spacing w:before="162" w:line="480" w:lineRule="auto"/>
        <w:ind w:left="0" w:right="217"/>
        <w:rPr>
          <w:lang w:val="en-GB"/>
        </w:rPr>
      </w:pPr>
    </w:p>
    <w:p w:rsidR="00AE7E13" w:rsidRPr="00F75DDE" w:rsidRDefault="00AE7E13" w:rsidP="002B5B95">
      <w:pPr>
        <w:spacing w:line="480" w:lineRule="auto"/>
        <w:rPr>
          <w:lang w:val="en-GB"/>
        </w:rPr>
      </w:pPr>
      <w:r w:rsidRPr="00D456F7">
        <w:rPr>
          <w:b/>
          <w:lang w:val="en-GB"/>
        </w:rPr>
        <w:t>Word count:</w:t>
      </w:r>
      <w:r w:rsidRPr="00535638">
        <w:rPr>
          <w:lang w:val="en-GB"/>
        </w:rPr>
        <w:t xml:space="preserve"> </w:t>
      </w:r>
      <w:r>
        <w:rPr>
          <w:lang w:val="en-GB"/>
        </w:rPr>
        <w:t>2991</w:t>
      </w:r>
    </w:p>
    <w:p w:rsidR="00AE7E13" w:rsidRPr="00F75DDE" w:rsidRDefault="00AE7E13" w:rsidP="00D456F7">
      <w:pPr>
        <w:pStyle w:val="Heading1"/>
        <w:ind w:left="0" w:right="217"/>
        <w:rPr>
          <w:b w:val="0"/>
          <w:lang w:val="en-GB"/>
        </w:rPr>
      </w:pPr>
      <w:r w:rsidRPr="00F75DDE">
        <w:rPr>
          <w:lang w:val="en-GB"/>
        </w:rPr>
        <w:t>Corresponding</w:t>
      </w:r>
      <w:r w:rsidRPr="00F75DDE">
        <w:rPr>
          <w:spacing w:val="-4"/>
          <w:lang w:val="en-GB"/>
        </w:rPr>
        <w:t xml:space="preserve"> </w:t>
      </w:r>
      <w:r w:rsidRPr="00F75DDE">
        <w:rPr>
          <w:lang w:val="en-GB"/>
        </w:rPr>
        <w:t>Author:</w:t>
      </w:r>
    </w:p>
    <w:p w:rsidR="00AE7E13" w:rsidRPr="00F75DDE" w:rsidRDefault="00AE7E13" w:rsidP="00D456F7">
      <w:pPr>
        <w:pStyle w:val="BodyText"/>
        <w:spacing w:before="153"/>
        <w:ind w:right="217"/>
        <w:rPr>
          <w:lang w:val="en-GB"/>
        </w:rPr>
      </w:pPr>
      <w:r w:rsidRPr="00F75DDE">
        <w:rPr>
          <w:lang w:val="en-GB"/>
        </w:rPr>
        <w:t>Dr. Revan</w:t>
      </w:r>
      <w:r w:rsidRPr="00F75DDE">
        <w:rPr>
          <w:spacing w:val="-7"/>
          <w:lang w:val="en-GB"/>
        </w:rPr>
        <w:t xml:space="preserve"> </w:t>
      </w:r>
      <w:r w:rsidRPr="00F75DDE">
        <w:rPr>
          <w:lang w:val="en-GB"/>
        </w:rPr>
        <w:t>Mustafayev</w:t>
      </w:r>
    </w:p>
    <w:p w:rsidR="00AE7E13" w:rsidRPr="00F75DDE" w:rsidRDefault="00AE7E13" w:rsidP="00D456F7">
      <w:pPr>
        <w:pStyle w:val="BodyText"/>
        <w:spacing w:before="153"/>
        <w:ind w:right="217"/>
        <w:rPr>
          <w:lang w:val="en-GB"/>
        </w:rPr>
      </w:pPr>
      <w:r w:rsidRPr="00F75DDE">
        <w:rPr>
          <w:lang w:val="en-GB"/>
        </w:rPr>
        <w:t>Address: Han Çayırı sokak 18/11 Tarabya Sarıyer</w:t>
      </w:r>
    </w:p>
    <w:p w:rsidR="00AE7E13" w:rsidRPr="00F75DDE" w:rsidRDefault="00AE7E13" w:rsidP="00D456F7">
      <w:pPr>
        <w:pStyle w:val="BodyText"/>
        <w:spacing w:before="153"/>
        <w:ind w:right="217"/>
        <w:rPr>
          <w:lang w:val="en-GB"/>
        </w:rPr>
      </w:pPr>
      <w:r w:rsidRPr="00F75DDE">
        <w:rPr>
          <w:lang w:val="en-GB"/>
        </w:rPr>
        <w:t xml:space="preserve"> Istanbul,</w:t>
      </w:r>
      <w:r w:rsidRPr="00F75DDE">
        <w:rPr>
          <w:spacing w:val="-9"/>
          <w:lang w:val="en-GB"/>
        </w:rPr>
        <w:t xml:space="preserve"> </w:t>
      </w:r>
      <w:r w:rsidRPr="00F75DDE">
        <w:rPr>
          <w:lang w:val="en-GB"/>
        </w:rPr>
        <w:t xml:space="preserve">Turkey </w:t>
      </w:r>
    </w:p>
    <w:p w:rsidR="00AE7E13" w:rsidRPr="00F75DDE" w:rsidRDefault="00AE7E13" w:rsidP="00D456F7">
      <w:pPr>
        <w:pStyle w:val="BodyText"/>
        <w:spacing w:before="153"/>
        <w:ind w:right="217"/>
        <w:rPr>
          <w:lang w:val="en-GB"/>
        </w:rPr>
      </w:pPr>
      <w:r w:rsidRPr="00F75DDE">
        <w:rPr>
          <w:lang w:val="en-GB"/>
        </w:rPr>
        <w:t>Phone: +90 536 424 34</w:t>
      </w:r>
      <w:r w:rsidRPr="00F75DDE">
        <w:rPr>
          <w:spacing w:val="-2"/>
          <w:lang w:val="en-GB"/>
        </w:rPr>
        <w:t xml:space="preserve"> </w:t>
      </w:r>
      <w:r w:rsidRPr="00F75DDE">
        <w:rPr>
          <w:lang w:val="en-GB"/>
        </w:rPr>
        <w:t>85</w:t>
      </w:r>
    </w:p>
    <w:p w:rsidR="00AE7E13" w:rsidRDefault="00AE7E13" w:rsidP="00854B92">
      <w:pPr>
        <w:pStyle w:val="BodyText"/>
        <w:spacing w:before="4"/>
        <w:ind w:left="0" w:right="217"/>
        <w:rPr>
          <w:b/>
          <w:lang w:val="en-GB"/>
        </w:rPr>
      </w:pPr>
      <w:r w:rsidRPr="00F75DDE">
        <w:rPr>
          <w:lang w:val="en-GB"/>
        </w:rPr>
        <w:t>E-mail:</w:t>
      </w:r>
      <w:r w:rsidRPr="00F75DDE">
        <w:rPr>
          <w:spacing w:val="-6"/>
          <w:lang w:val="en-GB"/>
        </w:rPr>
        <w:t xml:space="preserve"> </w:t>
      </w:r>
      <w:r w:rsidRPr="00854B92">
        <w:rPr>
          <w:lang w:val="en-GB"/>
        </w:rPr>
        <w:t>revanmus@hotmail.com</w:t>
      </w:r>
      <w:r w:rsidRPr="00854B92">
        <w:rPr>
          <w:lang w:val="en-GB"/>
        </w:rPr>
        <w:br w:type="page"/>
      </w:r>
      <w:r w:rsidRPr="00854B92">
        <w:rPr>
          <w:b/>
          <w:lang w:val="en-GB"/>
        </w:rPr>
        <w:lastRenderedPageBreak/>
        <w:t>ABSTRACT</w:t>
      </w:r>
    </w:p>
    <w:p w:rsidR="00AE7E13" w:rsidRDefault="00AE7E13" w:rsidP="00854B92">
      <w:pPr>
        <w:pStyle w:val="BodyText"/>
        <w:spacing w:before="4"/>
        <w:ind w:left="0" w:right="217"/>
        <w:rPr>
          <w:b/>
          <w:lang w:val="en-GB"/>
        </w:rPr>
      </w:pPr>
    </w:p>
    <w:p w:rsidR="00AE7E13" w:rsidRPr="004C40B7" w:rsidRDefault="00AE7E13" w:rsidP="00D456F7">
      <w:pPr>
        <w:pStyle w:val="BodyText"/>
        <w:spacing w:before="4"/>
        <w:ind w:right="217"/>
        <w:rPr>
          <w:b/>
          <w:bCs/>
          <w:lang w:val="en-GB"/>
        </w:rPr>
      </w:pPr>
    </w:p>
    <w:p w:rsidR="00AE7E13" w:rsidRPr="004C40B7" w:rsidRDefault="00AE7E13" w:rsidP="00D125EA">
      <w:pPr>
        <w:spacing w:line="480" w:lineRule="auto"/>
        <w:rPr>
          <w:lang w:val="en-GB"/>
        </w:rPr>
      </w:pPr>
      <w:r w:rsidRPr="004C40B7">
        <w:rPr>
          <w:b/>
          <w:lang w:val="en-GB"/>
        </w:rPr>
        <w:t>Background</w:t>
      </w:r>
      <w:r w:rsidRPr="004C40B7">
        <w:rPr>
          <w:lang w:val="en-GB"/>
        </w:rPr>
        <w:t xml:space="preserve">. The World Health Organization reports excessive rates of ill-defined neurological diagnoses and ineffective and potentially harmful </w:t>
      </w:r>
      <w:r>
        <w:rPr>
          <w:lang w:val="en-GB"/>
        </w:rPr>
        <w:t xml:space="preserve">drug treatments </w:t>
      </w:r>
      <w:r w:rsidRPr="004C40B7">
        <w:rPr>
          <w:lang w:val="en-GB"/>
        </w:rPr>
        <w:t xml:space="preserve">in </w:t>
      </w:r>
      <w:r>
        <w:rPr>
          <w:lang w:val="en-GB"/>
        </w:rPr>
        <w:t xml:space="preserve">children in </w:t>
      </w:r>
      <w:r w:rsidRPr="004C40B7">
        <w:rPr>
          <w:lang w:val="en-GB"/>
        </w:rPr>
        <w:t xml:space="preserve">the Commonwealth of Independent States (CIS). </w:t>
      </w:r>
      <w:r>
        <w:rPr>
          <w:lang w:val="en-GB"/>
        </w:rPr>
        <w:t>C</w:t>
      </w:r>
      <w:r w:rsidRPr="004C40B7">
        <w:rPr>
          <w:lang w:val="en-GB"/>
        </w:rPr>
        <w:t xml:space="preserve">ollectively termed perinatal encephalopathy and </w:t>
      </w:r>
      <w:r w:rsidRPr="004C40B7">
        <w:rPr>
          <w:shd w:val="clear" w:color="auto" w:fill="FFFFFF"/>
          <w:lang w:val="en-GB"/>
        </w:rPr>
        <w:t xml:space="preserve">the syndrome of intracranial hypertension (PE-SIH), </w:t>
      </w:r>
      <w:r>
        <w:rPr>
          <w:shd w:val="clear" w:color="auto" w:fill="FFFFFF"/>
          <w:lang w:val="en-GB"/>
        </w:rPr>
        <w:t xml:space="preserve">these diagnoses </w:t>
      </w:r>
      <w:r w:rsidRPr="004C40B7">
        <w:rPr>
          <w:lang w:val="en-GB"/>
        </w:rPr>
        <w:t xml:space="preserve">are important contributors to perceived childhood morbidity and disability in the CIS. </w:t>
      </w:r>
      <w:r>
        <w:rPr>
          <w:lang w:val="en-GB"/>
        </w:rPr>
        <w:t>A systematic c</w:t>
      </w:r>
      <w:r w:rsidRPr="004C40B7">
        <w:rPr>
          <w:lang w:val="en-GB"/>
        </w:rPr>
        <w:t>ompil</w:t>
      </w:r>
      <w:r>
        <w:rPr>
          <w:lang w:val="en-GB"/>
        </w:rPr>
        <w:t xml:space="preserve">ation of </w:t>
      </w:r>
      <w:r w:rsidRPr="004C40B7">
        <w:rPr>
          <w:lang w:val="en-GB"/>
        </w:rPr>
        <w:t>information on PE-SIH is lacking</w:t>
      </w:r>
      <w:r>
        <w:rPr>
          <w:lang w:val="en-GB"/>
        </w:rPr>
        <w:t>.</w:t>
      </w:r>
      <w:r w:rsidRPr="004C40B7">
        <w:rPr>
          <w:lang w:val="en-GB"/>
        </w:rPr>
        <w:t xml:space="preserve"> </w:t>
      </w:r>
    </w:p>
    <w:p w:rsidR="00AE7E13" w:rsidRPr="004C40B7" w:rsidRDefault="00AE7E13" w:rsidP="00D125EA">
      <w:pPr>
        <w:spacing w:line="480" w:lineRule="auto"/>
        <w:rPr>
          <w:lang w:val="en-GB"/>
        </w:rPr>
      </w:pPr>
      <w:r w:rsidRPr="004C40B7">
        <w:rPr>
          <w:b/>
          <w:lang w:val="en-GB"/>
        </w:rPr>
        <w:t>Methods</w:t>
      </w:r>
      <w:r w:rsidRPr="004C40B7">
        <w:rPr>
          <w:lang w:val="en-GB"/>
        </w:rPr>
        <w:t>.</w:t>
      </w:r>
      <w:r w:rsidRPr="004C40B7">
        <w:rPr>
          <w:lang w:val="en-GB"/>
        </w:rPr>
        <w:tab/>
        <w:t xml:space="preserve">We </w:t>
      </w:r>
      <w:r>
        <w:rPr>
          <w:lang w:val="en-GB"/>
        </w:rPr>
        <w:t xml:space="preserve">systematically </w:t>
      </w:r>
      <w:r w:rsidRPr="004C40B7">
        <w:rPr>
          <w:lang w:val="en-GB"/>
        </w:rPr>
        <w:t>reviewed publications between 1970 and 2020 on PE-SIH</w:t>
      </w:r>
      <w:r>
        <w:rPr>
          <w:lang w:val="en-GB"/>
        </w:rPr>
        <w:t xml:space="preserve"> </w:t>
      </w:r>
      <w:r w:rsidRPr="004C40B7">
        <w:rPr>
          <w:lang w:val="en-GB"/>
        </w:rPr>
        <w:t>in Azerbaijani, English, Russian and Ukrainian languages and summarised information on PE-SIH</w:t>
      </w:r>
      <w:r>
        <w:rPr>
          <w:lang w:val="en-GB"/>
        </w:rPr>
        <w:t>.</w:t>
      </w:r>
      <w:r w:rsidRPr="004C40B7">
        <w:rPr>
          <w:lang w:val="en-GB"/>
        </w:rPr>
        <w:t xml:space="preserve"> </w:t>
      </w:r>
    </w:p>
    <w:p w:rsidR="00AE7E13" w:rsidRDefault="00AE7E13" w:rsidP="00D125EA">
      <w:pPr>
        <w:pStyle w:val="BodyText"/>
        <w:spacing w:before="54" w:line="480" w:lineRule="auto"/>
        <w:ind w:left="0" w:right="236"/>
        <w:rPr>
          <w:lang w:val="en-GB"/>
        </w:rPr>
      </w:pPr>
      <w:r w:rsidRPr="004C40B7">
        <w:rPr>
          <w:b/>
          <w:lang w:val="en-GB"/>
        </w:rPr>
        <w:t>Results</w:t>
      </w:r>
      <w:r w:rsidRPr="004C40B7">
        <w:rPr>
          <w:lang w:val="en-GB"/>
        </w:rPr>
        <w:t>.</w:t>
      </w:r>
      <w:r w:rsidRPr="004C40B7">
        <w:rPr>
          <w:lang w:val="en-GB"/>
        </w:rPr>
        <w:tab/>
      </w:r>
      <w:r w:rsidRPr="006C76B2">
        <w:rPr>
          <w:lang w:val="en-GB"/>
        </w:rPr>
        <w:t xml:space="preserve">We identified </w:t>
      </w:r>
      <w:r w:rsidRPr="00C2494E">
        <w:rPr>
          <w:lang w:val="en-GB"/>
        </w:rPr>
        <w:t>30 publications (70% in Russian)</w:t>
      </w:r>
      <w:r w:rsidRPr="006C76B2">
        <w:rPr>
          <w:lang w:val="en-GB"/>
        </w:rPr>
        <w:t xml:space="preserve"> published 1976</w:t>
      </w:r>
      <w:r>
        <w:rPr>
          <w:lang w:val="en-GB"/>
        </w:rPr>
        <w:t>-</w:t>
      </w:r>
      <w:r w:rsidRPr="006C76B2">
        <w:rPr>
          <w:lang w:val="en-GB"/>
        </w:rPr>
        <w:t xml:space="preserve">2017. </w:t>
      </w:r>
      <w:r w:rsidRPr="001C4E0D">
        <w:rPr>
          <w:lang w:val="en-GB"/>
        </w:rPr>
        <w:t xml:space="preserve">The </w:t>
      </w:r>
      <w:r w:rsidRPr="001C4E0D">
        <w:t>diagnosis of PE-SIH was either based on unreported criteria (65% of reports), nonspecific clinical features of typically developing children or those with common developmental disorders (20% of reports) or cranial ultrasound (15% of reports). The</w:t>
      </w:r>
      <w:r w:rsidRPr="006C76B2">
        <w:t xml:space="preserve"> reported proportion of children with PE-SIH </w:t>
      </w:r>
      <w:r>
        <w:t xml:space="preserve">in the study samples </w:t>
      </w:r>
      <w:r w:rsidRPr="006C76B2">
        <w:rPr>
          <w:lang w:val="en-GB"/>
        </w:rPr>
        <w:t xml:space="preserve">ranged from </w:t>
      </w:r>
      <w:r w:rsidRPr="00C2494E">
        <w:rPr>
          <w:lang w:val="en-GB"/>
        </w:rPr>
        <w:t>31% to 99%.</w:t>
      </w:r>
      <w:r w:rsidRPr="006C76B2">
        <w:rPr>
          <w:lang w:val="en-GB"/>
        </w:rPr>
        <w:t xml:space="preserve"> </w:t>
      </w:r>
      <w:r>
        <w:rPr>
          <w:lang w:val="en-GB"/>
        </w:rPr>
        <w:t>There were few published studies on r</w:t>
      </w:r>
      <w:r w:rsidRPr="006C76B2">
        <w:t>e</w:t>
      </w:r>
      <w:r w:rsidRPr="006C76B2">
        <w:rPr>
          <w:lang w:val="en-GB"/>
        </w:rPr>
        <w:t>assessments</w:t>
      </w:r>
      <w:r>
        <w:rPr>
          <w:lang w:val="en-GB"/>
        </w:rPr>
        <w:t xml:space="preserve"> of children diagnosed with PE-SIH and these did not </w:t>
      </w:r>
      <w:r w:rsidRPr="004C40B7">
        <w:rPr>
          <w:lang w:val="en-GB"/>
        </w:rPr>
        <w:t xml:space="preserve">confirm </w:t>
      </w:r>
      <w:r>
        <w:rPr>
          <w:lang w:val="en-GB"/>
        </w:rPr>
        <w:t>neurological disease in the majority of children.</w:t>
      </w:r>
      <w:r w:rsidRPr="004C40B7">
        <w:rPr>
          <w:lang w:val="en-GB"/>
        </w:rPr>
        <w:t xml:space="preserve"> Treatments included </w:t>
      </w:r>
      <w:r>
        <w:rPr>
          <w:lang w:val="en-GB"/>
        </w:rPr>
        <w:t xml:space="preserve">multiple </w:t>
      </w:r>
      <w:r w:rsidRPr="004C40B7">
        <w:rPr>
          <w:lang w:val="en-GB"/>
        </w:rPr>
        <w:t xml:space="preserve">unlicensed drugs without established effectiveness and with potential </w:t>
      </w:r>
      <w:r>
        <w:rPr>
          <w:lang w:val="en-GB"/>
        </w:rPr>
        <w:t xml:space="preserve">unwanted </w:t>
      </w:r>
      <w:r w:rsidRPr="004C40B7">
        <w:rPr>
          <w:lang w:val="en-GB"/>
        </w:rPr>
        <w:t>effects.</w:t>
      </w:r>
    </w:p>
    <w:p w:rsidR="00AE7E13" w:rsidRPr="00FC1D1B" w:rsidRDefault="00AE7E13" w:rsidP="00D125EA">
      <w:pPr>
        <w:pStyle w:val="BodyText"/>
        <w:spacing w:before="54" w:line="480" w:lineRule="auto"/>
        <w:ind w:right="236"/>
        <w:rPr>
          <w:b/>
          <w:bCs/>
        </w:rPr>
      </w:pPr>
      <w:r w:rsidRPr="00FC1D1B">
        <w:rPr>
          <w:b/>
          <w:lang w:val="en-GB"/>
        </w:rPr>
        <w:t>Conclusion.</w:t>
      </w:r>
      <w:r w:rsidRPr="004C40B7">
        <w:rPr>
          <w:lang w:val="en-GB"/>
        </w:rPr>
        <w:tab/>
      </w:r>
      <w:r>
        <w:rPr>
          <w:lang w:val="en-GB"/>
        </w:rPr>
        <w:t xml:space="preserve">This review </w:t>
      </w:r>
      <w:r w:rsidRPr="004C40B7">
        <w:rPr>
          <w:lang w:val="en-GB"/>
        </w:rPr>
        <w:t xml:space="preserve">suggests that PE-SIH </w:t>
      </w:r>
      <w:r>
        <w:rPr>
          <w:lang w:val="en-GB"/>
        </w:rPr>
        <w:t>is</w:t>
      </w:r>
      <w:r w:rsidRPr="004C40B7">
        <w:rPr>
          <w:lang w:val="en-GB"/>
        </w:rPr>
        <w:t xml:space="preserve"> </w:t>
      </w:r>
      <w:r>
        <w:rPr>
          <w:lang w:val="en-GB"/>
        </w:rPr>
        <w:t xml:space="preserve">a medical diagnostic label that is used in numerous </w:t>
      </w:r>
      <w:r w:rsidRPr="004C40B7">
        <w:t>children</w:t>
      </w:r>
      <w:r>
        <w:t xml:space="preserve"> without substantive</w:t>
      </w:r>
      <w:r w:rsidRPr="004C40B7">
        <w:rPr>
          <w:lang w:val="en-GB"/>
        </w:rPr>
        <w:t xml:space="preserve"> </w:t>
      </w:r>
      <w:r>
        <w:rPr>
          <w:lang w:val="en-GB"/>
        </w:rPr>
        <w:t xml:space="preserve">associated </w:t>
      </w:r>
      <w:r w:rsidRPr="004C40B7">
        <w:rPr>
          <w:lang w:val="en-GB"/>
        </w:rPr>
        <w:t>disease</w:t>
      </w:r>
      <w:r w:rsidRPr="004C40B7">
        <w:t>.</w:t>
      </w:r>
      <w:r w:rsidRPr="004C40B7">
        <w:rPr>
          <w:lang w:val="en-GB"/>
        </w:rPr>
        <w:t xml:space="preserve"> </w:t>
      </w:r>
      <w:r w:rsidRPr="001B63E1">
        <w:t>T</w:t>
      </w:r>
      <w:r w:rsidRPr="001B63E1">
        <w:rPr>
          <w:lang w:val="en-GB"/>
        </w:rPr>
        <w:t>he diagnosis and treatment of PE-SIH is a multidimensional, iatrogenic, clinical and public health problem in the CIS.</w:t>
      </w:r>
      <w:r>
        <w:rPr>
          <w:lang w:val="en-GB"/>
        </w:rPr>
        <w:t xml:space="preserve"> </w:t>
      </w:r>
      <w:r w:rsidRPr="004C40B7">
        <w:rPr>
          <w:lang w:val="en-GB"/>
        </w:rPr>
        <w:t xml:space="preserve"> </w:t>
      </w:r>
      <w:r>
        <w:rPr>
          <w:lang w:val="en-GB"/>
        </w:rPr>
        <w:t>With increasing use of e</w:t>
      </w:r>
      <w:r w:rsidRPr="004C40B7">
        <w:rPr>
          <w:lang w:val="en-GB"/>
        </w:rPr>
        <w:t xml:space="preserve">vidence-based medicine guidelines </w:t>
      </w:r>
      <w:r>
        <w:rPr>
          <w:lang w:val="en-GB"/>
        </w:rPr>
        <w:t xml:space="preserve">in the region it is hoped that </w:t>
      </w:r>
      <w:r w:rsidRPr="001C4E0D">
        <w:rPr>
          <w:lang w:val="en-GB"/>
        </w:rPr>
        <w:t>PE-SIH will gradually disappear but actions to accelerate this change are nevertheless</w:t>
      </w:r>
      <w:r>
        <w:rPr>
          <w:lang w:val="en-GB"/>
        </w:rPr>
        <w:t xml:space="preserve"> needed.</w:t>
      </w:r>
    </w:p>
    <w:p w:rsidR="00AE7E13" w:rsidRPr="00F75DDE" w:rsidRDefault="00AE7E13" w:rsidP="00D125EA">
      <w:pPr>
        <w:pStyle w:val="CommentText"/>
        <w:spacing w:line="480" w:lineRule="auto"/>
        <w:rPr>
          <w:sz w:val="24"/>
          <w:szCs w:val="24"/>
          <w:lang w:val="en-GB"/>
        </w:rPr>
      </w:pPr>
      <w:r w:rsidRPr="004C40B7">
        <w:rPr>
          <w:b/>
          <w:sz w:val="24"/>
          <w:szCs w:val="24"/>
          <w:lang w:val="en-GB"/>
        </w:rPr>
        <w:t xml:space="preserve">Keywords: </w:t>
      </w:r>
      <w:r w:rsidRPr="004C40B7">
        <w:rPr>
          <w:sz w:val="24"/>
          <w:szCs w:val="24"/>
          <w:lang w:val="en-GB"/>
        </w:rPr>
        <w:t>child development,</w:t>
      </w:r>
      <w:r w:rsidRPr="004C40B7">
        <w:rPr>
          <w:b/>
          <w:sz w:val="24"/>
          <w:szCs w:val="24"/>
          <w:lang w:val="en-GB"/>
        </w:rPr>
        <w:t xml:space="preserve"> </w:t>
      </w:r>
      <w:r w:rsidRPr="004C40B7">
        <w:rPr>
          <w:sz w:val="24"/>
          <w:szCs w:val="24"/>
          <w:lang w:val="en-GB"/>
        </w:rPr>
        <w:t>child health,</w:t>
      </w:r>
      <w:r w:rsidRPr="004C40B7">
        <w:rPr>
          <w:b/>
          <w:sz w:val="24"/>
          <w:szCs w:val="24"/>
          <w:lang w:val="en-GB"/>
        </w:rPr>
        <w:t xml:space="preserve"> </w:t>
      </w:r>
      <w:r w:rsidRPr="004C40B7">
        <w:rPr>
          <w:sz w:val="24"/>
          <w:szCs w:val="24"/>
          <w:lang w:val="en-GB"/>
        </w:rPr>
        <w:t>Commonwealth of Independent States, over-diagnosis, over-medicalisation, perinatal encephalopathy, syndrome of intracranial hypertension</w:t>
      </w:r>
    </w:p>
    <w:p w:rsidR="00AE7E13" w:rsidRDefault="00AE7E13" w:rsidP="00D125EA">
      <w:pPr>
        <w:pStyle w:val="BodyText"/>
        <w:spacing w:before="4" w:line="480" w:lineRule="auto"/>
        <w:ind w:left="0" w:right="217"/>
        <w:rPr>
          <w:b/>
          <w:lang w:val="en-GB"/>
        </w:rPr>
      </w:pPr>
      <w:bookmarkStart w:id="1" w:name="_msocom_1"/>
      <w:bookmarkStart w:id="2" w:name="_msocom_2"/>
      <w:bookmarkEnd w:id="1"/>
      <w:bookmarkEnd w:id="2"/>
      <w:r>
        <w:rPr>
          <w:b/>
          <w:lang w:val="en-GB"/>
        </w:rPr>
        <w:br w:type="page"/>
      </w:r>
    </w:p>
    <w:p w:rsidR="00AE7E13" w:rsidRDefault="00AE7E13" w:rsidP="00945935">
      <w:pPr>
        <w:spacing w:line="480" w:lineRule="auto"/>
        <w:rPr>
          <w:b/>
          <w:lang w:val="en-GB"/>
        </w:rPr>
      </w:pPr>
      <w:r w:rsidRPr="00CB3D4E">
        <w:rPr>
          <w:b/>
          <w:lang w:val="en-GB"/>
        </w:rPr>
        <w:t>INTRODUCTION</w:t>
      </w:r>
    </w:p>
    <w:p w:rsidR="00AE7E13" w:rsidRDefault="00AE7E13" w:rsidP="00945935">
      <w:pPr>
        <w:spacing w:line="480" w:lineRule="auto"/>
        <w:rPr>
          <w:lang w:val="en-GB"/>
        </w:rPr>
      </w:pPr>
    </w:p>
    <w:p w:rsidR="00AE7E13" w:rsidRPr="00F75DDE" w:rsidRDefault="00AE7E13">
      <w:pPr>
        <w:pStyle w:val="BodyText"/>
        <w:spacing w:line="480" w:lineRule="auto"/>
        <w:ind w:left="0"/>
        <w:rPr>
          <w:lang w:val="en-GB"/>
        </w:rPr>
      </w:pPr>
      <w:r w:rsidRPr="00F75DDE">
        <w:rPr>
          <w:lang w:val="en-GB"/>
        </w:rPr>
        <w:t xml:space="preserve">The United Nations Sustainable Development Goals include the integration of interventions to promote </w:t>
      </w:r>
      <w:r>
        <w:rPr>
          <w:lang w:val="en-GB"/>
        </w:rPr>
        <w:t xml:space="preserve">optimal </w:t>
      </w:r>
      <w:r w:rsidRPr="00F75DDE">
        <w:rPr>
          <w:lang w:val="en-GB"/>
        </w:rPr>
        <w:t>development</w:t>
      </w:r>
      <w:r>
        <w:rPr>
          <w:lang w:val="en-GB"/>
        </w:rPr>
        <w:t xml:space="preserve"> during childhood.</w:t>
      </w:r>
      <w:r>
        <w:rPr>
          <w:noProof/>
          <w:lang w:val="en-GB"/>
        </w:rPr>
        <w:t>[1]</w:t>
      </w:r>
      <w:r w:rsidRPr="00F75DDE">
        <w:rPr>
          <w:lang w:val="en-GB"/>
        </w:rPr>
        <w:t xml:space="preserve"> To achieve th</w:t>
      </w:r>
      <w:r>
        <w:rPr>
          <w:lang w:val="en-GB"/>
        </w:rPr>
        <w:t>is goal,</w:t>
      </w:r>
      <w:r w:rsidRPr="00F75DDE">
        <w:rPr>
          <w:lang w:val="en-GB"/>
        </w:rPr>
        <w:t xml:space="preserve"> health systems </w:t>
      </w:r>
      <w:r>
        <w:rPr>
          <w:lang w:val="en-GB"/>
        </w:rPr>
        <w:t xml:space="preserve">must </w:t>
      </w:r>
      <w:r w:rsidRPr="00F75DDE">
        <w:rPr>
          <w:lang w:val="en-GB"/>
        </w:rPr>
        <w:t xml:space="preserve">be strengthened to address child development but also to </w:t>
      </w:r>
      <w:r>
        <w:rPr>
          <w:lang w:val="en-GB"/>
        </w:rPr>
        <w:t>prevent non-evidence based practices.</w:t>
      </w:r>
      <w:r>
        <w:rPr>
          <w:noProof/>
          <w:lang w:val="en-GB"/>
        </w:rPr>
        <w:t>[2]</w:t>
      </w:r>
      <w:r w:rsidRPr="00F75DDE">
        <w:rPr>
          <w:position w:val="11"/>
          <w:lang w:val="en-GB"/>
        </w:rPr>
        <w:t xml:space="preserve"> </w:t>
      </w:r>
      <w:r w:rsidRPr="00F75DDE">
        <w:rPr>
          <w:lang w:val="en-GB"/>
        </w:rPr>
        <w:t>An excessive rate of ill-defined neurological diagnoses</w:t>
      </w:r>
      <w:r>
        <w:rPr>
          <w:lang w:val="en-GB"/>
        </w:rPr>
        <w:t xml:space="preserve"> and </w:t>
      </w:r>
      <w:r w:rsidRPr="00F75DDE">
        <w:rPr>
          <w:lang w:val="en-GB"/>
        </w:rPr>
        <w:t xml:space="preserve">the use of ineffective and potentially harmful medications </w:t>
      </w:r>
      <w:r>
        <w:rPr>
          <w:lang w:val="en-GB"/>
        </w:rPr>
        <w:t xml:space="preserve">to </w:t>
      </w:r>
      <w:r w:rsidRPr="00F75DDE">
        <w:rPr>
          <w:lang w:val="en-GB"/>
        </w:rPr>
        <w:t>treat these conditions in</w:t>
      </w:r>
      <w:r w:rsidRPr="00D456F7">
        <w:rPr>
          <w:lang w:val="en-GB"/>
        </w:rPr>
        <w:t xml:space="preserve"> </w:t>
      </w:r>
      <w:r>
        <w:rPr>
          <w:lang w:val="en-GB"/>
        </w:rPr>
        <w:t xml:space="preserve">countries of </w:t>
      </w:r>
      <w:r w:rsidRPr="00F75DDE">
        <w:rPr>
          <w:lang w:val="en-GB"/>
        </w:rPr>
        <w:t>the Commonwealth of Independent States (CIS) ha</w:t>
      </w:r>
      <w:r>
        <w:rPr>
          <w:lang w:val="en-GB"/>
        </w:rPr>
        <w:t xml:space="preserve">s </w:t>
      </w:r>
      <w:r w:rsidRPr="00F75DDE">
        <w:rPr>
          <w:lang w:val="en-GB"/>
        </w:rPr>
        <w:t xml:space="preserve">been </w:t>
      </w:r>
      <w:r>
        <w:rPr>
          <w:lang w:val="en-GB"/>
        </w:rPr>
        <w:t xml:space="preserve">a </w:t>
      </w:r>
      <w:r w:rsidRPr="00F75DDE">
        <w:rPr>
          <w:lang w:val="en-GB"/>
        </w:rPr>
        <w:t xml:space="preserve">focus </w:t>
      </w:r>
      <w:r>
        <w:rPr>
          <w:lang w:val="en-GB"/>
        </w:rPr>
        <w:t xml:space="preserve">for the </w:t>
      </w:r>
      <w:r w:rsidRPr="00F75DDE">
        <w:rPr>
          <w:lang w:val="en-GB"/>
        </w:rPr>
        <w:t>World Health Organization (WHO).</w:t>
      </w:r>
      <w:r>
        <w:rPr>
          <w:noProof/>
          <w:lang w:val="en-GB"/>
        </w:rPr>
        <w:t>[3]</w:t>
      </w:r>
      <w:r>
        <w:rPr>
          <w:lang w:val="en-GB"/>
        </w:rPr>
        <w:t xml:space="preserve"> </w:t>
      </w:r>
      <w:r w:rsidRPr="00F75DDE">
        <w:rPr>
          <w:lang w:val="en-GB"/>
        </w:rPr>
        <w:t>The CIS refers here to the independent states that formed after</w:t>
      </w:r>
      <w:r w:rsidRPr="00F75DDE">
        <w:rPr>
          <w:spacing w:val="-9"/>
          <w:lang w:val="en-GB"/>
        </w:rPr>
        <w:t xml:space="preserve"> </w:t>
      </w:r>
      <w:r w:rsidRPr="00F75DDE">
        <w:rPr>
          <w:lang w:val="en-GB"/>
        </w:rPr>
        <w:t>the disintegration of the Soviet Union, comprising Armenia, Azerbaijan, Belarus, Georgia,</w:t>
      </w:r>
      <w:r w:rsidRPr="00F75DDE">
        <w:rPr>
          <w:spacing w:val="-6"/>
          <w:lang w:val="en-GB"/>
        </w:rPr>
        <w:t xml:space="preserve"> </w:t>
      </w:r>
      <w:r w:rsidRPr="00F75DDE">
        <w:rPr>
          <w:lang w:val="en-GB"/>
        </w:rPr>
        <w:t>Moldova, Kyrgyzstan, Kazakhstan, the Russian Federation, Tajikistan, Turkmenistan, Ukraine</w:t>
      </w:r>
      <w:r w:rsidRPr="00F75DDE">
        <w:rPr>
          <w:spacing w:val="-4"/>
          <w:lang w:val="en-GB"/>
        </w:rPr>
        <w:t xml:space="preserve"> </w:t>
      </w:r>
      <w:r w:rsidRPr="00F75DDE">
        <w:rPr>
          <w:lang w:val="en-GB"/>
        </w:rPr>
        <w:t>and Uzbekistan.</w:t>
      </w:r>
    </w:p>
    <w:p w:rsidR="00AE7E13" w:rsidRPr="00F75DDE" w:rsidRDefault="00AE7E13" w:rsidP="00982B10">
      <w:pPr>
        <w:pStyle w:val="BodyText"/>
        <w:spacing w:line="480" w:lineRule="auto"/>
        <w:ind w:left="0"/>
        <w:rPr>
          <w:lang w:val="en-GB"/>
        </w:rPr>
      </w:pPr>
    </w:p>
    <w:p w:rsidR="00AE7E13" w:rsidRDefault="00AE7E13" w:rsidP="00BB5BC9">
      <w:pPr>
        <w:pStyle w:val="BodyText"/>
        <w:spacing w:line="480" w:lineRule="auto"/>
        <w:ind w:left="0" w:right="154"/>
        <w:rPr>
          <w:lang w:val="en-GB"/>
        </w:rPr>
      </w:pPr>
      <w:r>
        <w:rPr>
          <w:lang w:val="en-GB"/>
        </w:rPr>
        <w:t>P</w:t>
      </w:r>
      <w:r w:rsidRPr="00F75DDE">
        <w:rPr>
          <w:lang w:val="en-GB"/>
        </w:rPr>
        <w:t xml:space="preserve">roblems </w:t>
      </w:r>
      <w:r>
        <w:rPr>
          <w:lang w:val="en-GB"/>
        </w:rPr>
        <w:t xml:space="preserve">in </w:t>
      </w:r>
      <w:r w:rsidRPr="00F75DDE">
        <w:rPr>
          <w:lang w:val="en-GB"/>
        </w:rPr>
        <w:t xml:space="preserve">the management of children </w:t>
      </w:r>
      <w:r>
        <w:rPr>
          <w:lang w:val="en-GB"/>
        </w:rPr>
        <w:t xml:space="preserve">in </w:t>
      </w:r>
      <w:r w:rsidRPr="00F75DDE">
        <w:rPr>
          <w:lang w:val="en-GB"/>
        </w:rPr>
        <w:t xml:space="preserve">three countries in the CIS were highlighted </w:t>
      </w:r>
      <w:r w:rsidRPr="000E08F3">
        <w:rPr>
          <w:lang w:val="en-GB"/>
        </w:rPr>
        <w:t xml:space="preserve">by a WHO observational study. </w:t>
      </w:r>
      <w:r>
        <w:rPr>
          <w:lang w:val="en-GB"/>
        </w:rPr>
        <w:t>C</w:t>
      </w:r>
      <w:r w:rsidRPr="00F75DDE">
        <w:rPr>
          <w:lang w:val="en-GB"/>
        </w:rPr>
        <w:t xml:space="preserve">hildren </w:t>
      </w:r>
      <w:r>
        <w:rPr>
          <w:lang w:val="en-GB"/>
        </w:rPr>
        <w:t xml:space="preserve">with </w:t>
      </w:r>
      <w:r w:rsidRPr="00F75DDE">
        <w:rPr>
          <w:lang w:val="en-GB"/>
        </w:rPr>
        <w:t xml:space="preserve">physical symptoms </w:t>
      </w:r>
      <w:r>
        <w:rPr>
          <w:lang w:val="en-GB"/>
        </w:rPr>
        <w:t xml:space="preserve">or </w:t>
      </w:r>
      <w:r w:rsidRPr="00F75DDE">
        <w:rPr>
          <w:lang w:val="en-GB"/>
        </w:rPr>
        <w:t>behaviour</w:t>
      </w:r>
      <w:r>
        <w:rPr>
          <w:lang w:val="en-GB"/>
        </w:rPr>
        <w:t>s</w:t>
      </w:r>
      <w:r w:rsidRPr="00F75DDE">
        <w:rPr>
          <w:lang w:val="en-GB"/>
        </w:rPr>
        <w:t xml:space="preserve"> seen in typically developing children</w:t>
      </w:r>
      <w:r>
        <w:rPr>
          <w:lang w:val="en-GB"/>
        </w:rPr>
        <w:t xml:space="preserve"> frequently had been </w:t>
      </w:r>
      <w:r w:rsidRPr="00F75DDE">
        <w:rPr>
          <w:lang w:val="en-GB"/>
        </w:rPr>
        <w:t>given inter-related diagnostic labels</w:t>
      </w:r>
      <w:r w:rsidRPr="00780E0E">
        <w:rPr>
          <w:lang w:val="en-GB"/>
        </w:rPr>
        <w:t xml:space="preserve"> </w:t>
      </w:r>
      <w:r>
        <w:rPr>
          <w:lang w:val="en-GB"/>
        </w:rPr>
        <w:t xml:space="preserve">and </w:t>
      </w:r>
      <w:r w:rsidRPr="00F75DDE">
        <w:rPr>
          <w:lang w:val="en-GB"/>
        </w:rPr>
        <w:t>treated with a wide range of medications</w:t>
      </w:r>
      <w:r>
        <w:rPr>
          <w:lang w:val="en-GB"/>
        </w:rPr>
        <w:t>.</w:t>
      </w:r>
      <w:r>
        <w:rPr>
          <w:noProof/>
          <w:lang w:val="en-GB"/>
        </w:rPr>
        <w:t>[4]</w:t>
      </w:r>
      <w:r w:rsidRPr="00F75DDE">
        <w:rPr>
          <w:lang w:val="en-GB"/>
        </w:rPr>
        <w:t xml:space="preserve"> </w:t>
      </w:r>
      <w:r w:rsidRPr="0080591E">
        <w:rPr>
          <w:lang w:val="en-GB"/>
        </w:rPr>
        <w:t>Many of these diagnoses</w:t>
      </w:r>
      <w:r>
        <w:rPr>
          <w:lang w:val="en-GB"/>
        </w:rPr>
        <w:t xml:space="preserve"> could be grouped </w:t>
      </w:r>
      <w:r w:rsidRPr="00F75DDE">
        <w:rPr>
          <w:lang w:val="en-GB"/>
        </w:rPr>
        <w:t xml:space="preserve">under the umbrella label </w:t>
      </w:r>
      <w:r>
        <w:rPr>
          <w:lang w:val="en-GB"/>
        </w:rPr>
        <w:t>‘</w:t>
      </w:r>
      <w:r w:rsidRPr="00F75DDE">
        <w:rPr>
          <w:lang w:val="en-GB"/>
        </w:rPr>
        <w:t>perinatal encephalopathy</w:t>
      </w:r>
      <w:r>
        <w:rPr>
          <w:lang w:val="en-GB"/>
        </w:rPr>
        <w:t>’</w:t>
      </w:r>
      <w:r w:rsidRPr="00F75DDE">
        <w:rPr>
          <w:lang w:val="en-GB"/>
        </w:rPr>
        <w:t xml:space="preserve"> (PE) or </w:t>
      </w:r>
      <w:r>
        <w:rPr>
          <w:lang w:val="en-GB"/>
        </w:rPr>
        <w:t>‘</w:t>
      </w:r>
      <w:r w:rsidRPr="00F75DDE">
        <w:rPr>
          <w:lang w:val="en-GB"/>
        </w:rPr>
        <w:t>perinatal encephalopathy manifesting as the syndrome of intracranial hypertension</w:t>
      </w:r>
      <w:r>
        <w:rPr>
          <w:lang w:val="en-GB"/>
        </w:rPr>
        <w:t>’</w:t>
      </w:r>
      <w:r w:rsidRPr="00F75DDE">
        <w:rPr>
          <w:lang w:val="en-GB"/>
        </w:rPr>
        <w:t xml:space="preserve"> (PE-SIH</w:t>
      </w:r>
      <w:r w:rsidRPr="000F0BEE">
        <w:rPr>
          <w:lang w:val="en-GB"/>
        </w:rPr>
        <w:t xml:space="preserve">). </w:t>
      </w:r>
      <w:r>
        <w:rPr>
          <w:lang w:val="en-GB"/>
        </w:rPr>
        <w:t>T</w:t>
      </w:r>
      <w:r w:rsidRPr="00F75DDE">
        <w:rPr>
          <w:lang w:val="en-GB"/>
        </w:rPr>
        <w:t xml:space="preserve">he term PE was introduced to the </w:t>
      </w:r>
      <w:r>
        <w:rPr>
          <w:lang w:val="en-GB"/>
        </w:rPr>
        <w:t xml:space="preserve">Russian </w:t>
      </w:r>
      <w:r w:rsidRPr="00F75DDE">
        <w:rPr>
          <w:lang w:val="en-GB"/>
        </w:rPr>
        <w:t>medical literature in 1976 by Iurii Iakunin</w:t>
      </w:r>
      <w:r>
        <w:rPr>
          <w:lang w:val="en-GB"/>
        </w:rPr>
        <w:t>,</w:t>
      </w:r>
      <w:r w:rsidRPr="00F75DDE">
        <w:rPr>
          <w:lang w:val="en-GB"/>
        </w:rPr>
        <w:t xml:space="preserve"> a Soviet paediatric neurologist</w:t>
      </w:r>
      <w:r>
        <w:rPr>
          <w:lang w:val="en-GB"/>
        </w:rPr>
        <w:t>,</w:t>
      </w:r>
      <w:r w:rsidRPr="00F75DDE">
        <w:rPr>
          <w:lang w:val="en-GB"/>
        </w:rPr>
        <w:t xml:space="preserve"> to denote a spectrum of conditions in neonates and infants attributed to brain injury originating in the perinatal </w:t>
      </w:r>
      <w:r w:rsidRPr="00C20BA4">
        <w:rPr>
          <w:lang w:val="en-GB"/>
        </w:rPr>
        <w:t>period.</w:t>
      </w:r>
      <w:r w:rsidRPr="00C20BA4">
        <w:rPr>
          <w:noProof/>
          <w:lang w:val="en-GB"/>
        </w:rPr>
        <w:t>[5]</w:t>
      </w:r>
      <w:r w:rsidRPr="00C20BA4">
        <w:rPr>
          <w:lang w:val="en-GB"/>
        </w:rPr>
        <w:t xml:space="preserve"> </w:t>
      </w:r>
      <w:r w:rsidRPr="00C20BA4">
        <w:t xml:space="preserve">The term PE-SIH has come to be subsequently applied not only </w:t>
      </w:r>
      <w:r>
        <w:t xml:space="preserve">to </w:t>
      </w:r>
      <w:r w:rsidRPr="00C20BA4">
        <w:t xml:space="preserve">neonates and infants but also </w:t>
      </w:r>
      <w:r>
        <w:t xml:space="preserve">to </w:t>
      </w:r>
      <w:r w:rsidRPr="00C20BA4">
        <w:t xml:space="preserve">older children to indicate a neurodevelopmental disorder </w:t>
      </w:r>
      <w:r>
        <w:t xml:space="preserve">thought </w:t>
      </w:r>
      <w:r w:rsidRPr="00C20BA4">
        <w:t>to have origins in the neonatal period.</w:t>
      </w:r>
      <w:r w:rsidRPr="00C20BA4">
        <w:rPr>
          <w:noProof/>
        </w:rPr>
        <w:t>[6]</w:t>
      </w:r>
      <w:r w:rsidRPr="00C20BA4">
        <w:t xml:space="preserve"> </w:t>
      </w:r>
      <w:r w:rsidRPr="00C20BA4">
        <w:rPr>
          <w:lang w:val="en-GB"/>
        </w:rPr>
        <w:t>PE-SIH refers to clinical manifestations of a presumed increase in intracranial pressure from perinatal brain injury.</w:t>
      </w:r>
      <w:r w:rsidRPr="00C20BA4">
        <w:rPr>
          <w:noProof/>
          <w:lang w:val="en-GB"/>
        </w:rPr>
        <w:t>[5, 7, 8]</w:t>
      </w:r>
      <w:r w:rsidRPr="00C20BA4">
        <w:rPr>
          <w:lang w:val="en-GB"/>
        </w:rPr>
        <w:t xml:space="preserve"> ‘</w:t>
      </w:r>
      <w:r>
        <w:rPr>
          <w:lang w:val="en-GB"/>
        </w:rPr>
        <w:t>H</w:t>
      </w:r>
      <w:r w:rsidRPr="00C20BA4">
        <w:rPr>
          <w:lang w:val="en-GB"/>
        </w:rPr>
        <w:t>ypertensive syndrome</w:t>
      </w:r>
      <w:r>
        <w:rPr>
          <w:lang w:val="en-GB"/>
        </w:rPr>
        <w:t>,</w:t>
      </w:r>
      <w:r w:rsidRPr="00C20BA4">
        <w:rPr>
          <w:lang w:val="en-GB"/>
        </w:rPr>
        <w:t>’ ‘hypertensive-hydrocephalic syndrome’ a</w:t>
      </w:r>
      <w:r>
        <w:rPr>
          <w:lang w:val="en-GB"/>
        </w:rPr>
        <w:t xml:space="preserve">nd </w:t>
      </w:r>
      <w:r w:rsidRPr="00C20BA4">
        <w:rPr>
          <w:lang w:val="en-GB"/>
        </w:rPr>
        <w:t>‘</w:t>
      </w:r>
      <w:r>
        <w:rPr>
          <w:lang w:val="en-GB"/>
        </w:rPr>
        <w:t>h</w:t>
      </w:r>
      <w:r w:rsidRPr="00C20BA4">
        <w:rPr>
          <w:lang w:val="en-GB"/>
        </w:rPr>
        <w:t>ydrocephalic syndrome’</w:t>
      </w:r>
      <w:r>
        <w:rPr>
          <w:lang w:val="en-GB"/>
        </w:rPr>
        <w:t xml:space="preserve"> a</w:t>
      </w:r>
      <w:r w:rsidRPr="00C20BA4">
        <w:rPr>
          <w:lang w:val="en-GB"/>
        </w:rPr>
        <w:t>re</w:t>
      </w:r>
      <w:r>
        <w:rPr>
          <w:lang w:val="en-GB"/>
        </w:rPr>
        <w:t xml:space="preserve"> </w:t>
      </w:r>
      <w:r w:rsidRPr="0080591E">
        <w:rPr>
          <w:lang w:val="en-GB"/>
        </w:rPr>
        <w:t>closely related diagnostic labels</w:t>
      </w:r>
      <w:r>
        <w:rPr>
          <w:lang w:val="en-GB"/>
        </w:rPr>
        <w:t xml:space="preserve">, </w:t>
      </w:r>
      <w:r w:rsidRPr="0080591E">
        <w:rPr>
          <w:lang w:val="en-GB"/>
        </w:rPr>
        <w:t>frequently used interchangeably with PE-SIH.</w:t>
      </w:r>
      <w:r>
        <w:rPr>
          <w:noProof/>
          <w:lang w:val="en-GB"/>
        </w:rPr>
        <w:t>[5, 8-11]</w:t>
      </w:r>
      <w:r w:rsidRPr="00F75DDE">
        <w:rPr>
          <w:noProof/>
          <w:lang w:val="en-GB"/>
        </w:rPr>
        <w:t xml:space="preserve"> </w:t>
      </w:r>
      <w:r w:rsidRPr="00F75DDE">
        <w:rPr>
          <w:lang w:val="en-GB"/>
        </w:rPr>
        <w:t>For brevity</w:t>
      </w:r>
      <w:r>
        <w:rPr>
          <w:lang w:val="en-GB"/>
        </w:rPr>
        <w:t xml:space="preserve"> in this review</w:t>
      </w:r>
      <w:r w:rsidRPr="00F75DDE">
        <w:rPr>
          <w:lang w:val="en-GB"/>
        </w:rPr>
        <w:t xml:space="preserve">, we </w:t>
      </w:r>
      <w:r>
        <w:rPr>
          <w:lang w:val="en-GB"/>
        </w:rPr>
        <w:t xml:space="preserve">shall </w:t>
      </w:r>
      <w:r w:rsidRPr="00F75DDE">
        <w:rPr>
          <w:lang w:val="en-GB"/>
        </w:rPr>
        <w:t xml:space="preserve">use the term PE-SIH to refer to any of these diagnostic labels. </w:t>
      </w:r>
    </w:p>
    <w:p w:rsidR="00AE7E13" w:rsidRDefault="00AE7E13" w:rsidP="00D34ED6">
      <w:pPr>
        <w:pStyle w:val="BodyText"/>
        <w:spacing w:line="480" w:lineRule="auto"/>
        <w:ind w:left="0" w:right="154"/>
        <w:rPr>
          <w:noProof/>
          <w:lang w:val="en-GB"/>
        </w:rPr>
      </w:pPr>
    </w:p>
    <w:p w:rsidR="00AE7E13" w:rsidRDefault="00AE7E13" w:rsidP="00D34ED6">
      <w:pPr>
        <w:pStyle w:val="BodyText"/>
        <w:spacing w:line="480" w:lineRule="auto"/>
        <w:ind w:left="0" w:right="154"/>
        <w:rPr>
          <w:noProof/>
          <w:lang w:val="en-GB"/>
        </w:rPr>
      </w:pPr>
      <w:r>
        <w:rPr>
          <w:noProof/>
          <w:lang w:val="en-GB"/>
        </w:rPr>
        <w:t>T</w:t>
      </w:r>
      <w:r w:rsidRPr="00F75DDE">
        <w:rPr>
          <w:lang w:val="en-GB"/>
        </w:rPr>
        <w:t xml:space="preserve">he literature indicates that in CIS countries, physicians </w:t>
      </w:r>
      <w:r>
        <w:rPr>
          <w:lang w:val="en-GB"/>
        </w:rPr>
        <w:t xml:space="preserve">may </w:t>
      </w:r>
      <w:r w:rsidRPr="00F75DDE">
        <w:rPr>
          <w:lang w:val="en-GB"/>
        </w:rPr>
        <w:t xml:space="preserve">attribute </w:t>
      </w:r>
      <w:r>
        <w:rPr>
          <w:lang w:val="en-GB"/>
        </w:rPr>
        <w:t>various</w:t>
      </w:r>
      <w:r w:rsidRPr="00F75DDE">
        <w:rPr>
          <w:lang w:val="en-GB"/>
        </w:rPr>
        <w:t xml:space="preserve"> paediatric complaints to PE-SIH.</w:t>
      </w:r>
      <w:r>
        <w:rPr>
          <w:noProof/>
          <w:lang w:val="en-GB"/>
        </w:rPr>
        <w:t>[4, 6, 10-13]</w:t>
      </w:r>
      <w:r w:rsidRPr="00F75DDE">
        <w:rPr>
          <w:noProof/>
          <w:lang w:val="en-GB"/>
        </w:rPr>
        <w:t xml:space="preserve"> </w:t>
      </w:r>
      <w:r w:rsidRPr="00AB37B3">
        <w:rPr>
          <w:lang w:val="en-GB"/>
        </w:rPr>
        <w:t xml:space="preserve">PE-SIH does </w:t>
      </w:r>
      <w:r w:rsidRPr="00945935">
        <w:rPr>
          <w:lang w:val="en-GB"/>
        </w:rPr>
        <w:t>not exist in the WHO International Classification of Diseases (ICD).</w:t>
      </w:r>
      <w:r>
        <w:rPr>
          <w:noProof/>
          <w:lang w:val="en-GB"/>
        </w:rPr>
        <w:t>[6, 14, 15]</w:t>
      </w:r>
      <w:r w:rsidRPr="00945935">
        <w:rPr>
          <w:lang w:val="en-GB"/>
        </w:rPr>
        <w:t xml:space="preserve"> A</w:t>
      </w:r>
      <w:r w:rsidRPr="00945935">
        <w:rPr>
          <w:noProof/>
          <w:lang w:val="en-GB"/>
        </w:rPr>
        <w:t xml:space="preserve"> novel classification</w:t>
      </w:r>
      <w:r w:rsidRPr="00AB37B3">
        <w:rPr>
          <w:noProof/>
          <w:lang w:val="en-GB"/>
        </w:rPr>
        <w:t xml:space="preserve"> system of perinatal nerv</w:t>
      </w:r>
      <w:r>
        <w:rPr>
          <w:noProof/>
          <w:lang w:val="en-GB"/>
        </w:rPr>
        <w:t xml:space="preserve">ous system injuries in infants </w:t>
      </w:r>
      <w:r w:rsidRPr="00AB37B3">
        <w:rPr>
          <w:noProof/>
          <w:lang w:val="en-GB"/>
        </w:rPr>
        <w:t>devised by Russian perinatal medicine specialists in 2005 has aimed at merging PE-SIH with ICD-10 codes but has been criti</w:t>
      </w:r>
      <w:r w:rsidRPr="0080591E">
        <w:rPr>
          <w:noProof/>
          <w:lang w:val="en-GB"/>
        </w:rPr>
        <w:t>c</w:t>
      </w:r>
      <w:r w:rsidRPr="00AB37B3">
        <w:rPr>
          <w:noProof/>
          <w:lang w:val="en-GB"/>
        </w:rPr>
        <w:t xml:space="preserve">ized for </w:t>
      </w:r>
      <w:r>
        <w:rPr>
          <w:noProof/>
          <w:lang w:val="en-GB"/>
        </w:rPr>
        <w:t xml:space="preserve">the </w:t>
      </w:r>
      <w:r w:rsidRPr="00AB37B3">
        <w:rPr>
          <w:noProof/>
          <w:lang w:val="en-GB"/>
        </w:rPr>
        <w:t>mismatch between the assigned ICD codes and the concepts which PE-SIH represent</w:t>
      </w:r>
      <w:r>
        <w:rPr>
          <w:noProof/>
          <w:lang w:val="en-GB"/>
        </w:rPr>
        <w:t>s</w:t>
      </w:r>
      <w:r w:rsidRPr="00AB37B3">
        <w:rPr>
          <w:noProof/>
          <w:lang w:val="en-GB"/>
        </w:rPr>
        <w:t>.</w:t>
      </w:r>
      <w:r>
        <w:rPr>
          <w:noProof/>
          <w:lang w:val="en-GB"/>
        </w:rPr>
        <w:t>[16]</w:t>
      </w:r>
    </w:p>
    <w:p w:rsidR="00AE7E13" w:rsidRDefault="00AE7E13" w:rsidP="00CF41DB">
      <w:pPr>
        <w:pStyle w:val="BodyText"/>
        <w:spacing w:line="480" w:lineRule="auto"/>
        <w:ind w:left="0" w:right="154"/>
        <w:rPr>
          <w:noProof/>
          <w:lang w:val="en-GB"/>
        </w:rPr>
      </w:pPr>
    </w:p>
    <w:p w:rsidR="00AE7E13" w:rsidRDefault="00AE7E13" w:rsidP="00CF41DB">
      <w:pPr>
        <w:pStyle w:val="BodyText"/>
        <w:spacing w:line="480" w:lineRule="auto"/>
        <w:ind w:left="0" w:right="154"/>
        <w:rPr>
          <w:lang w:val="en-GB"/>
        </w:rPr>
      </w:pPr>
      <w:r w:rsidRPr="00F75DDE">
        <w:rPr>
          <w:noProof/>
          <w:lang w:val="en-GB"/>
        </w:rPr>
        <w:t>T</w:t>
      </w:r>
      <w:r w:rsidRPr="00F75DDE">
        <w:rPr>
          <w:lang w:val="en-GB"/>
        </w:rPr>
        <w:t>he diagnosis of PE-SIH, as described above</w:t>
      </w:r>
      <w:r w:rsidRPr="000D4FB6">
        <w:rPr>
          <w:lang w:val="en-GB"/>
        </w:rPr>
        <w:t xml:space="preserve">, </w:t>
      </w:r>
      <w:r>
        <w:rPr>
          <w:lang w:val="en-GB"/>
        </w:rPr>
        <w:t>does</w:t>
      </w:r>
      <w:r w:rsidRPr="000D4FB6">
        <w:rPr>
          <w:lang w:val="en-GB"/>
        </w:rPr>
        <w:t xml:space="preserve"> not require direct assessment</w:t>
      </w:r>
      <w:r w:rsidRPr="00F75DDE">
        <w:rPr>
          <w:lang w:val="en-GB"/>
        </w:rPr>
        <w:t xml:space="preserve"> of intracranial or lumbar cerebrospinal fluid pressure</w:t>
      </w:r>
      <w:r>
        <w:rPr>
          <w:lang w:val="en-GB"/>
        </w:rPr>
        <w:t xml:space="preserve"> and is unrelated to </w:t>
      </w:r>
      <w:r w:rsidRPr="00DA3DD5">
        <w:rPr>
          <w:i/>
          <w:lang w:val="en-GB"/>
        </w:rPr>
        <w:t>pseudotumor cerebri</w:t>
      </w:r>
      <w:r>
        <w:rPr>
          <w:i/>
          <w:lang w:val="en-GB"/>
        </w:rPr>
        <w:t xml:space="preserve"> </w:t>
      </w:r>
      <w:r>
        <w:rPr>
          <w:lang w:val="en-GB"/>
        </w:rPr>
        <w:t>syndrome</w:t>
      </w:r>
      <w:r>
        <w:rPr>
          <w:i/>
          <w:lang w:val="en-GB"/>
        </w:rPr>
        <w:t xml:space="preserve"> </w:t>
      </w:r>
      <w:r w:rsidRPr="00945935">
        <w:rPr>
          <w:lang w:val="en-GB"/>
        </w:rPr>
        <w:t>(PTC</w:t>
      </w:r>
      <w:r>
        <w:rPr>
          <w:lang w:val="en-GB"/>
        </w:rPr>
        <w:t>S</w:t>
      </w:r>
      <w:r w:rsidRPr="00945935">
        <w:rPr>
          <w:lang w:val="en-GB"/>
        </w:rPr>
        <w:t>)</w:t>
      </w:r>
      <w:r w:rsidRPr="004C003E">
        <w:rPr>
          <w:lang w:val="en-GB"/>
        </w:rPr>
        <w:t>,</w:t>
      </w:r>
      <w:r>
        <w:rPr>
          <w:lang w:val="en-GB"/>
        </w:rPr>
        <w:t xml:space="preserve"> </w:t>
      </w:r>
      <w:r w:rsidRPr="00F75DDE">
        <w:rPr>
          <w:lang w:val="en-GB"/>
        </w:rPr>
        <w:t xml:space="preserve">also known as idiopathic intracranial hypertension, </w:t>
      </w:r>
      <w:r>
        <w:rPr>
          <w:lang w:val="en-GB"/>
        </w:rPr>
        <w:t xml:space="preserve">which exists </w:t>
      </w:r>
      <w:r w:rsidRPr="00F75DDE">
        <w:rPr>
          <w:lang w:val="en-GB"/>
        </w:rPr>
        <w:t xml:space="preserve">in </w:t>
      </w:r>
      <w:r>
        <w:rPr>
          <w:lang w:val="en-GB"/>
        </w:rPr>
        <w:t xml:space="preserve">the </w:t>
      </w:r>
      <w:r w:rsidRPr="00F75DDE">
        <w:rPr>
          <w:lang w:val="en-GB"/>
        </w:rPr>
        <w:t>ICD</w:t>
      </w:r>
      <w:r>
        <w:rPr>
          <w:lang w:val="en-GB"/>
        </w:rPr>
        <w:t>. The diagnosis of PTCS</w:t>
      </w:r>
      <w:r w:rsidRPr="00F75DDE">
        <w:rPr>
          <w:lang w:val="en-GB"/>
        </w:rPr>
        <w:t xml:space="preserve"> requires assessment of cerebrospinal fluid pressure</w:t>
      </w:r>
      <w:r>
        <w:rPr>
          <w:lang w:val="en-GB"/>
        </w:rPr>
        <w:t>,</w:t>
      </w:r>
      <w:r w:rsidRPr="00F75DDE">
        <w:rPr>
          <w:lang w:val="en-GB"/>
        </w:rPr>
        <w:t xml:space="preserve"> has precise diagnostic criteria, </w:t>
      </w:r>
      <w:r>
        <w:rPr>
          <w:lang w:val="en-GB"/>
        </w:rPr>
        <w:t xml:space="preserve">and </w:t>
      </w:r>
      <w:r w:rsidRPr="00F75DDE">
        <w:rPr>
          <w:lang w:val="en-GB"/>
        </w:rPr>
        <w:t>is not a diagnosis of infancy.</w:t>
      </w:r>
      <w:r>
        <w:rPr>
          <w:noProof/>
          <w:lang w:val="en-GB"/>
        </w:rPr>
        <w:t>[17]</w:t>
      </w:r>
      <w:r>
        <w:rPr>
          <w:lang w:val="en-GB"/>
        </w:rPr>
        <w:t xml:space="preserve"> </w:t>
      </w:r>
    </w:p>
    <w:p w:rsidR="00AE7E13" w:rsidRDefault="00AE7E13" w:rsidP="00982B10">
      <w:pPr>
        <w:pStyle w:val="BodyText"/>
        <w:spacing w:line="480" w:lineRule="auto"/>
        <w:ind w:left="0"/>
        <w:rPr>
          <w:lang w:val="en-GB"/>
        </w:rPr>
      </w:pPr>
    </w:p>
    <w:p w:rsidR="00AE7E13" w:rsidRPr="00F75DDE" w:rsidRDefault="00AE7E13" w:rsidP="00982B10">
      <w:pPr>
        <w:pStyle w:val="BodyText"/>
        <w:spacing w:line="480" w:lineRule="auto"/>
        <w:ind w:left="0"/>
        <w:rPr>
          <w:lang w:val="en-GB"/>
        </w:rPr>
      </w:pPr>
      <w:r w:rsidRPr="000F0BEE">
        <w:rPr>
          <w:lang w:val="en-GB"/>
        </w:rPr>
        <w:t xml:space="preserve">The present review was undertaken to fill the existing vacuum in the published literature in English regarding the clinical context in which diagnostic labels </w:t>
      </w:r>
      <w:r>
        <w:rPr>
          <w:lang w:val="en-GB"/>
        </w:rPr>
        <w:t xml:space="preserve">related to PE-SIH </w:t>
      </w:r>
      <w:r w:rsidRPr="000F0BEE">
        <w:rPr>
          <w:lang w:val="en-GB"/>
        </w:rPr>
        <w:t>have been employed, numbers</w:t>
      </w:r>
      <w:r>
        <w:rPr>
          <w:lang w:val="en-GB"/>
        </w:rPr>
        <w:t xml:space="preserve"> of </w:t>
      </w:r>
      <w:r w:rsidRPr="000F0BEE">
        <w:rPr>
          <w:lang w:val="en-GB"/>
        </w:rPr>
        <w:t>children diagnosed</w:t>
      </w:r>
      <w:r>
        <w:rPr>
          <w:lang w:val="en-GB"/>
        </w:rPr>
        <w:t xml:space="preserve"> in studies</w:t>
      </w:r>
      <w:r w:rsidRPr="000F0BEE">
        <w:rPr>
          <w:lang w:val="en-GB"/>
        </w:rPr>
        <w:t xml:space="preserve">, and the treatments to which they have been exposed. </w:t>
      </w:r>
    </w:p>
    <w:p w:rsidR="00AE7E13" w:rsidRDefault="00AE7E13" w:rsidP="00CA777E">
      <w:pPr>
        <w:pStyle w:val="BodyText"/>
        <w:spacing w:line="480" w:lineRule="auto"/>
        <w:ind w:left="0" w:right="105"/>
        <w:rPr>
          <w:b/>
          <w:lang w:val="en-GB"/>
        </w:rPr>
      </w:pPr>
    </w:p>
    <w:p w:rsidR="00AE7E13" w:rsidRDefault="00AE7E13" w:rsidP="00AD4C12">
      <w:pPr>
        <w:pStyle w:val="BodyText"/>
        <w:spacing w:line="480" w:lineRule="auto"/>
        <w:ind w:left="0" w:right="105"/>
        <w:rPr>
          <w:b/>
          <w:lang w:val="en-GB"/>
        </w:rPr>
      </w:pPr>
      <w:r w:rsidRPr="00F75DDE">
        <w:rPr>
          <w:b/>
          <w:lang w:val="en-GB"/>
        </w:rPr>
        <w:t>METHODS</w:t>
      </w:r>
    </w:p>
    <w:p w:rsidR="00AE7E13" w:rsidRDefault="00AE7E13" w:rsidP="00AD4C12">
      <w:pPr>
        <w:pStyle w:val="BodyText"/>
        <w:spacing w:line="480" w:lineRule="auto"/>
        <w:ind w:left="0" w:right="105"/>
        <w:rPr>
          <w:b/>
          <w:lang w:val="en-GB"/>
        </w:rPr>
      </w:pPr>
    </w:p>
    <w:p w:rsidR="00AE7E13" w:rsidRDefault="00AE7E13" w:rsidP="00AD4C12">
      <w:pPr>
        <w:pStyle w:val="BodyText"/>
        <w:spacing w:line="480" w:lineRule="auto"/>
        <w:ind w:left="0" w:right="105"/>
        <w:rPr>
          <w:b/>
          <w:lang w:val="en-GB"/>
        </w:rPr>
      </w:pPr>
      <w:r w:rsidRPr="00F75DDE">
        <w:rPr>
          <w:b/>
          <w:lang w:val="en-GB"/>
        </w:rPr>
        <w:t xml:space="preserve">Search </w:t>
      </w:r>
      <w:r>
        <w:rPr>
          <w:b/>
          <w:lang w:val="en-GB"/>
        </w:rPr>
        <w:t>s</w:t>
      </w:r>
      <w:r w:rsidRPr="00F75DDE">
        <w:rPr>
          <w:b/>
          <w:lang w:val="en-GB"/>
        </w:rPr>
        <w:t>trategy</w:t>
      </w:r>
    </w:p>
    <w:p w:rsidR="00AE7E13" w:rsidRDefault="00AE7E13" w:rsidP="002D6976">
      <w:pPr>
        <w:pStyle w:val="BodyText"/>
        <w:spacing w:line="480" w:lineRule="auto"/>
        <w:ind w:left="0" w:right="105"/>
        <w:rPr>
          <w:lang w:val="en-GB"/>
        </w:rPr>
      </w:pPr>
      <w:r w:rsidRPr="00CB3D4E">
        <w:rPr>
          <w:lang w:val="en-GB"/>
        </w:rPr>
        <w:t>We conducted a</w:t>
      </w:r>
      <w:r>
        <w:rPr>
          <w:lang w:val="en-GB"/>
        </w:rPr>
        <w:t xml:space="preserve"> systematic review based on the </w:t>
      </w:r>
      <w:r>
        <w:t xml:space="preserve">Preferred Reporting Items for Systematic Reviews and Meta-Analyses (PRISMA) </w:t>
      </w:r>
      <w:r w:rsidRPr="00C21C5F">
        <w:t>Statement</w:t>
      </w:r>
      <w:r w:rsidRPr="00B13C48">
        <w:t xml:space="preserve"> and</w:t>
      </w:r>
      <w:r>
        <w:t xml:space="preserve"> included an </w:t>
      </w:r>
      <w:r w:rsidRPr="00CB3D4E">
        <w:rPr>
          <w:lang w:val="en-GB"/>
        </w:rPr>
        <w:t xml:space="preserve">online search of dissertations, textbooks, original articles and reviews </w:t>
      </w:r>
      <w:r>
        <w:rPr>
          <w:lang w:val="en-GB"/>
        </w:rPr>
        <w:t xml:space="preserve">written between </w:t>
      </w:r>
      <w:r w:rsidRPr="00C21C5F">
        <w:rPr>
          <w:lang w:val="en-GB"/>
        </w:rPr>
        <w:t>January 1970 and January 2020</w:t>
      </w:r>
      <w:r w:rsidRPr="00B13C48">
        <w:rPr>
          <w:lang w:val="en-GB"/>
        </w:rPr>
        <w:t xml:space="preserve"> </w:t>
      </w:r>
      <w:r w:rsidRPr="00C21C5F">
        <w:rPr>
          <w:lang w:val="en-GB"/>
        </w:rPr>
        <w:t>in</w:t>
      </w:r>
      <w:r w:rsidRPr="00CB3D4E">
        <w:rPr>
          <w:lang w:val="en-GB"/>
        </w:rPr>
        <w:t xml:space="preserve"> Google Scholar, Pubmed, the Russian bibliographic database eLIBRARY (elibrary.ru) and an open-access full text resource CyberLeninka (cyberleninka.ru).</w:t>
      </w:r>
      <w:r>
        <w:rPr>
          <w:noProof/>
          <w:lang w:val="en-GB"/>
        </w:rPr>
        <w:t>[18]</w:t>
      </w:r>
      <w:r w:rsidRPr="00CB3D4E">
        <w:rPr>
          <w:lang w:val="en-GB"/>
        </w:rPr>
        <w:t xml:space="preserve"> The following search terms in English and Russian [shown as English translations within square brackets] were used: perinatal encephalopathy, syndrome of intracranial</w:t>
      </w:r>
      <w:r w:rsidRPr="00CB3D4E">
        <w:rPr>
          <w:spacing w:val="-7"/>
          <w:lang w:val="en-GB"/>
        </w:rPr>
        <w:t xml:space="preserve"> </w:t>
      </w:r>
      <w:r w:rsidRPr="00CB3D4E">
        <w:rPr>
          <w:lang w:val="en-GB"/>
        </w:rPr>
        <w:t>hypertension, hypertensive syndrome, hydrocephalic syndrome, hypertensive-hydrocephalic</w:t>
      </w:r>
      <w:r w:rsidRPr="00CB3D4E">
        <w:rPr>
          <w:spacing w:val="-6"/>
          <w:lang w:val="en-GB"/>
        </w:rPr>
        <w:t xml:space="preserve"> </w:t>
      </w:r>
      <w:r w:rsidRPr="00CB3D4E">
        <w:rPr>
          <w:lang w:val="en-GB"/>
        </w:rPr>
        <w:t>syndrome, [</w:t>
      </w:r>
      <w:r>
        <w:rPr>
          <w:lang w:val="en-GB"/>
        </w:rPr>
        <w:t>perinatal encephalopathy</w:t>
      </w:r>
      <w:r w:rsidRPr="00CB3D4E">
        <w:rPr>
          <w:lang w:val="en-GB"/>
        </w:rPr>
        <w:t>], [</w:t>
      </w:r>
      <w:r>
        <w:rPr>
          <w:lang w:val="en-GB"/>
        </w:rPr>
        <w:t>syndrome of intracranial hypertension</w:t>
      </w:r>
      <w:r w:rsidRPr="00CB3D4E">
        <w:rPr>
          <w:lang w:val="en-GB"/>
        </w:rPr>
        <w:t>], [</w:t>
      </w:r>
      <w:r>
        <w:rPr>
          <w:lang w:val="en-GB"/>
        </w:rPr>
        <w:t>hypertensive syndrome</w:t>
      </w:r>
      <w:r w:rsidRPr="00CB3D4E">
        <w:rPr>
          <w:lang w:val="en-GB"/>
        </w:rPr>
        <w:t>], [</w:t>
      </w:r>
      <w:r>
        <w:rPr>
          <w:lang w:val="en-GB"/>
        </w:rPr>
        <w:t>hydrocephalic syndrome</w:t>
      </w:r>
      <w:r w:rsidRPr="00CB3D4E">
        <w:rPr>
          <w:lang w:val="en-GB"/>
        </w:rPr>
        <w:t>], [</w:t>
      </w:r>
      <w:r>
        <w:rPr>
          <w:lang w:val="en-GB"/>
        </w:rPr>
        <w:t>hydrocephalic-hypertensive syndrome</w:t>
      </w:r>
      <w:r w:rsidRPr="00CB3D4E">
        <w:rPr>
          <w:lang w:val="en-GB"/>
        </w:rPr>
        <w:t xml:space="preserve">]. The titles and abstracts of the retrieved entries in Azerbaijani, English, Russian </w:t>
      </w:r>
      <w:r w:rsidRPr="00E80DA1">
        <w:rPr>
          <w:lang w:val="en-GB"/>
        </w:rPr>
        <w:t xml:space="preserve">and Ukrainian languages were reviewed by </w:t>
      </w:r>
      <w:r>
        <w:rPr>
          <w:lang w:val="en-GB"/>
        </w:rPr>
        <w:t xml:space="preserve">first and second authors, </w:t>
      </w:r>
      <w:r w:rsidRPr="00E80DA1">
        <w:rPr>
          <w:lang w:val="en-GB"/>
        </w:rPr>
        <w:t xml:space="preserve">RM and TSM. </w:t>
      </w:r>
      <w:r>
        <w:rPr>
          <w:lang w:val="en-GB"/>
        </w:rPr>
        <w:t xml:space="preserve">This review included reports </w:t>
      </w:r>
      <w:r w:rsidRPr="00E80DA1">
        <w:rPr>
          <w:lang w:val="en-GB"/>
        </w:rPr>
        <w:t xml:space="preserve">if </w:t>
      </w:r>
      <w:r>
        <w:rPr>
          <w:lang w:val="en-GB"/>
        </w:rPr>
        <w:t xml:space="preserve">they involved </w:t>
      </w:r>
      <w:r w:rsidRPr="00E80DA1">
        <w:rPr>
          <w:lang w:val="en-GB"/>
        </w:rPr>
        <w:t xml:space="preserve">children </w:t>
      </w:r>
      <w:r>
        <w:rPr>
          <w:lang w:val="en-GB"/>
        </w:rPr>
        <w:t xml:space="preserve">(aged 0-18 years) </w:t>
      </w:r>
      <w:r w:rsidRPr="00E80DA1">
        <w:rPr>
          <w:lang w:val="en-GB"/>
        </w:rPr>
        <w:t>diagnosed with the search terms and any of the following: a) numbers of children; b) clinical features of the diagnoses; c) assessments of diagnosed children</w:t>
      </w:r>
      <w:r w:rsidRPr="00C21C5F">
        <w:rPr>
          <w:lang w:val="en-GB"/>
        </w:rPr>
        <w:t xml:space="preserve">; d) treatment. </w:t>
      </w:r>
      <w:r>
        <w:rPr>
          <w:lang w:val="en-GB"/>
        </w:rPr>
        <w:t xml:space="preserve">Reports involving only </w:t>
      </w:r>
      <w:r w:rsidRPr="00C21C5F">
        <w:rPr>
          <w:lang w:val="en-GB"/>
        </w:rPr>
        <w:t>preterm or high-risk infants</w:t>
      </w:r>
      <w:r>
        <w:rPr>
          <w:lang w:val="en-GB"/>
        </w:rPr>
        <w:t xml:space="preserve"> or</w:t>
      </w:r>
      <w:r w:rsidRPr="00C21C5F">
        <w:rPr>
          <w:lang w:val="en-GB"/>
        </w:rPr>
        <w:t xml:space="preserve"> children </w:t>
      </w:r>
      <w:r w:rsidRPr="00A91521">
        <w:rPr>
          <w:lang w:val="en-GB"/>
        </w:rPr>
        <w:t>with PTCS</w:t>
      </w:r>
      <w:r>
        <w:rPr>
          <w:lang w:val="en-GB"/>
        </w:rPr>
        <w:t xml:space="preserve"> were excluded</w:t>
      </w:r>
      <w:r w:rsidRPr="00A91521">
        <w:rPr>
          <w:lang w:val="en-GB"/>
        </w:rPr>
        <w:t>.</w:t>
      </w:r>
      <w:r w:rsidRPr="00A91521" w:rsidDel="00D34ED6">
        <w:rPr>
          <w:lang w:val="en-GB"/>
        </w:rPr>
        <w:t xml:space="preserve"> </w:t>
      </w:r>
      <w:r>
        <w:rPr>
          <w:lang w:val="en-GB"/>
        </w:rPr>
        <w:t xml:space="preserve">We </w:t>
      </w:r>
      <w:r w:rsidRPr="00F75DDE">
        <w:rPr>
          <w:lang w:val="en-GB"/>
        </w:rPr>
        <w:t xml:space="preserve">supplemented </w:t>
      </w:r>
      <w:r>
        <w:rPr>
          <w:lang w:val="en-GB"/>
        </w:rPr>
        <w:t xml:space="preserve">the search by reviewing </w:t>
      </w:r>
      <w:r w:rsidRPr="00F75DDE">
        <w:rPr>
          <w:lang w:val="en-GB"/>
        </w:rPr>
        <w:t xml:space="preserve">relevant references </w:t>
      </w:r>
      <w:r>
        <w:rPr>
          <w:lang w:val="en-GB"/>
        </w:rPr>
        <w:t>of the identified manuscripts</w:t>
      </w:r>
      <w:r w:rsidRPr="00F75DDE">
        <w:rPr>
          <w:lang w:val="en-GB"/>
        </w:rPr>
        <w:t xml:space="preserve">. </w:t>
      </w:r>
      <w:r w:rsidRPr="00F140B9">
        <w:rPr>
          <w:lang w:val="en-GB"/>
        </w:rPr>
        <w:t xml:space="preserve">A systematic </w:t>
      </w:r>
      <w:r>
        <w:rPr>
          <w:lang w:val="en-GB"/>
        </w:rPr>
        <w:t xml:space="preserve">PubMed and </w:t>
      </w:r>
      <w:r w:rsidRPr="00F140B9">
        <w:rPr>
          <w:lang w:val="en-GB"/>
        </w:rPr>
        <w:t>Cochrane database</w:t>
      </w:r>
      <w:r>
        <w:rPr>
          <w:lang w:val="en-GB"/>
        </w:rPr>
        <w:t xml:space="preserve"> </w:t>
      </w:r>
      <w:r w:rsidRPr="00F140B9">
        <w:rPr>
          <w:lang w:val="en-GB"/>
        </w:rPr>
        <w:t>search of published clinical trials involving drugs used in</w:t>
      </w:r>
      <w:r w:rsidRPr="00F140B9">
        <w:rPr>
          <w:spacing w:val="-14"/>
          <w:lang w:val="en-GB"/>
        </w:rPr>
        <w:t xml:space="preserve"> children with these diagnoses </w:t>
      </w:r>
      <w:r w:rsidRPr="00F140B9">
        <w:rPr>
          <w:lang w:val="en-GB"/>
        </w:rPr>
        <w:t>was performed using the following terms (medical subject heading</w:t>
      </w:r>
      <w:r w:rsidRPr="00F140B9">
        <w:rPr>
          <w:spacing w:val="-15"/>
          <w:lang w:val="en-GB"/>
        </w:rPr>
        <w:t xml:space="preserve"> </w:t>
      </w:r>
      <w:r w:rsidRPr="00F140B9">
        <w:rPr>
          <w:lang w:val="en-GB"/>
        </w:rPr>
        <w:t>or supplementary concept): 4-amino-3-phenylbutyric acid (phenibut),</w:t>
      </w:r>
      <w:r w:rsidRPr="00F140B9">
        <w:rPr>
          <w:spacing w:val="-7"/>
          <w:lang w:val="en-GB"/>
        </w:rPr>
        <w:t xml:space="preserve"> </w:t>
      </w:r>
      <w:r w:rsidRPr="00F140B9">
        <w:rPr>
          <w:lang w:val="en-GB"/>
        </w:rPr>
        <w:t>acetazolamide, Actovegin, bendazole, Cerebrolysin, choline alfoscerate, cytidine diphosphate choline (citicoline), cinnarizine, Cortexin, ethylmethylhydroxypyridine</w:t>
      </w:r>
      <w:r w:rsidRPr="00F140B9">
        <w:rPr>
          <w:spacing w:val="-6"/>
          <w:lang w:val="en-GB"/>
        </w:rPr>
        <w:t xml:space="preserve"> </w:t>
      </w:r>
      <w:r w:rsidRPr="00F140B9">
        <w:rPr>
          <w:lang w:val="en-GB"/>
        </w:rPr>
        <w:t>succinate, furosemide, gingko biloba, glycerylphosphorylcholine (choline alphoscerate), glycine, nicergoline, pantoga</w:t>
      </w:r>
      <w:r w:rsidRPr="00F140B9">
        <w:rPr>
          <w:rFonts w:eastAsiaTheme="minorHAnsi"/>
          <w:lang w:val="en-GB"/>
        </w:rPr>
        <w:t>b</w:t>
      </w:r>
      <w:r w:rsidRPr="00F140B9">
        <w:rPr>
          <w:lang w:val="en-GB"/>
        </w:rPr>
        <w:t xml:space="preserve"> (calcium hopantenate), phenobarbital, piracetam, pyrithioxine,</w:t>
      </w:r>
      <w:r w:rsidRPr="00F140B9">
        <w:rPr>
          <w:spacing w:val="-16"/>
          <w:lang w:val="en-GB"/>
        </w:rPr>
        <w:t xml:space="preserve"> </w:t>
      </w:r>
      <w:r w:rsidRPr="00F140B9">
        <w:rPr>
          <w:lang w:val="en-GB"/>
        </w:rPr>
        <w:t>N- acetylaspartate, nicotinoyl-GABA, thiazides (hydrochlorthiazide/triamterene),</w:t>
      </w:r>
      <w:r w:rsidRPr="00F140B9">
        <w:rPr>
          <w:spacing w:val="-3"/>
          <w:lang w:val="en-GB"/>
        </w:rPr>
        <w:t xml:space="preserve"> </w:t>
      </w:r>
      <w:r w:rsidRPr="00F140B9">
        <w:rPr>
          <w:lang w:val="en-GB"/>
        </w:rPr>
        <w:t xml:space="preserve">and vinpocetine. </w:t>
      </w:r>
      <w:r>
        <w:rPr>
          <w:lang w:val="en-GB"/>
        </w:rPr>
        <w:t>For publications reporting proportions of children with PE-SIH, we calculated 95% confidence intervals for a population proportion using the Clopper-Pearson method. We were not able to undertake an assessment of potential publication bias.</w:t>
      </w:r>
    </w:p>
    <w:p w:rsidR="00AE7E13" w:rsidRDefault="00AE7E13" w:rsidP="002D6976">
      <w:pPr>
        <w:pStyle w:val="BodyText"/>
        <w:spacing w:line="480" w:lineRule="auto"/>
        <w:ind w:left="0" w:right="105"/>
        <w:rPr>
          <w:lang w:val="en-GB"/>
        </w:rPr>
      </w:pPr>
    </w:p>
    <w:p w:rsidR="00AE7E13" w:rsidRPr="002D6976" w:rsidRDefault="00AE7E13" w:rsidP="002D6976">
      <w:pPr>
        <w:pStyle w:val="BodyText"/>
        <w:spacing w:line="480" w:lineRule="auto"/>
        <w:ind w:left="0" w:right="105"/>
        <w:rPr>
          <w:b/>
          <w:lang w:val="en-GB"/>
        </w:rPr>
      </w:pPr>
      <w:r w:rsidRPr="002D6976">
        <w:rPr>
          <w:b/>
          <w:lang w:val="en-GB"/>
        </w:rPr>
        <w:t>RESULTS</w:t>
      </w:r>
    </w:p>
    <w:p w:rsidR="00AE7E13" w:rsidRPr="00F75DDE" w:rsidRDefault="00AE7E13" w:rsidP="002D6976">
      <w:pPr>
        <w:pStyle w:val="BodyText"/>
        <w:spacing w:line="480" w:lineRule="auto"/>
        <w:ind w:left="0" w:right="105"/>
        <w:rPr>
          <w:lang w:val="en-GB"/>
        </w:rPr>
      </w:pPr>
    </w:p>
    <w:p w:rsidR="00AE7E13" w:rsidRDefault="00AE7E13" w:rsidP="009D6F7B">
      <w:pPr>
        <w:pStyle w:val="Heading1"/>
        <w:spacing w:line="480" w:lineRule="auto"/>
        <w:ind w:left="0" w:right="154"/>
        <w:rPr>
          <w:b w:val="0"/>
          <w:bCs w:val="0"/>
          <w:lang w:val="en-GB"/>
        </w:rPr>
      </w:pPr>
      <w:r w:rsidRPr="00827D9A">
        <w:rPr>
          <w:b w:val="0"/>
          <w:bCs w:val="0"/>
          <w:lang w:val="en-GB"/>
        </w:rPr>
        <w:t xml:space="preserve">An initial search identified 499 entries in Pubmed, 136 in </w:t>
      </w:r>
      <w:r>
        <w:rPr>
          <w:b w:val="0"/>
          <w:bCs w:val="0"/>
          <w:lang w:val="en-GB"/>
        </w:rPr>
        <w:t>eLIBRARY</w:t>
      </w:r>
      <w:r w:rsidRPr="00827D9A">
        <w:rPr>
          <w:b w:val="0"/>
          <w:bCs w:val="0"/>
          <w:lang w:val="en-GB"/>
        </w:rPr>
        <w:t>, 1832 in Cyberleninka and 2540 in Google Scholar</w:t>
      </w:r>
      <w:r w:rsidRPr="006C76B2">
        <w:rPr>
          <w:b w:val="0"/>
          <w:bCs w:val="0"/>
          <w:lang w:val="en-GB"/>
        </w:rPr>
        <w:t>. After screening, 62 full text publications were reviewed</w:t>
      </w:r>
      <w:r>
        <w:rPr>
          <w:b w:val="0"/>
          <w:bCs w:val="0"/>
          <w:lang w:val="en-GB"/>
        </w:rPr>
        <w:t xml:space="preserve">; </w:t>
      </w:r>
      <w:r w:rsidRPr="006C76B2">
        <w:rPr>
          <w:b w:val="0"/>
          <w:bCs w:val="0"/>
          <w:lang w:val="en-GB"/>
        </w:rPr>
        <w:t>2</w:t>
      </w:r>
      <w:r w:rsidRPr="00C2494E">
        <w:rPr>
          <w:b w:val="0"/>
          <w:bCs w:val="0"/>
          <w:lang w:val="en-GB"/>
        </w:rPr>
        <w:t>0</w:t>
      </w:r>
      <w:r w:rsidRPr="006C76B2">
        <w:rPr>
          <w:b w:val="0"/>
          <w:bCs w:val="0"/>
          <w:lang w:val="en-GB"/>
        </w:rPr>
        <w:t xml:space="preserve"> were </w:t>
      </w:r>
      <w:r>
        <w:rPr>
          <w:b w:val="0"/>
          <w:bCs w:val="0"/>
          <w:lang w:val="en-GB"/>
        </w:rPr>
        <w:t xml:space="preserve">found </w:t>
      </w:r>
      <w:r w:rsidRPr="006C76B2">
        <w:rPr>
          <w:b w:val="0"/>
          <w:bCs w:val="0"/>
          <w:lang w:val="en-GB"/>
        </w:rPr>
        <w:t xml:space="preserve">eligible. </w:t>
      </w:r>
      <w:r>
        <w:rPr>
          <w:b w:val="0"/>
          <w:bCs w:val="0"/>
          <w:lang w:val="en-GB"/>
        </w:rPr>
        <w:t xml:space="preserve">Ten other </w:t>
      </w:r>
      <w:r w:rsidRPr="006C76B2">
        <w:rPr>
          <w:b w:val="0"/>
          <w:bCs w:val="0"/>
          <w:lang w:val="en-GB"/>
        </w:rPr>
        <w:t>publications were identified through cited references making a total of 3</w:t>
      </w:r>
      <w:r w:rsidRPr="00C2494E">
        <w:rPr>
          <w:b w:val="0"/>
          <w:bCs w:val="0"/>
          <w:lang w:val="en-GB"/>
        </w:rPr>
        <w:t>0</w:t>
      </w:r>
      <w:r w:rsidRPr="006C76B2">
        <w:rPr>
          <w:b w:val="0"/>
          <w:bCs w:val="0"/>
          <w:lang w:val="en-GB"/>
        </w:rPr>
        <w:t xml:space="preserve"> publications.</w:t>
      </w:r>
      <w:r>
        <w:rPr>
          <w:b w:val="0"/>
          <w:bCs w:val="0"/>
          <w:lang w:val="en-GB"/>
        </w:rPr>
        <w:t xml:space="preserve"> </w:t>
      </w:r>
      <w:r w:rsidRPr="00E21F5E">
        <w:rPr>
          <w:b w:val="0"/>
          <w:bCs w:val="0"/>
          <w:lang w:val="en-GB"/>
        </w:rPr>
        <w:t xml:space="preserve"> </w:t>
      </w:r>
    </w:p>
    <w:p w:rsidR="00AE7E13" w:rsidRDefault="00AE7E13" w:rsidP="006558BB">
      <w:pPr>
        <w:pStyle w:val="BodyText"/>
        <w:spacing w:line="480" w:lineRule="auto"/>
        <w:ind w:left="0" w:right="154"/>
        <w:rPr>
          <w:b/>
          <w:lang w:val="en-GB"/>
        </w:rPr>
      </w:pPr>
    </w:p>
    <w:p w:rsidR="00AE7E13" w:rsidRDefault="00AE7E13" w:rsidP="006558BB">
      <w:pPr>
        <w:pStyle w:val="BodyText"/>
        <w:spacing w:line="480" w:lineRule="auto"/>
        <w:ind w:left="0" w:right="154"/>
        <w:rPr>
          <w:b/>
          <w:lang w:val="en-GB"/>
        </w:rPr>
      </w:pPr>
      <w:r w:rsidRPr="00F75DDE">
        <w:rPr>
          <w:b/>
          <w:lang w:val="en-GB"/>
        </w:rPr>
        <w:t xml:space="preserve">Clinical </w:t>
      </w:r>
      <w:r>
        <w:rPr>
          <w:b/>
          <w:lang w:val="en-GB"/>
        </w:rPr>
        <w:t>f</w:t>
      </w:r>
      <w:r w:rsidRPr="00F75DDE">
        <w:rPr>
          <w:b/>
          <w:lang w:val="en-GB"/>
        </w:rPr>
        <w:t xml:space="preserve">eatures and </w:t>
      </w:r>
      <w:r>
        <w:rPr>
          <w:b/>
          <w:lang w:val="en-GB"/>
        </w:rPr>
        <w:t>s</w:t>
      </w:r>
      <w:r w:rsidRPr="00F75DDE">
        <w:rPr>
          <w:b/>
          <w:lang w:val="en-GB"/>
        </w:rPr>
        <w:t xml:space="preserve">pecial </w:t>
      </w:r>
      <w:r>
        <w:rPr>
          <w:b/>
          <w:lang w:val="en-GB"/>
        </w:rPr>
        <w:t>i</w:t>
      </w:r>
      <w:r w:rsidRPr="00F75DDE">
        <w:rPr>
          <w:b/>
          <w:lang w:val="en-GB"/>
        </w:rPr>
        <w:t xml:space="preserve">nvestigations </w:t>
      </w:r>
    </w:p>
    <w:p w:rsidR="00AE7E13" w:rsidRPr="002D6976" w:rsidRDefault="00AE7E13" w:rsidP="006558BB">
      <w:pPr>
        <w:pStyle w:val="BodyText"/>
        <w:spacing w:line="480" w:lineRule="auto"/>
        <w:ind w:left="0" w:right="154"/>
        <w:rPr>
          <w:b/>
          <w:lang w:val="en-GB"/>
        </w:rPr>
      </w:pPr>
      <w:r>
        <w:rPr>
          <w:lang w:val="en-GB"/>
        </w:rPr>
        <w:t>T</w:t>
      </w:r>
      <w:r w:rsidRPr="00C2494E">
        <w:t xml:space="preserve">he diagnosis of PE-SIH was reported to be based solely on clinical features in </w:t>
      </w:r>
      <w:r>
        <w:t>6</w:t>
      </w:r>
      <w:r w:rsidRPr="00C2494E">
        <w:t>/3</w:t>
      </w:r>
      <w:r>
        <w:t>0</w:t>
      </w:r>
      <w:r w:rsidRPr="00C2494E">
        <w:t xml:space="preserve"> (</w:t>
      </w:r>
      <w:r>
        <w:t>20</w:t>
      </w:r>
      <w:r w:rsidRPr="00C2494E">
        <w:t>%) of the publications</w:t>
      </w:r>
      <w:r>
        <w:t>, two of which were published in the last decade</w:t>
      </w:r>
      <w:r w:rsidRPr="00C2494E">
        <w:rPr>
          <w:lang w:val="en-GB"/>
        </w:rPr>
        <w:t>.</w:t>
      </w:r>
      <w:r>
        <w:rPr>
          <w:noProof/>
          <w:lang w:val="en-GB"/>
        </w:rPr>
        <w:t>[4, 6, 10, 12, 19, 20]</w:t>
      </w:r>
      <w:r>
        <w:rPr>
          <w:lang w:val="en-GB"/>
        </w:rPr>
        <w:t xml:space="preserve"> The reported </w:t>
      </w:r>
      <w:r w:rsidRPr="00F75DDE">
        <w:rPr>
          <w:lang w:val="en-GB"/>
        </w:rPr>
        <w:t xml:space="preserve">clinical features were predominantly non-specific symptoms </w:t>
      </w:r>
      <w:r>
        <w:rPr>
          <w:lang w:val="en-GB"/>
        </w:rPr>
        <w:t>(</w:t>
      </w:r>
      <w:r w:rsidRPr="00F75DDE">
        <w:rPr>
          <w:lang w:val="en-GB"/>
        </w:rPr>
        <w:t>frequent crying, irritability, posseting,</w:t>
      </w:r>
      <w:r w:rsidRPr="00F75DDE">
        <w:rPr>
          <w:spacing w:val="-11"/>
          <w:lang w:val="en-GB"/>
        </w:rPr>
        <w:t xml:space="preserve"> </w:t>
      </w:r>
      <w:r w:rsidRPr="00F75DDE">
        <w:rPr>
          <w:lang w:val="en-GB"/>
        </w:rPr>
        <w:t>sleep disturbance, emotional lability, irritability, cutis marmorata, faltering growth,</w:t>
      </w:r>
      <w:r w:rsidRPr="00F75DDE">
        <w:rPr>
          <w:spacing w:val="-9"/>
          <w:lang w:val="en-GB"/>
        </w:rPr>
        <w:t xml:space="preserve"> </w:t>
      </w:r>
      <w:r w:rsidRPr="00F75DDE">
        <w:rPr>
          <w:lang w:val="en-GB"/>
        </w:rPr>
        <w:t>chin tremor, strabismus, motor or language delay, and tip toe walking</w:t>
      </w:r>
      <w:r>
        <w:rPr>
          <w:lang w:val="en-GB"/>
        </w:rPr>
        <w:t>)</w:t>
      </w:r>
      <w:r w:rsidRPr="00F75DDE">
        <w:rPr>
          <w:lang w:val="en-GB"/>
        </w:rPr>
        <w:t>.</w:t>
      </w:r>
      <w:r>
        <w:rPr>
          <w:noProof/>
          <w:lang w:val="en-GB"/>
        </w:rPr>
        <w:t>[8, 10-13, 20]</w:t>
      </w:r>
      <w:r w:rsidRPr="00F75DDE">
        <w:rPr>
          <w:lang w:val="en-GB"/>
        </w:rPr>
        <w:t xml:space="preserve"> </w:t>
      </w:r>
      <w:r>
        <w:rPr>
          <w:lang w:val="en-GB"/>
        </w:rPr>
        <w:t xml:space="preserve">Some publications emphasised </w:t>
      </w:r>
      <w:r>
        <w:rPr>
          <w:spacing w:val="-3"/>
          <w:lang w:val="en-GB"/>
        </w:rPr>
        <w:t xml:space="preserve">signs recognised internationally to be </w:t>
      </w:r>
      <w:r>
        <w:rPr>
          <w:lang w:val="en-GB"/>
        </w:rPr>
        <w:t>associated with raised intracranial pressure</w:t>
      </w:r>
      <w:r w:rsidRPr="00F75DDE">
        <w:rPr>
          <w:lang w:val="en-GB"/>
        </w:rPr>
        <w:t>, such as vomiting, convulsions,</w:t>
      </w:r>
      <w:r w:rsidRPr="00F75DDE">
        <w:rPr>
          <w:spacing w:val="-12"/>
          <w:lang w:val="en-GB"/>
        </w:rPr>
        <w:t xml:space="preserve"> </w:t>
      </w:r>
      <w:r w:rsidRPr="00F75DDE">
        <w:rPr>
          <w:lang w:val="en-GB"/>
        </w:rPr>
        <w:t>macrocephaly, bulging fontanelle, widened cranial sutures, prominent scalp veins, neck hyperextension,</w:t>
      </w:r>
      <w:r w:rsidRPr="00F75DDE">
        <w:rPr>
          <w:spacing w:val="-5"/>
          <w:lang w:val="en-GB"/>
        </w:rPr>
        <w:t xml:space="preserve"> </w:t>
      </w:r>
      <w:r w:rsidRPr="00F75DDE">
        <w:rPr>
          <w:lang w:val="en-GB"/>
        </w:rPr>
        <w:t>lid lag on downward vertical eye movement, and other abnormal ophthalmological signs</w:t>
      </w:r>
      <w:r>
        <w:rPr>
          <w:lang w:val="en-GB"/>
        </w:rPr>
        <w:t>.</w:t>
      </w:r>
      <w:r>
        <w:rPr>
          <w:noProof/>
        </w:rPr>
        <w:t>[5, 7, 8, 10, 21]</w:t>
      </w:r>
      <w:r>
        <w:t xml:space="preserve"> </w:t>
      </w:r>
      <w:r w:rsidRPr="00540DC8">
        <w:t xml:space="preserve">However, these </w:t>
      </w:r>
      <w:r>
        <w:t xml:space="preserve">signs </w:t>
      </w:r>
      <w:r w:rsidRPr="00540DC8">
        <w:t>were not mentioned as necessary for the diagnosis of PE-SIH and applied only to a minority of case</w:t>
      </w:r>
      <w:r>
        <w:t>s</w:t>
      </w:r>
      <w:r w:rsidRPr="00540DC8">
        <w:t xml:space="preserve">, although precise figures were lacking </w:t>
      </w:r>
      <w:r>
        <w:t xml:space="preserve">in </w:t>
      </w:r>
      <w:r w:rsidRPr="00540DC8">
        <w:t>the publi</w:t>
      </w:r>
      <w:r>
        <w:t>cations</w:t>
      </w:r>
      <w:r w:rsidRPr="00540DC8">
        <w:t>.</w:t>
      </w:r>
      <w:r w:rsidRPr="00540DC8" w:rsidDel="00F63A04">
        <w:rPr>
          <w:noProof/>
        </w:rPr>
        <w:t xml:space="preserve"> </w:t>
      </w:r>
      <w:r w:rsidRPr="00540DC8">
        <w:rPr>
          <w:noProof/>
        </w:rPr>
        <w:t>Some publications</w:t>
      </w:r>
      <w:r w:rsidRPr="0080591E">
        <w:rPr>
          <w:noProof/>
        </w:rPr>
        <w:t xml:space="preserve"> report</w:t>
      </w:r>
      <w:r>
        <w:rPr>
          <w:noProof/>
        </w:rPr>
        <w:t>ed</w:t>
      </w:r>
      <w:r w:rsidRPr="0080591E">
        <w:rPr>
          <w:noProof/>
        </w:rPr>
        <w:t xml:space="preserve"> that </w:t>
      </w:r>
      <w:r>
        <w:rPr>
          <w:noProof/>
        </w:rPr>
        <w:t xml:space="preserve">the </w:t>
      </w:r>
      <w:r w:rsidRPr="0080591E">
        <w:rPr>
          <w:noProof/>
        </w:rPr>
        <w:t>PE-SIH diagnos</w:t>
      </w:r>
      <w:r>
        <w:rPr>
          <w:noProof/>
        </w:rPr>
        <w:t xml:space="preserve">tic label </w:t>
      </w:r>
      <w:r w:rsidRPr="0080591E">
        <w:rPr>
          <w:noProof/>
        </w:rPr>
        <w:t xml:space="preserve">in infants </w:t>
      </w:r>
      <w:r>
        <w:rPr>
          <w:noProof/>
        </w:rPr>
        <w:t>also can be based on a history of maternal syphilis, any illness during pregnancy, home birth, or poor perinatal care.[11, 12, 19]</w:t>
      </w:r>
    </w:p>
    <w:p w:rsidR="00AE7E13" w:rsidRPr="00F75DDE" w:rsidRDefault="00AE7E13" w:rsidP="006558BB">
      <w:pPr>
        <w:pStyle w:val="BodyText"/>
        <w:spacing w:line="480" w:lineRule="auto"/>
        <w:ind w:left="0" w:right="154"/>
        <w:rPr>
          <w:lang w:val="en-GB"/>
        </w:rPr>
      </w:pPr>
    </w:p>
    <w:p w:rsidR="00AE7E13" w:rsidRPr="00F75DDE" w:rsidRDefault="00AE7E13" w:rsidP="0080591E">
      <w:pPr>
        <w:spacing w:line="480" w:lineRule="auto"/>
        <w:rPr>
          <w:lang w:val="en-GB"/>
        </w:rPr>
      </w:pPr>
      <w:r>
        <w:rPr>
          <w:lang w:val="en-GB"/>
        </w:rPr>
        <w:t>T</w:t>
      </w:r>
      <w:r w:rsidRPr="00F75DDE">
        <w:rPr>
          <w:lang w:val="en-GB"/>
        </w:rPr>
        <w:t xml:space="preserve">he diagnosis of PE-SIH often </w:t>
      </w:r>
      <w:r>
        <w:rPr>
          <w:lang w:val="en-GB"/>
        </w:rPr>
        <w:t>was based entirely on</w:t>
      </w:r>
      <w:r w:rsidRPr="00F75DDE">
        <w:rPr>
          <w:lang w:val="en-GB"/>
        </w:rPr>
        <w:t xml:space="preserve"> clinical </w:t>
      </w:r>
      <w:r>
        <w:rPr>
          <w:lang w:val="en-GB"/>
        </w:rPr>
        <w:t xml:space="preserve">features; </w:t>
      </w:r>
      <w:r w:rsidRPr="00F75DDE">
        <w:rPr>
          <w:lang w:val="en-GB"/>
        </w:rPr>
        <w:t xml:space="preserve">non-specific imaging abnormalities were cited as </w:t>
      </w:r>
      <w:r>
        <w:rPr>
          <w:lang w:val="en-GB"/>
        </w:rPr>
        <w:t>the</w:t>
      </w:r>
      <w:r w:rsidRPr="00D456F7">
        <w:rPr>
          <w:lang w:val="en-GB"/>
        </w:rPr>
        <w:t xml:space="preserve"> </w:t>
      </w:r>
      <w:r w:rsidRPr="00F75DDE">
        <w:rPr>
          <w:lang w:val="en-GB"/>
        </w:rPr>
        <w:t xml:space="preserve">basis </w:t>
      </w:r>
      <w:r>
        <w:rPr>
          <w:lang w:val="en-GB"/>
        </w:rPr>
        <w:t xml:space="preserve">of diagnosis </w:t>
      </w:r>
      <w:r w:rsidRPr="00F75DDE">
        <w:rPr>
          <w:lang w:val="en-GB"/>
        </w:rPr>
        <w:t xml:space="preserve">in the absence of clinical features </w:t>
      </w:r>
      <w:r w:rsidRPr="007D5BEF">
        <w:rPr>
          <w:lang w:val="en-GB"/>
        </w:rPr>
        <w:t xml:space="preserve">in </w:t>
      </w:r>
      <w:r>
        <w:rPr>
          <w:lang w:val="en-GB"/>
        </w:rPr>
        <w:t>3</w:t>
      </w:r>
      <w:r w:rsidRPr="00C2494E">
        <w:rPr>
          <w:lang w:val="en-GB"/>
        </w:rPr>
        <w:t>/3</w:t>
      </w:r>
      <w:r>
        <w:rPr>
          <w:lang w:val="en-GB"/>
        </w:rPr>
        <w:t>0</w:t>
      </w:r>
      <w:r w:rsidRPr="00C2494E">
        <w:rPr>
          <w:lang w:val="en-GB"/>
        </w:rPr>
        <w:t xml:space="preserve"> (</w:t>
      </w:r>
      <w:r>
        <w:rPr>
          <w:lang w:val="en-GB"/>
        </w:rPr>
        <w:t>10</w:t>
      </w:r>
      <w:r w:rsidRPr="00C2494E">
        <w:rPr>
          <w:lang w:val="en-GB"/>
        </w:rPr>
        <w:t>%)</w:t>
      </w:r>
      <w:r>
        <w:rPr>
          <w:lang w:val="en-GB"/>
        </w:rPr>
        <w:t xml:space="preserve"> of the publications </w:t>
      </w:r>
      <w:r>
        <w:rPr>
          <w:noProof/>
          <w:lang w:val="en-GB"/>
        </w:rPr>
        <w:t>[3, 11, 12]</w:t>
      </w:r>
      <w:r>
        <w:rPr>
          <w:lang w:val="en-GB"/>
        </w:rPr>
        <w:t xml:space="preserve"> and 4/30 (13%) the importance of ultrasound was emphasized.</w:t>
      </w:r>
      <w:r>
        <w:rPr>
          <w:noProof/>
          <w:lang w:val="en-GB"/>
        </w:rPr>
        <w:t>[13, 22-24]</w:t>
      </w:r>
      <w:r>
        <w:rPr>
          <w:lang w:val="en-GB"/>
        </w:rPr>
        <w:t xml:space="preserve"> </w:t>
      </w:r>
      <w:r w:rsidRPr="00F140B9">
        <w:rPr>
          <w:lang w:val="en-GB"/>
        </w:rPr>
        <w:t xml:space="preserve">A </w:t>
      </w:r>
      <w:r>
        <w:rPr>
          <w:lang w:val="en-GB"/>
        </w:rPr>
        <w:t xml:space="preserve">2006 </w:t>
      </w:r>
      <w:r w:rsidRPr="00F140B9">
        <w:rPr>
          <w:lang w:val="en-GB"/>
        </w:rPr>
        <w:t>practice guideline from the Russian Federation</w:t>
      </w:r>
      <w:r>
        <w:rPr>
          <w:lang w:val="en-GB"/>
        </w:rPr>
        <w:t xml:space="preserve"> </w:t>
      </w:r>
      <w:r w:rsidRPr="00F140B9">
        <w:rPr>
          <w:lang w:val="en-GB"/>
        </w:rPr>
        <w:t>recommended in addition to cranial ultrasound, the use of dopplerometry and dopplerography, electroencephalography, cranial computed tomography</w:t>
      </w:r>
      <w:r>
        <w:rPr>
          <w:lang w:val="en-GB"/>
        </w:rPr>
        <w:t xml:space="preserve">, </w:t>
      </w:r>
      <w:r w:rsidRPr="00F140B9">
        <w:rPr>
          <w:lang w:val="en-GB"/>
        </w:rPr>
        <w:t>magnetic resonance imaging, fundus examination and hearing screening</w:t>
      </w:r>
      <w:r w:rsidRPr="007E7C15">
        <w:rPr>
          <w:lang w:val="en-GB"/>
        </w:rPr>
        <w:t xml:space="preserve"> </w:t>
      </w:r>
      <w:r w:rsidRPr="00F140B9">
        <w:rPr>
          <w:lang w:val="en-GB"/>
        </w:rPr>
        <w:t>in the diagnostic work-up of children with PE-SIH.</w:t>
      </w:r>
      <w:r>
        <w:rPr>
          <w:noProof/>
          <w:lang w:val="en-GB"/>
        </w:rPr>
        <w:t>[25]</w:t>
      </w:r>
      <w:r w:rsidRPr="00F75DDE">
        <w:rPr>
          <w:noProof/>
          <w:lang w:val="en-GB"/>
        </w:rPr>
        <w:t xml:space="preserve"> </w:t>
      </w:r>
      <w:r>
        <w:rPr>
          <w:noProof/>
          <w:lang w:val="en-GB"/>
        </w:rPr>
        <w:t xml:space="preserve">Of 15 studies reporting numbers of children with PE-SIH, one had utilised multiple cranial imaging modalities for clarification of the neurologic status of children,[26] six used </w:t>
      </w:r>
      <w:r w:rsidRPr="0080591E">
        <w:rPr>
          <w:noProof/>
          <w:lang w:val="en-GB"/>
        </w:rPr>
        <w:t>medical history, cranial</w:t>
      </w:r>
      <w:r>
        <w:rPr>
          <w:noProof/>
          <w:lang w:val="en-GB"/>
        </w:rPr>
        <w:t xml:space="preserve"> ultrasound,</w:t>
      </w:r>
      <w:r w:rsidDel="00F91044">
        <w:rPr>
          <w:noProof/>
          <w:lang w:val="en-GB"/>
        </w:rPr>
        <w:t xml:space="preserve"> </w:t>
      </w:r>
      <w:r>
        <w:rPr>
          <w:noProof/>
          <w:lang w:val="en-GB"/>
        </w:rPr>
        <w:t xml:space="preserve">doppler ultrasonography and/or electroencephalography,[13, 20, 22-24, 32] while eight did not report the diagnostic criteria and methods used.[14, 16, 21, 27-31] </w:t>
      </w:r>
    </w:p>
    <w:p w:rsidR="00AE7E13" w:rsidRPr="00F75DDE" w:rsidRDefault="00AE7E13" w:rsidP="002C32F5">
      <w:pPr>
        <w:pStyle w:val="BodyText"/>
        <w:spacing w:before="54" w:line="480" w:lineRule="auto"/>
        <w:ind w:left="0" w:right="236"/>
        <w:rPr>
          <w:lang w:val="en-GB"/>
        </w:rPr>
      </w:pPr>
    </w:p>
    <w:p w:rsidR="00AE7E13" w:rsidRPr="00F75DDE" w:rsidRDefault="00AE7E13" w:rsidP="00DC7E04">
      <w:pPr>
        <w:pStyle w:val="BodyText"/>
        <w:spacing w:before="54" w:line="480" w:lineRule="auto"/>
        <w:ind w:left="0" w:right="236"/>
        <w:rPr>
          <w:lang w:val="en-GB"/>
        </w:rPr>
      </w:pPr>
      <w:r w:rsidRPr="00F75DDE">
        <w:rPr>
          <w:b/>
          <w:lang w:val="en-GB"/>
        </w:rPr>
        <w:t xml:space="preserve">Drugs </w:t>
      </w:r>
      <w:r>
        <w:rPr>
          <w:b/>
          <w:lang w:val="en-GB"/>
        </w:rPr>
        <w:t>u</w:t>
      </w:r>
      <w:r w:rsidRPr="00F75DDE">
        <w:rPr>
          <w:b/>
          <w:lang w:val="en-GB"/>
        </w:rPr>
        <w:t xml:space="preserve">sed for </w:t>
      </w:r>
      <w:r>
        <w:rPr>
          <w:b/>
          <w:lang w:val="en-GB"/>
        </w:rPr>
        <w:t>the t</w:t>
      </w:r>
      <w:r w:rsidRPr="00F75DDE">
        <w:rPr>
          <w:b/>
          <w:lang w:val="en-GB"/>
        </w:rPr>
        <w:t>reatment</w:t>
      </w:r>
      <w:r w:rsidRPr="00F75DDE" w:rsidDel="00AC74BD">
        <w:rPr>
          <w:b/>
          <w:spacing w:val="-10"/>
          <w:lang w:val="en-GB"/>
        </w:rPr>
        <w:t xml:space="preserve"> </w:t>
      </w:r>
      <w:r w:rsidRPr="00F75DDE">
        <w:rPr>
          <w:b/>
          <w:spacing w:val="-10"/>
          <w:lang w:val="en-GB"/>
        </w:rPr>
        <w:t>of PE-SIH</w:t>
      </w:r>
    </w:p>
    <w:p w:rsidR="00AE7E13" w:rsidRPr="00F75DDE" w:rsidRDefault="00AE7E13" w:rsidP="005B63FA">
      <w:pPr>
        <w:pStyle w:val="BodyText"/>
        <w:spacing w:line="480" w:lineRule="auto"/>
        <w:ind w:left="0" w:right="133"/>
        <w:rPr>
          <w:noProof/>
          <w:lang w:val="en-GB"/>
        </w:rPr>
      </w:pPr>
      <w:r>
        <w:rPr>
          <w:lang w:val="en-GB"/>
        </w:rPr>
        <w:t>Multiple drugs and other agents were in the treatment of PE-SIH including anticonvulsants</w:t>
      </w:r>
      <w:r w:rsidRPr="00F75DDE">
        <w:rPr>
          <w:lang w:val="en-GB"/>
        </w:rPr>
        <w:t xml:space="preserve">, </w:t>
      </w:r>
      <w:r>
        <w:rPr>
          <w:lang w:val="en-GB"/>
        </w:rPr>
        <w:t xml:space="preserve">cattle derived neuropeptides and blood extracts, </w:t>
      </w:r>
      <w:r w:rsidRPr="00F75DDE">
        <w:rPr>
          <w:lang w:val="en-GB"/>
        </w:rPr>
        <w:t>diuretics, nootropic and vasoactive agents,</w:t>
      </w:r>
      <w:r w:rsidRPr="00F75DDE">
        <w:rPr>
          <w:spacing w:val="-10"/>
          <w:lang w:val="en-GB"/>
        </w:rPr>
        <w:t xml:space="preserve"> </w:t>
      </w:r>
      <w:r w:rsidRPr="00F75DDE">
        <w:rPr>
          <w:lang w:val="en-GB"/>
        </w:rPr>
        <w:t>psychostimulants,</w:t>
      </w:r>
      <w:r>
        <w:rPr>
          <w:lang w:val="en-GB"/>
        </w:rPr>
        <w:t xml:space="preserve"> </w:t>
      </w:r>
      <w:r w:rsidRPr="00F75DDE">
        <w:rPr>
          <w:lang w:val="en-GB"/>
        </w:rPr>
        <w:t xml:space="preserve">mineral </w:t>
      </w:r>
      <w:r>
        <w:rPr>
          <w:lang w:val="en-GB"/>
        </w:rPr>
        <w:t xml:space="preserve">and metabolic </w:t>
      </w:r>
      <w:r w:rsidRPr="00F75DDE">
        <w:rPr>
          <w:lang w:val="en-GB"/>
        </w:rPr>
        <w:t>supplements.</w:t>
      </w:r>
      <w:r>
        <w:rPr>
          <w:noProof/>
          <w:lang w:val="en-GB"/>
        </w:rPr>
        <w:t>[3, 4, 9, 10, 14, 16, 22, 25, 26, 30, 31, 33, 34]</w:t>
      </w:r>
      <w:r w:rsidRPr="00F75DDE">
        <w:rPr>
          <w:lang w:val="en-GB"/>
        </w:rPr>
        <w:t xml:space="preserve"> Publications </w:t>
      </w:r>
      <w:r>
        <w:rPr>
          <w:lang w:val="en-GB"/>
        </w:rPr>
        <w:t>between 2004 and 2009 suggest</w:t>
      </w:r>
      <w:r w:rsidRPr="00F75DDE">
        <w:rPr>
          <w:lang w:val="en-GB"/>
        </w:rPr>
        <w:t xml:space="preserve"> that one third of children with a diagnosis of PE-SIH </w:t>
      </w:r>
      <w:r>
        <w:rPr>
          <w:lang w:val="en-GB"/>
        </w:rPr>
        <w:t>were treated</w:t>
      </w:r>
      <w:r w:rsidRPr="00F75DDE">
        <w:rPr>
          <w:lang w:val="en-GB"/>
        </w:rPr>
        <w:t xml:space="preserve"> with a combination of up to four drugs.</w:t>
      </w:r>
      <w:r>
        <w:rPr>
          <w:noProof/>
          <w:lang w:val="en-GB"/>
        </w:rPr>
        <w:t>[4, 30, 31]</w:t>
      </w:r>
      <w:r w:rsidRPr="00F75DDE">
        <w:rPr>
          <w:noProof/>
          <w:lang w:val="en-GB"/>
        </w:rPr>
        <w:t xml:space="preserve"> </w:t>
      </w:r>
      <w:r w:rsidRPr="00F75DDE">
        <w:rPr>
          <w:lang w:val="en-GB"/>
        </w:rPr>
        <w:t xml:space="preserve">One study reported that not only infants </w:t>
      </w:r>
      <w:r>
        <w:rPr>
          <w:lang w:val="en-GB"/>
        </w:rPr>
        <w:t>‘</w:t>
      </w:r>
      <w:r w:rsidRPr="00F75DDE">
        <w:rPr>
          <w:lang w:val="en-GB"/>
        </w:rPr>
        <w:t>diagnosed with PE</w:t>
      </w:r>
      <w:r>
        <w:rPr>
          <w:lang w:val="en-GB"/>
        </w:rPr>
        <w:t>’</w:t>
      </w:r>
      <w:r w:rsidRPr="00F75DDE">
        <w:rPr>
          <w:lang w:val="en-GB"/>
        </w:rPr>
        <w:t xml:space="preserve"> but also apparently healthy infants considered </w:t>
      </w:r>
      <w:r>
        <w:rPr>
          <w:lang w:val="en-GB"/>
        </w:rPr>
        <w:t>‘</w:t>
      </w:r>
      <w:r w:rsidRPr="00F75DDE">
        <w:rPr>
          <w:lang w:val="en-GB"/>
        </w:rPr>
        <w:t>at risk for PE</w:t>
      </w:r>
      <w:r>
        <w:rPr>
          <w:lang w:val="en-GB"/>
        </w:rPr>
        <w:t>’</w:t>
      </w:r>
      <w:r w:rsidRPr="00F75DDE">
        <w:rPr>
          <w:lang w:val="en-GB"/>
        </w:rPr>
        <w:t xml:space="preserve"> were receiving diuretics, nootropic agents (so called </w:t>
      </w:r>
      <w:r>
        <w:rPr>
          <w:lang w:val="en-GB"/>
        </w:rPr>
        <w:t>‘</w:t>
      </w:r>
      <w:r w:rsidRPr="00F75DDE">
        <w:rPr>
          <w:lang w:val="en-GB"/>
        </w:rPr>
        <w:t>cognitive enhancers</w:t>
      </w:r>
      <w:r>
        <w:rPr>
          <w:lang w:val="en-GB"/>
        </w:rPr>
        <w:t>’</w:t>
      </w:r>
      <w:r w:rsidRPr="00F75DDE">
        <w:rPr>
          <w:lang w:val="en-GB"/>
        </w:rPr>
        <w:t>), vasoactive drugs, and sedatives.</w:t>
      </w:r>
      <w:r>
        <w:rPr>
          <w:noProof/>
          <w:lang w:val="en-GB"/>
        </w:rPr>
        <w:t>[22]</w:t>
      </w:r>
    </w:p>
    <w:p w:rsidR="00AE7E13" w:rsidRPr="00F75DDE" w:rsidRDefault="00AE7E13" w:rsidP="00C06839">
      <w:pPr>
        <w:pStyle w:val="Heading1"/>
        <w:spacing w:line="480" w:lineRule="auto"/>
        <w:ind w:left="0" w:right="154"/>
        <w:rPr>
          <w:lang w:val="en-GB"/>
        </w:rPr>
      </w:pPr>
    </w:p>
    <w:p w:rsidR="00AE7E13" w:rsidRDefault="00AE7E13" w:rsidP="002D6976">
      <w:pPr>
        <w:pStyle w:val="Heading1"/>
        <w:spacing w:line="480" w:lineRule="auto"/>
        <w:ind w:left="0" w:right="154"/>
        <w:rPr>
          <w:lang w:val="en-GB"/>
        </w:rPr>
      </w:pPr>
      <w:r w:rsidRPr="00F75DDE">
        <w:rPr>
          <w:lang w:val="en-GB"/>
        </w:rPr>
        <w:t>Numbers of children diagnosed with PE-SIH</w:t>
      </w:r>
    </w:p>
    <w:p w:rsidR="00AE7E13" w:rsidRPr="00F75DDE" w:rsidRDefault="00AE7E13" w:rsidP="00C06839">
      <w:pPr>
        <w:spacing w:line="480" w:lineRule="auto"/>
        <w:ind w:right="133"/>
        <w:rPr>
          <w:lang w:val="en-GB"/>
        </w:rPr>
      </w:pPr>
      <w:r w:rsidRPr="00F268DB">
        <w:rPr>
          <w:lang w:val="en-GB"/>
        </w:rPr>
        <w:t xml:space="preserve">Table 1 summarises </w:t>
      </w:r>
      <w:r>
        <w:rPr>
          <w:lang w:val="en-GB"/>
        </w:rPr>
        <w:t xml:space="preserve">studies </w:t>
      </w:r>
      <w:r w:rsidRPr="00F268DB">
        <w:rPr>
          <w:lang w:val="en-GB"/>
        </w:rPr>
        <w:t>published between 1997 and 2010</w:t>
      </w:r>
      <w:r w:rsidRPr="00DC2CF8">
        <w:rPr>
          <w:lang w:val="en-GB"/>
        </w:rPr>
        <w:t xml:space="preserve"> that report on numbers of children with </w:t>
      </w:r>
      <w:r w:rsidRPr="00F214E2">
        <w:rPr>
          <w:lang w:val="en-GB"/>
        </w:rPr>
        <w:t>PE-SIH</w:t>
      </w:r>
      <w:r>
        <w:rPr>
          <w:lang w:val="en-GB"/>
        </w:rPr>
        <w:t xml:space="preserve">. All studies were </w:t>
      </w:r>
      <w:r w:rsidRPr="00F268DB">
        <w:rPr>
          <w:lang w:val="en-GB"/>
        </w:rPr>
        <w:t>retrospective reviews of medical records</w:t>
      </w:r>
      <w:r>
        <w:rPr>
          <w:lang w:val="en-GB"/>
        </w:rPr>
        <w:t xml:space="preserve">; four </w:t>
      </w:r>
      <w:r w:rsidRPr="004067C1">
        <w:rPr>
          <w:lang w:val="en-GB"/>
        </w:rPr>
        <w:t>on children attending outpatient clinics</w:t>
      </w:r>
      <w:r>
        <w:rPr>
          <w:lang w:val="en-GB"/>
        </w:rPr>
        <w:t>, and one on children born in the studied hospital.</w:t>
      </w:r>
      <w:r>
        <w:rPr>
          <w:noProof/>
          <w:lang w:val="en-GB"/>
        </w:rPr>
        <w:t>[22, 23, 27, 30, 31]</w:t>
      </w:r>
      <w:r>
        <w:rPr>
          <w:lang w:val="en-GB"/>
        </w:rPr>
        <w:t xml:space="preserve"> </w:t>
      </w:r>
      <w:r w:rsidRPr="00F268DB">
        <w:rPr>
          <w:lang w:val="en-GB"/>
        </w:rPr>
        <w:t xml:space="preserve">The percentage of children diagnosed with PE </w:t>
      </w:r>
      <w:r w:rsidRPr="00D456F7">
        <w:rPr>
          <w:lang w:val="en-GB"/>
        </w:rPr>
        <w:t xml:space="preserve">in these clinical populations </w:t>
      </w:r>
      <w:r>
        <w:rPr>
          <w:lang w:val="en-GB"/>
        </w:rPr>
        <w:t xml:space="preserve"> ranged from 33% to 99%. </w:t>
      </w:r>
      <w:r>
        <w:rPr>
          <w:noProof/>
          <w:lang w:val="en-GB"/>
        </w:rPr>
        <w:t>F</w:t>
      </w:r>
      <w:r w:rsidRPr="00F268DB">
        <w:rPr>
          <w:lang w:val="en-GB"/>
        </w:rPr>
        <w:t>ive</w:t>
      </w:r>
      <w:r>
        <w:rPr>
          <w:lang w:val="en-GB"/>
        </w:rPr>
        <w:t xml:space="preserve"> other studies reported samples</w:t>
      </w:r>
      <w:r w:rsidRPr="00F268DB">
        <w:rPr>
          <w:lang w:val="en-GB"/>
        </w:rPr>
        <w:t xml:space="preserve"> from orphanages</w:t>
      </w:r>
      <w:r>
        <w:rPr>
          <w:noProof/>
          <w:lang w:val="en-GB"/>
        </w:rPr>
        <w:t>[14, 32]</w:t>
      </w:r>
      <w:r w:rsidRPr="00F268DB">
        <w:rPr>
          <w:lang w:val="en-GB"/>
        </w:rPr>
        <w:t xml:space="preserve"> or adoption clinics.</w:t>
      </w:r>
      <w:r>
        <w:rPr>
          <w:noProof/>
          <w:lang w:val="en-GB"/>
        </w:rPr>
        <w:t>[21, 28, 29]</w:t>
      </w:r>
      <w:r w:rsidRPr="00F268DB">
        <w:rPr>
          <w:noProof/>
          <w:lang w:val="en-GB"/>
        </w:rPr>
        <w:t xml:space="preserve"> </w:t>
      </w:r>
      <w:r>
        <w:rPr>
          <w:noProof/>
          <w:lang w:val="en-GB"/>
        </w:rPr>
        <w:t xml:space="preserve">The PE-SIH rate in these special settings ranged from 31% to 100%. </w:t>
      </w:r>
      <w:r w:rsidRPr="004067C1">
        <w:rPr>
          <w:lang w:val="en-GB"/>
        </w:rPr>
        <w:t xml:space="preserve"> </w:t>
      </w:r>
      <w:r w:rsidRPr="00F268DB">
        <w:rPr>
          <w:lang w:val="en-GB"/>
        </w:rPr>
        <w:t>None of these studies have population-based samples</w:t>
      </w:r>
      <w:r>
        <w:rPr>
          <w:lang w:val="en-GB"/>
        </w:rPr>
        <w:t>.</w:t>
      </w:r>
      <w:r w:rsidRPr="00F268DB">
        <w:rPr>
          <w:lang w:val="en-GB"/>
        </w:rPr>
        <w:t xml:space="preserve"> </w:t>
      </w:r>
    </w:p>
    <w:p w:rsidR="00AE7E13" w:rsidRPr="00F75DDE" w:rsidRDefault="00AE7E13" w:rsidP="005B63FA">
      <w:pPr>
        <w:pStyle w:val="BodyText"/>
        <w:spacing w:line="480" w:lineRule="auto"/>
        <w:ind w:left="0" w:right="133"/>
        <w:rPr>
          <w:noProof/>
          <w:lang w:val="en-GB"/>
        </w:rPr>
      </w:pPr>
    </w:p>
    <w:p w:rsidR="00AE7E13" w:rsidRDefault="00AE7E13" w:rsidP="00DB79F0">
      <w:pPr>
        <w:pStyle w:val="BodyText"/>
        <w:spacing w:before="54" w:line="480" w:lineRule="auto"/>
        <w:ind w:left="0" w:right="236"/>
        <w:rPr>
          <w:lang w:val="en-GB"/>
        </w:rPr>
      </w:pPr>
      <w:r>
        <w:rPr>
          <w:b/>
          <w:noProof/>
          <w:lang w:val="en-GB"/>
        </w:rPr>
        <w:t>Reassessment of children diagnosed with PE-SIH</w:t>
      </w:r>
      <w:r w:rsidRPr="00F75DDE">
        <w:rPr>
          <w:b/>
          <w:noProof/>
          <w:lang w:val="en-GB"/>
        </w:rPr>
        <w:t xml:space="preserve"> </w:t>
      </w:r>
    </w:p>
    <w:p w:rsidR="00AE7E13" w:rsidRPr="00194106" w:rsidRDefault="00AE7E13" w:rsidP="001118C4">
      <w:pPr>
        <w:pStyle w:val="BodyText"/>
        <w:spacing w:before="54" w:line="480" w:lineRule="auto"/>
        <w:ind w:left="0" w:right="236"/>
        <w:rPr>
          <w:b/>
          <w:lang w:val="en-GB"/>
        </w:rPr>
      </w:pPr>
      <w:r>
        <w:rPr>
          <w:lang w:val="en-GB"/>
        </w:rPr>
        <w:t>Several studies, reported on the outcomes of children with PE-SIH upon their independent assessment or reassessment when older. A study from the Russian Federation published in 2009 reported that</w:t>
      </w:r>
      <w:r w:rsidRPr="00F75DDE">
        <w:rPr>
          <w:lang w:val="en-GB"/>
        </w:rPr>
        <w:t xml:space="preserve"> in a paediatric outpatient population of </w:t>
      </w:r>
      <w:r>
        <w:rPr>
          <w:lang w:val="en-GB"/>
        </w:rPr>
        <w:t xml:space="preserve">800 </w:t>
      </w:r>
      <w:r w:rsidRPr="00F75DDE">
        <w:rPr>
          <w:lang w:val="en-GB"/>
        </w:rPr>
        <w:t xml:space="preserve">infants </w:t>
      </w:r>
      <w:r>
        <w:rPr>
          <w:lang w:val="en-GB"/>
        </w:rPr>
        <w:t xml:space="preserve">aged </w:t>
      </w:r>
      <w:r w:rsidRPr="00F75DDE">
        <w:rPr>
          <w:lang w:val="en-GB"/>
        </w:rPr>
        <w:t>3-month</w:t>
      </w:r>
      <w:r>
        <w:rPr>
          <w:lang w:val="en-GB"/>
        </w:rPr>
        <w:t>s, 744 (</w:t>
      </w:r>
      <w:r w:rsidRPr="00F75DDE">
        <w:rPr>
          <w:lang w:val="en-GB"/>
        </w:rPr>
        <w:t>93%</w:t>
      </w:r>
      <w:r>
        <w:rPr>
          <w:lang w:val="en-GB"/>
        </w:rPr>
        <w:t>)</w:t>
      </w:r>
      <w:r w:rsidRPr="00F75DDE">
        <w:rPr>
          <w:lang w:val="en-GB"/>
        </w:rPr>
        <w:t xml:space="preserve"> </w:t>
      </w:r>
      <w:r>
        <w:rPr>
          <w:lang w:val="en-GB"/>
        </w:rPr>
        <w:t>had received a diagnosis of PE-SIH but 584 (</w:t>
      </w:r>
      <w:r w:rsidRPr="00F75DDE">
        <w:rPr>
          <w:lang w:val="en-GB"/>
        </w:rPr>
        <w:t>73%</w:t>
      </w:r>
      <w:r>
        <w:rPr>
          <w:lang w:val="en-GB"/>
        </w:rPr>
        <w:t xml:space="preserve">) </w:t>
      </w:r>
      <w:r w:rsidRPr="00F75DDE">
        <w:rPr>
          <w:lang w:val="en-GB"/>
        </w:rPr>
        <w:t>lacked neurological abnormalities when they had outgrown infancy.</w:t>
      </w:r>
      <w:r>
        <w:rPr>
          <w:noProof/>
          <w:lang w:val="en-GB"/>
        </w:rPr>
        <w:t>[22]</w:t>
      </w:r>
      <w:r>
        <w:rPr>
          <w:lang w:val="en-GB"/>
        </w:rPr>
        <w:t xml:space="preserve"> Three </w:t>
      </w:r>
      <w:r w:rsidRPr="00A91521">
        <w:rPr>
          <w:lang w:val="en-GB"/>
        </w:rPr>
        <w:t>studies</w:t>
      </w:r>
      <w:r>
        <w:rPr>
          <w:lang w:val="en-GB"/>
        </w:rPr>
        <w:t xml:space="preserve"> </w:t>
      </w:r>
      <w:r w:rsidRPr="00F75DDE">
        <w:rPr>
          <w:lang w:val="en-GB"/>
        </w:rPr>
        <w:t>report</w:t>
      </w:r>
      <w:r>
        <w:rPr>
          <w:lang w:val="en-GB"/>
        </w:rPr>
        <w:t xml:space="preserve">ed on </w:t>
      </w:r>
      <w:r w:rsidRPr="00F75DDE">
        <w:rPr>
          <w:lang w:val="en-GB"/>
        </w:rPr>
        <w:t xml:space="preserve">detailed </w:t>
      </w:r>
      <w:r>
        <w:rPr>
          <w:lang w:val="en-GB"/>
        </w:rPr>
        <w:t>independent</w:t>
      </w:r>
      <w:r w:rsidRPr="00F75DDE">
        <w:rPr>
          <w:lang w:val="en-GB"/>
        </w:rPr>
        <w:t xml:space="preserve"> evaluations of children </w:t>
      </w:r>
      <w:r>
        <w:rPr>
          <w:lang w:val="en-GB"/>
        </w:rPr>
        <w:t xml:space="preserve">that had received the </w:t>
      </w:r>
      <w:r w:rsidRPr="00F75DDE">
        <w:rPr>
          <w:lang w:val="en-GB"/>
        </w:rPr>
        <w:t xml:space="preserve">diagnosis </w:t>
      </w:r>
      <w:r>
        <w:rPr>
          <w:lang w:val="en-GB"/>
        </w:rPr>
        <w:t>of PE-SIH.</w:t>
      </w:r>
      <w:r>
        <w:rPr>
          <w:noProof/>
          <w:lang w:val="en-GB"/>
        </w:rPr>
        <w:t>[21, 29, 31]</w:t>
      </w:r>
      <w:r w:rsidRPr="00F75DDE">
        <w:rPr>
          <w:noProof/>
          <w:lang w:val="en-GB"/>
        </w:rPr>
        <w:t xml:space="preserve"> </w:t>
      </w:r>
      <w:r w:rsidRPr="00D456F7">
        <w:rPr>
          <w:lang w:val="en-GB"/>
        </w:rPr>
        <w:t xml:space="preserve">Miller </w:t>
      </w:r>
      <w:r w:rsidRPr="0066114C">
        <w:rPr>
          <w:noProof/>
          <w:lang w:val="en-GB"/>
        </w:rPr>
        <w:t>in 2005</w:t>
      </w:r>
      <w:r w:rsidRPr="0066114C">
        <w:rPr>
          <w:lang w:val="en-GB"/>
        </w:rPr>
        <w:t xml:space="preserve"> </w:t>
      </w:r>
      <w:r w:rsidRPr="0066114C">
        <w:rPr>
          <w:noProof/>
          <w:lang w:val="en-GB"/>
        </w:rPr>
        <w:t xml:space="preserve">reported on </w:t>
      </w:r>
      <w:r w:rsidRPr="00D456F7">
        <w:rPr>
          <w:lang w:val="en-GB"/>
        </w:rPr>
        <w:t xml:space="preserve">107 children (74 </w:t>
      </w:r>
      <w:r w:rsidRPr="0066114C">
        <w:rPr>
          <w:lang w:val="en-GB"/>
        </w:rPr>
        <w:t>diagnosed</w:t>
      </w:r>
      <w:r w:rsidRPr="00D456F7">
        <w:rPr>
          <w:lang w:val="en-GB"/>
        </w:rPr>
        <w:t xml:space="preserve"> with PE</w:t>
      </w:r>
      <w:r w:rsidRPr="0066114C">
        <w:rPr>
          <w:lang w:val="en-GB"/>
        </w:rPr>
        <w:t xml:space="preserve"> and</w:t>
      </w:r>
      <w:r w:rsidRPr="00D456F7">
        <w:rPr>
          <w:lang w:val="en-GB"/>
        </w:rPr>
        <w:t xml:space="preserve"> 21 with PE-SIH) </w:t>
      </w:r>
      <w:r w:rsidRPr="0066114C">
        <w:rPr>
          <w:lang w:val="en-GB"/>
        </w:rPr>
        <w:t xml:space="preserve">in Eastern Europe and the Russian Federation and </w:t>
      </w:r>
      <w:r w:rsidRPr="0066114C">
        <w:rPr>
          <w:noProof/>
          <w:lang w:val="en-GB"/>
        </w:rPr>
        <w:t>their pre-adoptive</w:t>
      </w:r>
      <w:r w:rsidRPr="0066114C">
        <w:rPr>
          <w:lang w:val="en-GB"/>
        </w:rPr>
        <w:t xml:space="preserve"> evaluations in</w:t>
      </w:r>
      <w:r w:rsidRPr="00D456F7">
        <w:rPr>
          <w:lang w:val="en-GB"/>
        </w:rPr>
        <w:t xml:space="preserve"> international adoption clinics in the United States (Table 1).[21] </w:t>
      </w:r>
      <w:r w:rsidRPr="0066114C">
        <w:rPr>
          <w:lang w:val="en-GB"/>
        </w:rPr>
        <w:t>None of</w:t>
      </w:r>
      <w:r w:rsidRPr="00D456F7">
        <w:rPr>
          <w:lang w:val="en-GB"/>
        </w:rPr>
        <w:t xml:space="preserve"> these children was found to have a specific neurological disorder</w:t>
      </w:r>
      <w:r>
        <w:rPr>
          <w:lang w:val="en-GB"/>
        </w:rPr>
        <w:t>.</w:t>
      </w:r>
      <w:r w:rsidRPr="00D456F7">
        <w:rPr>
          <w:lang w:val="en-GB"/>
        </w:rPr>
        <w:t xml:space="preserve"> In </w:t>
      </w:r>
      <w:r>
        <w:rPr>
          <w:lang w:val="en-GB"/>
        </w:rPr>
        <w:t>a</w:t>
      </w:r>
      <w:r w:rsidRPr="00D456F7">
        <w:rPr>
          <w:lang w:val="en-GB"/>
        </w:rPr>
        <w:t xml:space="preserve"> study </w:t>
      </w:r>
      <w:r>
        <w:t xml:space="preserve">by Tatochenko et al. from the Russian Federation in 2006, </w:t>
      </w:r>
      <w:r w:rsidRPr="00194106">
        <w:t xml:space="preserve">a </w:t>
      </w:r>
      <w:r w:rsidRPr="00F75DDE">
        <w:t>team of p</w:t>
      </w:r>
      <w:r>
        <w:t>a</w:t>
      </w:r>
      <w:r w:rsidRPr="00F75DDE">
        <w:t xml:space="preserve">ediatric neurologists </w:t>
      </w:r>
      <w:r w:rsidRPr="00194106">
        <w:t xml:space="preserve">re-evaluated </w:t>
      </w:r>
      <w:r w:rsidRPr="00F75DDE">
        <w:t xml:space="preserve">162 </w:t>
      </w:r>
      <w:r>
        <w:t>infants</w:t>
      </w:r>
      <w:r w:rsidRPr="00194106">
        <w:t xml:space="preserve"> </w:t>
      </w:r>
      <w:r w:rsidRPr="00F75DDE">
        <w:t>diagnosed with PE</w:t>
      </w:r>
      <w:r>
        <w:t>-SIH</w:t>
      </w:r>
      <w:r w:rsidRPr="00F75DDE">
        <w:t xml:space="preserve"> </w:t>
      </w:r>
      <w:r>
        <w:t xml:space="preserve">among </w:t>
      </w:r>
      <w:r w:rsidRPr="00F75DDE">
        <w:t xml:space="preserve">185 </w:t>
      </w:r>
      <w:r>
        <w:t>infants attending</w:t>
      </w:r>
      <w:r w:rsidRPr="00F75DDE">
        <w:t xml:space="preserve"> two primary care clinics</w:t>
      </w:r>
      <w:r>
        <w:t xml:space="preserve"> in Moscow</w:t>
      </w:r>
      <w:r w:rsidRPr="00F75DDE">
        <w:t>.</w:t>
      </w:r>
      <w:r>
        <w:rPr>
          <w:noProof/>
        </w:rPr>
        <w:t>[31]</w:t>
      </w:r>
      <w:r w:rsidRPr="00F75DDE">
        <w:rPr>
          <w:position w:val="11"/>
          <w:lang w:val="en-GB"/>
        </w:rPr>
        <w:t xml:space="preserve"> </w:t>
      </w:r>
      <w:r w:rsidRPr="00F75DDE">
        <w:rPr>
          <w:lang w:val="en-GB"/>
        </w:rPr>
        <w:t xml:space="preserve"> </w:t>
      </w:r>
      <w:r>
        <w:t xml:space="preserve">In 149 (92%) children no abnormality was seen, </w:t>
      </w:r>
      <w:r w:rsidRPr="00F75DDE">
        <w:t xml:space="preserve">13 </w:t>
      </w:r>
      <w:r>
        <w:t>(8%) had a</w:t>
      </w:r>
      <w:r w:rsidRPr="00F75DDE">
        <w:t xml:space="preserve"> </w:t>
      </w:r>
      <w:r w:rsidRPr="00194106">
        <w:t>neurological disorder</w:t>
      </w:r>
      <w:r>
        <w:t xml:space="preserve"> including ‘</w:t>
      </w:r>
      <w:r w:rsidRPr="00194106">
        <w:t>vegetative</w:t>
      </w:r>
      <w:r w:rsidRPr="00F75DDE">
        <w:t xml:space="preserve"> </w:t>
      </w:r>
      <w:r w:rsidRPr="00194106">
        <w:t>visceral syndrome</w:t>
      </w:r>
      <w:r>
        <w:t xml:space="preserve">’ (an entity not recognized by the ICD), </w:t>
      </w:r>
      <w:r w:rsidRPr="00194106">
        <w:t>cerebral palsy, developmental delay,</w:t>
      </w:r>
      <w:r w:rsidRPr="00194106">
        <w:rPr>
          <w:spacing w:val="-18"/>
        </w:rPr>
        <w:t xml:space="preserve"> </w:t>
      </w:r>
      <w:r w:rsidRPr="00194106">
        <w:t xml:space="preserve">kernicterus, hydrocephalus, </w:t>
      </w:r>
      <w:r>
        <w:t xml:space="preserve">or </w:t>
      </w:r>
      <w:r w:rsidRPr="00194106">
        <w:t>microcephal</w:t>
      </w:r>
      <w:r>
        <w:t xml:space="preserve">y. </w:t>
      </w:r>
    </w:p>
    <w:p w:rsidR="00AE7E13" w:rsidRDefault="00AE7E13" w:rsidP="00C529E9">
      <w:pPr>
        <w:spacing w:before="5" w:line="480" w:lineRule="auto"/>
        <w:rPr>
          <w:b/>
          <w:lang w:val="en-GB"/>
        </w:rPr>
      </w:pPr>
    </w:p>
    <w:p w:rsidR="00AE7E13" w:rsidRPr="00F75DDE" w:rsidRDefault="00AE7E13" w:rsidP="002C32F5">
      <w:pPr>
        <w:spacing w:before="5" w:line="480" w:lineRule="auto"/>
        <w:rPr>
          <w:b/>
          <w:noProof/>
          <w:lang w:val="en-GB"/>
        </w:rPr>
      </w:pPr>
      <w:r w:rsidRPr="00F75DDE">
        <w:rPr>
          <w:b/>
          <w:lang w:val="en-GB"/>
        </w:rPr>
        <w:t>DISCUSSION</w:t>
      </w:r>
    </w:p>
    <w:p w:rsidR="00AE7E13" w:rsidRDefault="00AE7E13" w:rsidP="002D6976">
      <w:pPr>
        <w:spacing w:line="480" w:lineRule="auto"/>
        <w:ind w:right="133"/>
        <w:rPr>
          <w:lang w:val="en-GB"/>
        </w:rPr>
      </w:pPr>
    </w:p>
    <w:p w:rsidR="00AE7E13" w:rsidRPr="002D6976" w:rsidRDefault="00AE7E13" w:rsidP="002D6976">
      <w:pPr>
        <w:spacing w:line="480" w:lineRule="auto"/>
        <w:ind w:right="133"/>
        <w:rPr>
          <w:lang w:val="en-GB"/>
        </w:rPr>
      </w:pPr>
      <w:r w:rsidRPr="00885BBA">
        <w:rPr>
          <w:lang w:val="en-GB"/>
        </w:rPr>
        <w:t xml:space="preserve">This </w:t>
      </w:r>
      <w:r>
        <w:rPr>
          <w:lang w:val="en-GB"/>
        </w:rPr>
        <w:t xml:space="preserve">literature </w:t>
      </w:r>
      <w:r w:rsidRPr="00885BBA">
        <w:rPr>
          <w:lang w:val="en-GB"/>
        </w:rPr>
        <w:t xml:space="preserve">review suggests that PE-SIH is a medical </w:t>
      </w:r>
      <w:r>
        <w:rPr>
          <w:lang w:val="en-GB"/>
        </w:rPr>
        <w:t xml:space="preserve">entity which is conceptually different from diagnostic categories used in ICD-10 and often not associated with </w:t>
      </w:r>
      <w:r w:rsidRPr="00885BBA">
        <w:rPr>
          <w:lang w:val="en-GB"/>
        </w:rPr>
        <w:t xml:space="preserve">a substantive underlying </w:t>
      </w:r>
      <w:r>
        <w:rPr>
          <w:lang w:val="en-GB"/>
        </w:rPr>
        <w:t>neuro-developmental disorder.</w:t>
      </w:r>
      <w:r w:rsidRPr="00885BBA">
        <w:rPr>
          <w:lang w:val="en-GB"/>
        </w:rPr>
        <w:t xml:space="preserve"> The practice of label</w:t>
      </w:r>
      <w:r>
        <w:rPr>
          <w:lang w:val="en-GB"/>
        </w:rPr>
        <w:t xml:space="preserve">ling </w:t>
      </w:r>
      <w:r w:rsidRPr="00885BBA">
        <w:rPr>
          <w:lang w:val="en-GB"/>
        </w:rPr>
        <w:t>children</w:t>
      </w:r>
      <w:r>
        <w:rPr>
          <w:lang w:val="en-GB"/>
        </w:rPr>
        <w:t xml:space="preserve"> in this way may have </w:t>
      </w:r>
      <w:r w:rsidRPr="00885BBA">
        <w:rPr>
          <w:lang w:val="en-GB"/>
        </w:rPr>
        <w:t>important negative consequences</w:t>
      </w:r>
      <w:r w:rsidRPr="00885BBA">
        <w:rPr>
          <w:spacing w:val="-12"/>
          <w:lang w:val="en-GB"/>
        </w:rPr>
        <w:t xml:space="preserve"> </w:t>
      </w:r>
      <w:r w:rsidRPr="00885BBA">
        <w:rPr>
          <w:lang w:val="en-GB"/>
        </w:rPr>
        <w:t xml:space="preserve">for individual children, families, and society at </w:t>
      </w:r>
      <w:r w:rsidRPr="00C61837">
        <w:t>large</w:t>
      </w:r>
      <w:r>
        <w:t xml:space="preserve">. </w:t>
      </w:r>
      <w:r w:rsidRPr="00C61837">
        <w:t xml:space="preserve"> </w:t>
      </w:r>
    </w:p>
    <w:p w:rsidR="00AE7E13" w:rsidRDefault="00AE7E13" w:rsidP="00D456F7">
      <w:pPr>
        <w:spacing w:line="480" w:lineRule="auto"/>
        <w:rPr>
          <w:lang w:val="en-GB"/>
        </w:rPr>
      </w:pPr>
    </w:p>
    <w:p w:rsidR="00AE7E13" w:rsidRDefault="00AE7E13" w:rsidP="008C73B0">
      <w:pPr>
        <w:spacing w:line="480" w:lineRule="auto"/>
        <w:rPr>
          <w:lang w:val="en-GB"/>
        </w:rPr>
      </w:pPr>
      <w:r w:rsidRPr="00F75DDE">
        <w:rPr>
          <w:lang w:val="en-GB"/>
        </w:rPr>
        <w:t>A strength of this review is that it includes publications in Russian</w:t>
      </w:r>
      <w:r>
        <w:rPr>
          <w:lang w:val="en-GB"/>
        </w:rPr>
        <w:t xml:space="preserve">, </w:t>
      </w:r>
      <w:r w:rsidRPr="00F75DDE">
        <w:rPr>
          <w:lang w:val="en-GB"/>
        </w:rPr>
        <w:t xml:space="preserve">the predominant scientific medical language in CIS countries. </w:t>
      </w:r>
      <w:r>
        <w:rPr>
          <w:lang w:val="en-GB"/>
        </w:rPr>
        <w:t>There are a number of limitations of the study. Firstly, we cannot exclude publication bias and it is impossible to extrapolate the data with any confidence to a population prevalence. Secondly, the unavailability of online l</w:t>
      </w:r>
      <w:r w:rsidRPr="00F75DDE">
        <w:rPr>
          <w:lang w:val="en-GB"/>
        </w:rPr>
        <w:t xml:space="preserve">ibrary-based biomedical databases in Russian </w:t>
      </w:r>
      <w:r>
        <w:rPr>
          <w:lang w:val="en-GB"/>
        </w:rPr>
        <w:t xml:space="preserve">limited the extent to which the search could </w:t>
      </w:r>
      <w:r w:rsidRPr="00F75DDE">
        <w:rPr>
          <w:lang w:val="en-GB"/>
        </w:rPr>
        <w:t xml:space="preserve">be </w:t>
      </w:r>
      <w:r>
        <w:rPr>
          <w:lang w:val="en-GB"/>
        </w:rPr>
        <w:t>exhaustive with keywords.</w:t>
      </w:r>
      <w:r w:rsidRPr="00F75DDE">
        <w:rPr>
          <w:lang w:val="en-GB"/>
        </w:rPr>
        <w:t xml:space="preserve"> </w:t>
      </w:r>
      <w:r>
        <w:rPr>
          <w:lang w:val="en-GB"/>
        </w:rPr>
        <w:t>Thirdly, inter-country comparisons were not possible</w:t>
      </w:r>
      <w:r w:rsidRPr="00F75DDE">
        <w:rPr>
          <w:lang w:val="en-GB"/>
        </w:rPr>
        <w:t xml:space="preserve"> because of the lack of </w:t>
      </w:r>
      <w:r>
        <w:rPr>
          <w:lang w:val="en-GB"/>
        </w:rPr>
        <w:t>comparable</w:t>
      </w:r>
      <w:r w:rsidRPr="00F75DDE">
        <w:rPr>
          <w:lang w:val="en-GB"/>
        </w:rPr>
        <w:t xml:space="preserve"> data </w:t>
      </w:r>
      <w:r>
        <w:rPr>
          <w:lang w:val="en-GB"/>
        </w:rPr>
        <w:t>from the different nations</w:t>
      </w:r>
      <w:r w:rsidRPr="00E03227">
        <w:rPr>
          <w:lang w:val="en-GB"/>
        </w:rPr>
        <w:t>.</w:t>
      </w:r>
      <w:r>
        <w:rPr>
          <w:lang w:val="en-GB"/>
        </w:rPr>
        <w:t xml:space="preserve"> </w:t>
      </w:r>
    </w:p>
    <w:p w:rsidR="00AE7E13" w:rsidRPr="00D456F7" w:rsidRDefault="00AE7E13" w:rsidP="008C73B0">
      <w:pPr>
        <w:spacing w:line="480" w:lineRule="auto"/>
        <w:rPr>
          <w:lang w:val="en-GB"/>
        </w:rPr>
      </w:pPr>
    </w:p>
    <w:p w:rsidR="00AE7E13" w:rsidRPr="0080591E" w:rsidRDefault="00AE7E13" w:rsidP="008C73B0">
      <w:pPr>
        <w:spacing w:line="480" w:lineRule="auto"/>
        <w:rPr>
          <w:lang w:val="en-GB"/>
        </w:rPr>
      </w:pPr>
      <w:r w:rsidRPr="00E03227">
        <w:rPr>
          <w:lang w:val="en-GB"/>
        </w:rPr>
        <w:t>In</w:t>
      </w:r>
      <w:r w:rsidRPr="00F75DDE">
        <w:rPr>
          <w:lang w:val="en-GB"/>
        </w:rPr>
        <w:t xml:space="preserve"> Western paediatric neurology, acute neonatal encephalopathy, often shortened to neonatal encephalopathy (NE), </w:t>
      </w:r>
      <w:r w:rsidRPr="00F75DDE">
        <w:t xml:space="preserve">is a clinical – not aetiological – term that indicates </w:t>
      </w:r>
      <w:r>
        <w:t xml:space="preserve">a short term neonatal clinical state including </w:t>
      </w:r>
      <w:r w:rsidRPr="00F75DDE">
        <w:t>alteration of the level of consciousness.</w:t>
      </w:r>
      <w:r>
        <w:rPr>
          <w:noProof/>
        </w:rPr>
        <w:t>[35]</w:t>
      </w:r>
      <w:r w:rsidRPr="00F75DDE">
        <w:t xml:space="preserve"> Seizures</w:t>
      </w:r>
      <w:r>
        <w:t xml:space="preserve">, </w:t>
      </w:r>
      <w:r w:rsidRPr="00F75DDE">
        <w:t xml:space="preserve">abnormalities of muscle tone </w:t>
      </w:r>
      <w:r>
        <w:t xml:space="preserve">and of other aspects of the neurological examination </w:t>
      </w:r>
      <w:r w:rsidRPr="00F75DDE">
        <w:t xml:space="preserve">may be present with or without </w:t>
      </w:r>
      <w:r>
        <w:t xml:space="preserve">difficulties in </w:t>
      </w:r>
      <w:r w:rsidRPr="00F75DDE">
        <w:t>respiratory control and feeding.</w:t>
      </w:r>
      <w:r>
        <w:rPr>
          <w:noProof/>
        </w:rPr>
        <w:t>[35, 36]</w:t>
      </w:r>
      <w:r w:rsidRPr="00F75DDE">
        <w:t xml:space="preserve"> Th</w:t>
      </w:r>
      <w:r>
        <w:t xml:space="preserve">e commonest </w:t>
      </w:r>
      <w:r w:rsidRPr="00F75DDE">
        <w:t xml:space="preserve">of several </w:t>
      </w:r>
      <w:r>
        <w:t>possible</w:t>
      </w:r>
      <w:r w:rsidRPr="00F75DDE">
        <w:t xml:space="preserve"> aetiologies is hypoxic-ischaemic encephalopathy (HIE)</w:t>
      </w:r>
      <w:r>
        <w:t xml:space="preserve">, </w:t>
      </w:r>
      <w:r w:rsidRPr="00F75DDE">
        <w:t xml:space="preserve"> </w:t>
      </w:r>
      <w:r>
        <w:t xml:space="preserve">while </w:t>
      </w:r>
      <w:r w:rsidRPr="00F75DDE">
        <w:t>metabolic disorders, infections, drug exposure, stroke and congenital malformations</w:t>
      </w:r>
      <w:r w:rsidRPr="00EB6550">
        <w:t xml:space="preserve"> </w:t>
      </w:r>
      <w:r>
        <w:t xml:space="preserve">are other well-recognised </w:t>
      </w:r>
      <w:r w:rsidRPr="00F75DDE">
        <w:t>aetiologies</w:t>
      </w:r>
      <w:r w:rsidRPr="00194106">
        <w:t>.</w:t>
      </w:r>
      <w:r>
        <w:rPr>
          <w:noProof/>
        </w:rPr>
        <w:t>[35]</w:t>
      </w:r>
      <w:r>
        <w:t xml:space="preserve"> </w:t>
      </w:r>
      <w:r w:rsidRPr="00F75DDE">
        <w:rPr>
          <w:lang w:val="en-GB"/>
        </w:rPr>
        <w:t>The longer-term sequelae that may follow NE are usually denoted by different diagnostic labels</w:t>
      </w:r>
      <w:r>
        <w:rPr>
          <w:lang w:val="en-GB"/>
        </w:rPr>
        <w:t xml:space="preserve"> (e.g.</w:t>
      </w:r>
      <w:r w:rsidRPr="00F75DDE">
        <w:rPr>
          <w:lang w:val="en-GB"/>
        </w:rPr>
        <w:t>, cerebral palsy</w:t>
      </w:r>
      <w:r>
        <w:rPr>
          <w:lang w:val="en-GB"/>
        </w:rPr>
        <w:t>)</w:t>
      </w:r>
      <w:r w:rsidRPr="00F75DDE">
        <w:rPr>
          <w:lang w:val="en-GB"/>
        </w:rPr>
        <w:t>,</w:t>
      </w:r>
      <w:r>
        <w:rPr>
          <w:lang w:val="en-GB"/>
        </w:rPr>
        <w:t xml:space="preserve"> and</w:t>
      </w:r>
      <w:r w:rsidRPr="00F75DDE">
        <w:rPr>
          <w:lang w:val="en-GB"/>
        </w:rPr>
        <w:t xml:space="preserve"> the child does not continue to carry the diagnosis or the label of NE. The global incidence </w:t>
      </w:r>
      <w:r>
        <w:rPr>
          <w:lang w:val="en-GB"/>
        </w:rPr>
        <w:t>of</w:t>
      </w:r>
      <w:r w:rsidRPr="00F75DDE">
        <w:rPr>
          <w:lang w:val="en-GB"/>
        </w:rPr>
        <w:t xml:space="preserve"> (acute) NE is 8.5 per 1000</w:t>
      </w:r>
      <w:r>
        <w:rPr>
          <w:lang w:val="en-GB"/>
        </w:rPr>
        <w:t>,</w:t>
      </w:r>
      <w:r>
        <w:rPr>
          <w:noProof/>
          <w:lang w:val="en-GB"/>
        </w:rPr>
        <w:t>[36]</w:t>
      </w:r>
      <w:r w:rsidRPr="00F75DDE">
        <w:rPr>
          <w:lang w:val="en-GB"/>
        </w:rPr>
        <w:t xml:space="preserve"> </w:t>
      </w:r>
      <w:r>
        <w:rPr>
          <w:lang w:val="en-GB"/>
        </w:rPr>
        <w:t>which is much lower than the diagnostic rates for PE</w:t>
      </w:r>
      <w:r>
        <w:t xml:space="preserve"> (33 to 99%) reported in the literature identified by this review.</w:t>
      </w:r>
      <w:r>
        <w:rPr>
          <w:noProof/>
        </w:rPr>
        <w:t>[22, 23, 27, 30, 31]</w:t>
      </w:r>
      <w:r w:rsidRPr="00F75DDE">
        <w:t xml:space="preserve"> </w:t>
      </w:r>
      <w:r>
        <w:t>Because n</w:t>
      </w:r>
      <w:r w:rsidRPr="00F268DB">
        <w:rPr>
          <w:lang w:val="en-GB"/>
        </w:rPr>
        <w:t>one of these studies have population-based samples</w:t>
      </w:r>
      <w:r>
        <w:rPr>
          <w:lang w:val="en-GB"/>
        </w:rPr>
        <w:t xml:space="preserve">, these rates do not provide </w:t>
      </w:r>
      <w:r w:rsidRPr="00F268DB">
        <w:rPr>
          <w:lang w:val="en-GB"/>
        </w:rPr>
        <w:t>estimates of prevalence</w:t>
      </w:r>
      <w:r>
        <w:rPr>
          <w:lang w:val="en-GB"/>
        </w:rPr>
        <w:t xml:space="preserve">, </w:t>
      </w:r>
      <w:r w:rsidRPr="0080591E">
        <w:rPr>
          <w:lang w:val="en-GB"/>
        </w:rPr>
        <w:t>but the numbers reported give a sense of the scale of the use of PE-SIH as a diagnostic label.</w:t>
      </w:r>
      <w:r w:rsidRPr="00F75DDE">
        <w:rPr>
          <w:noProof/>
          <w:lang w:val="en-GB"/>
        </w:rPr>
        <w:t xml:space="preserve"> </w:t>
      </w:r>
      <w:r w:rsidRPr="00F75DDE">
        <w:t xml:space="preserve">Pal’chik and Shabalov have proposed five reasons related to health systems for the high prevalence of PE-SIH. These include </w:t>
      </w:r>
      <w:r>
        <w:t>diagnostic uncertainty</w:t>
      </w:r>
      <w:r w:rsidRPr="00F75DDE">
        <w:t xml:space="preserve"> </w:t>
      </w:r>
      <w:r>
        <w:t xml:space="preserve">(arising from </w:t>
      </w:r>
      <w:r w:rsidRPr="00C8029D">
        <w:t>lack of familiarity with standard neurological examinations</w:t>
      </w:r>
      <w:r>
        <w:t xml:space="preserve">, </w:t>
      </w:r>
      <w:r w:rsidRPr="00C8029D">
        <w:t>typical variations in child behaviour or</w:t>
      </w:r>
      <w:r>
        <w:t xml:space="preserve"> </w:t>
      </w:r>
      <w:r w:rsidRPr="00F75DDE">
        <w:t>development</w:t>
      </w:r>
      <w:r>
        <w:t xml:space="preserve">, and/or </w:t>
      </w:r>
      <w:r w:rsidRPr="00F75DDE">
        <w:t>classification</w:t>
      </w:r>
      <w:r>
        <w:t>s of</w:t>
      </w:r>
      <w:r w:rsidRPr="00F75DDE">
        <w:t xml:space="preserve"> neurological disorders) </w:t>
      </w:r>
      <w:r>
        <w:t>and issues</w:t>
      </w:r>
      <w:r w:rsidRPr="00F75DDE">
        <w:t xml:space="preserve"> </w:t>
      </w:r>
      <w:r>
        <w:t xml:space="preserve">related to </w:t>
      </w:r>
      <w:r w:rsidRPr="00F75DDE">
        <w:t>health systems</w:t>
      </w:r>
      <w:r>
        <w:t xml:space="preserve"> </w:t>
      </w:r>
      <w:r w:rsidRPr="00F75DDE">
        <w:t>(</w:t>
      </w:r>
      <w:r>
        <w:t xml:space="preserve">e.g., </w:t>
      </w:r>
      <w:r w:rsidRPr="00F75DDE">
        <w:t xml:space="preserve">lack of legal, administrative and ethical consequences of malpractice, justification of staffing </w:t>
      </w:r>
      <w:r>
        <w:t>levels by reference to high prevalence of diagnosed disorders</w:t>
      </w:r>
      <w:r w:rsidRPr="00F75DDE">
        <w:t>, and</w:t>
      </w:r>
      <w:r>
        <w:t>,</w:t>
      </w:r>
      <w:r w:rsidRPr="00F75DDE">
        <w:t xml:space="preserve"> in the private sector, financial benefit to physicians).</w:t>
      </w:r>
      <w:r>
        <w:rPr>
          <w:noProof/>
        </w:rPr>
        <w:t>[8]</w:t>
      </w:r>
      <w:r w:rsidRPr="00194106">
        <w:t xml:space="preserve"> </w:t>
      </w:r>
      <w:r>
        <w:rPr>
          <w:noProof/>
        </w:rPr>
        <w:t>There might be, in addition, a degree of demand from parents anxious for a diagnostic label and for the reassurance of prescribed treatment.[8, 37]</w:t>
      </w:r>
    </w:p>
    <w:p w:rsidR="00AE7E13" w:rsidRDefault="00AE7E13" w:rsidP="003665D2">
      <w:pPr>
        <w:spacing w:line="480" w:lineRule="auto"/>
      </w:pPr>
    </w:p>
    <w:p w:rsidR="00AE7E13" w:rsidRPr="00D456F7" w:rsidRDefault="00AE7E13" w:rsidP="003665D2">
      <w:pPr>
        <w:spacing w:line="480" w:lineRule="auto"/>
        <w:rPr>
          <w:lang w:val="en-GB"/>
        </w:rPr>
      </w:pPr>
      <w:r w:rsidRPr="0080591E">
        <w:rPr>
          <w:lang w:val="en-GB"/>
        </w:rPr>
        <w:t>T</w:t>
      </w:r>
      <w:r w:rsidRPr="007D5063">
        <w:rPr>
          <w:noProof/>
          <w:lang w:val="en-GB"/>
        </w:rPr>
        <w:t xml:space="preserve">he </w:t>
      </w:r>
      <w:r w:rsidRPr="0080591E">
        <w:rPr>
          <w:noProof/>
          <w:lang w:val="en-GB"/>
        </w:rPr>
        <w:t xml:space="preserve">use of diagnostic entities indicating perinatal injury to the nervous system </w:t>
      </w:r>
      <w:r w:rsidRPr="007D5063">
        <w:rPr>
          <w:noProof/>
          <w:lang w:val="en-GB"/>
        </w:rPr>
        <w:t xml:space="preserve">beyond the neonatal period </w:t>
      </w:r>
      <w:r w:rsidRPr="0080591E">
        <w:rPr>
          <w:noProof/>
          <w:lang w:val="en-GB"/>
        </w:rPr>
        <w:t>and without corroborating findings</w:t>
      </w:r>
      <w:r>
        <w:rPr>
          <w:noProof/>
          <w:lang w:val="en-GB"/>
        </w:rPr>
        <w:t xml:space="preserve"> or </w:t>
      </w:r>
      <w:r w:rsidRPr="0080591E">
        <w:rPr>
          <w:noProof/>
          <w:lang w:val="en-GB"/>
        </w:rPr>
        <w:t xml:space="preserve">investigations </w:t>
      </w:r>
      <w:r w:rsidRPr="007D5063">
        <w:rPr>
          <w:noProof/>
          <w:lang w:val="en-GB"/>
        </w:rPr>
        <w:t xml:space="preserve">has been criticised in </w:t>
      </w:r>
      <w:r w:rsidRPr="0080591E">
        <w:rPr>
          <w:noProof/>
          <w:lang w:val="en-GB"/>
        </w:rPr>
        <w:t xml:space="preserve">scientific </w:t>
      </w:r>
      <w:r w:rsidRPr="007D5063">
        <w:rPr>
          <w:noProof/>
          <w:lang w:val="en-GB"/>
        </w:rPr>
        <w:t>publications from the Russian Federation,</w:t>
      </w:r>
      <w:r>
        <w:rPr>
          <w:noProof/>
          <w:lang w:val="en-GB"/>
        </w:rPr>
        <w:t>[6, 8, 10]</w:t>
      </w:r>
      <w:r w:rsidRPr="007D5063">
        <w:rPr>
          <w:noProof/>
          <w:lang w:val="en-GB"/>
        </w:rPr>
        <w:t xml:space="preserve"> </w:t>
      </w:r>
      <w:r>
        <w:rPr>
          <w:noProof/>
          <w:lang w:val="en-GB"/>
        </w:rPr>
        <w:t xml:space="preserve">and in </w:t>
      </w:r>
      <w:r w:rsidRPr="0080591E">
        <w:rPr>
          <w:noProof/>
          <w:lang w:val="en-GB"/>
        </w:rPr>
        <w:t>popular articles written for parents in webblogs of respected physicians.</w:t>
      </w:r>
      <w:r>
        <w:rPr>
          <w:noProof/>
          <w:lang w:val="en-GB"/>
        </w:rPr>
        <w:t>[38, 39]</w:t>
      </w:r>
      <w:r w:rsidRPr="0080591E">
        <w:rPr>
          <w:noProof/>
          <w:lang w:val="en-GB"/>
        </w:rPr>
        <w:t xml:space="preserve"> Despite this, scientific articles and textbooks published </w:t>
      </w:r>
      <w:r>
        <w:rPr>
          <w:noProof/>
          <w:lang w:val="en-GB"/>
        </w:rPr>
        <w:t xml:space="preserve">from 2009 to </w:t>
      </w:r>
      <w:r w:rsidRPr="0080591E">
        <w:rPr>
          <w:noProof/>
          <w:lang w:val="en-GB"/>
        </w:rPr>
        <w:t xml:space="preserve">2017 </w:t>
      </w:r>
      <w:r>
        <w:rPr>
          <w:noProof/>
          <w:lang w:val="en-GB"/>
        </w:rPr>
        <w:t xml:space="preserve">continue to </w:t>
      </w:r>
      <w:r w:rsidRPr="0080591E">
        <w:rPr>
          <w:noProof/>
          <w:lang w:val="en-GB"/>
        </w:rPr>
        <w:t>mention that the prevalence of PE-SIH is high, attribute diagnostic value to a wide variety of nonspecific symptoms in infants diagnosed with PE-SIH based on history and ultrasonography alone, and recommend drug treatments most of which have no scientific rationale</w:t>
      </w:r>
      <w:r w:rsidRPr="007D5063">
        <w:rPr>
          <w:lang w:val="en-GB"/>
        </w:rPr>
        <w:t>.</w:t>
      </w:r>
      <w:r>
        <w:rPr>
          <w:noProof/>
          <w:lang w:val="en-GB"/>
        </w:rPr>
        <w:t>[7, 9, 13, 15, 25]</w:t>
      </w:r>
      <w:r w:rsidRPr="00F75DDE">
        <w:rPr>
          <w:lang w:val="en-GB"/>
        </w:rPr>
        <w:t xml:space="preserve"> </w:t>
      </w:r>
      <w:r>
        <w:rPr>
          <w:lang w:val="en-GB"/>
        </w:rPr>
        <w:t>Studies that have relied on cranial ultrasonography for the diagnosis of PE-SIH in infants have attributed diagnostic value to the i</w:t>
      </w:r>
      <w:r w:rsidRPr="00F75DDE">
        <w:rPr>
          <w:lang w:val="en-GB"/>
        </w:rPr>
        <w:t>ncreased dimensions</w:t>
      </w:r>
      <w:r w:rsidRPr="00F75DDE">
        <w:rPr>
          <w:spacing w:val="-34"/>
          <w:lang w:val="en-GB"/>
        </w:rPr>
        <w:t xml:space="preserve"> </w:t>
      </w:r>
      <w:r w:rsidRPr="00F75DDE">
        <w:rPr>
          <w:lang w:val="en-GB"/>
        </w:rPr>
        <w:t>of the cerebral ventricles</w:t>
      </w:r>
      <w:r>
        <w:rPr>
          <w:lang w:val="en-GB"/>
        </w:rPr>
        <w:t xml:space="preserve"> but normative </w:t>
      </w:r>
      <w:r w:rsidRPr="00F75DDE">
        <w:rPr>
          <w:lang w:val="en-GB"/>
        </w:rPr>
        <w:t>reference data</w:t>
      </w:r>
      <w:r>
        <w:rPr>
          <w:lang w:val="en-GB"/>
        </w:rPr>
        <w:t xml:space="preserve"> for these parameters are </w:t>
      </w:r>
      <w:r w:rsidRPr="00F75DDE">
        <w:rPr>
          <w:lang w:val="en-GB"/>
        </w:rPr>
        <w:t xml:space="preserve">available </w:t>
      </w:r>
      <w:r>
        <w:rPr>
          <w:lang w:val="en-GB"/>
        </w:rPr>
        <w:t xml:space="preserve">only </w:t>
      </w:r>
      <w:r w:rsidRPr="00B96483">
        <w:rPr>
          <w:lang w:val="en-GB"/>
        </w:rPr>
        <w:t>for newborns (e.g. lateral cerebral ventricular index or anterior horn</w:t>
      </w:r>
      <w:r w:rsidRPr="00B96483">
        <w:rPr>
          <w:spacing w:val="-10"/>
          <w:lang w:val="en-GB"/>
        </w:rPr>
        <w:t xml:space="preserve"> width) or are </w:t>
      </w:r>
      <w:r w:rsidRPr="00B96483">
        <w:rPr>
          <w:lang w:val="en-GB"/>
        </w:rPr>
        <w:t>entirely lacking (e.g. third ventricular or interhemispheric fissure width)</w:t>
      </w:r>
      <w:r w:rsidRPr="00B96483">
        <w:rPr>
          <w:spacing w:val="-10"/>
          <w:lang w:val="en-GB"/>
        </w:rPr>
        <w:t>.</w:t>
      </w:r>
      <w:r w:rsidRPr="00B96483">
        <w:rPr>
          <w:noProof/>
          <w:spacing w:val="-10"/>
          <w:lang w:val="en-GB"/>
        </w:rPr>
        <w:t>[40]</w:t>
      </w:r>
      <w:r w:rsidRPr="00F75DDE">
        <w:rPr>
          <w:lang w:val="en-GB"/>
        </w:rPr>
        <w:t xml:space="preserve"> </w:t>
      </w:r>
    </w:p>
    <w:p w:rsidR="00AE7E13" w:rsidRDefault="00AE7E13" w:rsidP="004D266E">
      <w:pPr>
        <w:spacing w:line="480" w:lineRule="auto"/>
        <w:rPr>
          <w:lang w:val="en-GB"/>
        </w:rPr>
      </w:pPr>
    </w:p>
    <w:p w:rsidR="00AE7E13" w:rsidRDefault="00AE7E13" w:rsidP="002D6976">
      <w:pPr>
        <w:spacing w:line="480" w:lineRule="auto"/>
        <w:rPr>
          <w:lang w:val="en-GB"/>
        </w:rPr>
      </w:pPr>
      <w:r w:rsidRPr="00F75DDE">
        <w:rPr>
          <w:lang w:val="en-GB"/>
        </w:rPr>
        <w:t xml:space="preserve">The impacts </w:t>
      </w:r>
      <w:r>
        <w:rPr>
          <w:lang w:val="en-GB"/>
        </w:rPr>
        <w:t xml:space="preserve">of the diagnostic label of </w:t>
      </w:r>
      <w:r w:rsidRPr="00F75DDE">
        <w:rPr>
          <w:lang w:val="en-GB"/>
        </w:rPr>
        <w:t xml:space="preserve">PE-SIH </w:t>
      </w:r>
      <w:r>
        <w:rPr>
          <w:lang w:val="en-GB"/>
        </w:rPr>
        <w:t xml:space="preserve">and associated drug treatments </w:t>
      </w:r>
      <w:r w:rsidRPr="00F75DDE">
        <w:rPr>
          <w:lang w:val="en-GB"/>
        </w:rPr>
        <w:t>for presumed intracranial hypertension or brain injury on children with non-specific symptoms are multiple</w:t>
      </w:r>
      <w:r>
        <w:rPr>
          <w:lang w:val="en-GB"/>
        </w:rPr>
        <w:t xml:space="preserve"> and </w:t>
      </w:r>
      <w:r w:rsidRPr="00F75DDE">
        <w:rPr>
          <w:lang w:val="en-GB"/>
        </w:rPr>
        <w:t>includ</w:t>
      </w:r>
      <w:r>
        <w:rPr>
          <w:lang w:val="en-GB"/>
        </w:rPr>
        <w:t>e</w:t>
      </w:r>
      <w:r w:rsidRPr="00F75DDE">
        <w:rPr>
          <w:lang w:val="en-GB"/>
        </w:rPr>
        <w:t xml:space="preserve"> potential adverse effects of drug treatments.</w:t>
      </w:r>
      <w:r>
        <w:rPr>
          <w:noProof/>
          <w:lang w:val="en-GB"/>
        </w:rPr>
        <w:t>[3, 4, 8, 10, 11, 37]</w:t>
      </w:r>
      <w:r w:rsidRPr="00F75DDE">
        <w:rPr>
          <w:lang w:val="en-GB"/>
        </w:rPr>
        <w:t xml:space="preserve"> Most of the </w:t>
      </w:r>
      <w:r>
        <w:rPr>
          <w:lang w:val="en-GB"/>
        </w:rPr>
        <w:t xml:space="preserve">drugs used in infants and </w:t>
      </w:r>
      <w:r w:rsidRPr="00F75DDE">
        <w:rPr>
          <w:lang w:val="en-GB"/>
        </w:rPr>
        <w:t>children diagnosed with PE</w:t>
      </w:r>
      <w:r>
        <w:rPr>
          <w:lang w:val="en-GB"/>
        </w:rPr>
        <w:t>-SIH</w:t>
      </w:r>
      <w:r w:rsidRPr="00F75DDE">
        <w:rPr>
          <w:lang w:val="en-GB"/>
        </w:rPr>
        <w:t xml:space="preserve"> are not licensed by the European Medicines Agency </w:t>
      </w:r>
      <w:r>
        <w:rPr>
          <w:lang w:val="en-GB"/>
        </w:rPr>
        <w:t>(</w:t>
      </w:r>
      <w:r w:rsidRPr="00DA3DD5">
        <w:rPr>
          <w:lang w:val="en-GB"/>
        </w:rPr>
        <w:t>www.ema.europa.eu</w:t>
      </w:r>
      <w:r>
        <w:rPr>
          <w:lang w:val="en-GB"/>
        </w:rPr>
        <w:t>)</w:t>
      </w:r>
      <w:r w:rsidRPr="00F75DDE">
        <w:rPr>
          <w:lang w:val="en-GB"/>
        </w:rPr>
        <w:t xml:space="preserve"> or the United States</w:t>
      </w:r>
      <w:r w:rsidRPr="00F75DDE">
        <w:rPr>
          <w:spacing w:val="-15"/>
          <w:lang w:val="en-GB"/>
        </w:rPr>
        <w:t xml:space="preserve"> </w:t>
      </w:r>
      <w:r w:rsidRPr="00F75DDE">
        <w:rPr>
          <w:lang w:val="en-GB"/>
        </w:rPr>
        <w:t>Food</w:t>
      </w:r>
      <w:r>
        <w:rPr>
          <w:lang w:val="en-GB"/>
        </w:rPr>
        <w:t xml:space="preserve"> </w:t>
      </w:r>
      <w:r w:rsidRPr="00F75DDE">
        <w:rPr>
          <w:lang w:val="en-GB"/>
        </w:rPr>
        <w:t>and Drug Administration</w:t>
      </w:r>
      <w:r>
        <w:rPr>
          <w:lang w:val="en-GB"/>
        </w:rPr>
        <w:t xml:space="preserve"> (www.fda.gov),</w:t>
      </w:r>
      <w:r w:rsidRPr="00F75DDE">
        <w:rPr>
          <w:lang w:val="en-GB"/>
        </w:rPr>
        <w:t xml:space="preserve"> </w:t>
      </w:r>
      <w:r w:rsidRPr="00C8029D">
        <w:rPr>
          <w:lang w:val="en-GB"/>
        </w:rPr>
        <w:t xml:space="preserve">and </w:t>
      </w:r>
      <w:r>
        <w:rPr>
          <w:lang w:val="en-GB"/>
        </w:rPr>
        <w:t xml:space="preserve">have </w:t>
      </w:r>
      <w:r w:rsidRPr="00C8029D">
        <w:rPr>
          <w:lang w:val="en-GB"/>
        </w:rPr>
        <w:t xml:space="preserve">not been </w:t>
      </w:r>
      <w:r>
        <w:rPr>
          <w:lang w:val="en-GB"/>
        </w:rPr>
        <w:t xml:space="preserve">evaluated </w:t>
      </w:r>
      <w:r w:rsidRPr="00C8029D">
        <w:rPr>
          <w:lang w:val="en-GB"/>
        </w:rPr>
        <w:t>with</w:t>
      </w:r>
      <w:r>
        <w:rPr>
          <w:lang w:val="en-GB"/>
        </w:rPr>
        <w:t xml:space="preserve"> rigorous </w:t>
      </w:r>
      <w:r w:rsidRPr="00C8029D">
        <w:rPr>
          <w:lang w:val="en-GB"/>
        </w:rPr>
        <w:t>randomised controlled trials. These</w:t>
      </w:r>
      <w:r>
        <w:rPr>
          <w:lang w:val="en-GB"/>
        </w:rPr>
        <w:t xml:space="preserve"> drugs lack</w:t>
      </w:r>
      <w:r w:rsidRPr="00F75DDE">
        <w:rPr>
          <w:lang w:val="en-GB"/>
        </w:rPr>
        <w:t xml:space="preserve"> evidence of therapeutic benefit even in the case of infants with established perinatal brain injury</w:t>
      </w:r>
      <w:r>
        <w:rPr>
          <w:lang w:val="en-GB"/>
        </w:rPr>
        <w:t>,</w:t>
      </w:r>
      <w:r>
        <w:rPr>
          <w:noProof/>
          <w:lang w:val="en-GB"/>
        </w:rPr>
        <w:t>[41-48]</w:t>
      </w:r>
      <w:r w:rsidRPr="00F75DDE">
        <w:rPr>
          <w:lang w:val="en-GB"/>
        </w:rPr>
        <w:t xml:space="preserve"> </w:t>
      </w:r>
      <w:r>
        <w:rPr>
          <w:lang w:val="en-GB"/>
        </w:rPr>
        <w:t>and some</w:t>
      </w:r>
      <w:r w:rsidRPr="00F75DDE">
        <w:rPr>
          <w:lang w:val="en-GB"/>
        </w:rPr>
        <w:t xml:space="preserve"> have well-documented unwanted effects. </w:t>
      </w:r>
    </w:p>
    <w:p w:rsidR="00AE7E13" w:rsidRDefault="00AE7E13" w:rsidP="002D6976">
      <w:pPr>
        <w:spacing w:line="480" w:lineRule="auto"/>
        <w:rPr>
          <w:lang w:val="en-GB"/>
        </w:rPr>
      </w:pPr>
    </w:p>
    <w:p w:rsidR="00AE7E13" w:rsidRPr="00C8029D" w:rsidRDefault="00AE7E13" w:rsidP="002D6976">
      <w:pPr>
        <w:spacing w:line="480" w:lineRule="auto"/>
        <w:rPr>
          <w:noProof/>
          <w:lang w:val="en-GB"/>
        </w:rPr>
      </w:pPr>
      <w:r>
        <w:rPr>
          <w:lang w:val="en-GB"/>
        </w:rPr>
        <w:t>T</w:t>
      </w:r>
      <w:r w:rsidRPr="00F75DDE">
        <w:rPr>
          <w:lang w:val="en-GB"/>
        </w:rPr>
        <w:t>he diagnosis</w:t>
      </w:r>
      <w:r w:rsidRPr="00F75DDE">
        <w:rPr>
          <w:spacing w:val="-7"/>
          <w:lang w:val="en-GB"/>
        </w:rPr>
        <w:t xml:space="preserve"> </w:t>
      </w:r>
      <w:r w:rsidRPr="00F75DDE">
        <w:rPr>
          <w:lang w:val="en-GB"/>
        </w:rPr>
        <w:t>of PE-SIH may</w:t>
      </w:r>
      <w:r>
        <w:rPr>
          <w:lang w:val="en-GB"/>
        </w:rPr>
        <w:t xml:space="preserve"> also cause harm by contributing to a failure to diagnose other disorders, for example, </w:t>
      </w:r>
      <w:r w:rsidRPr="00F75DDE">
        <w:rPr>
          <w:lang w:val="en-GB"/>
        </w:rPr>
        <w:t xml:space="preserve">autism, cerebral palsy, epilepsy, </w:t>
      </w:r>
      <w:r>
        <w:rPr>
          <w:lang w:val="en-GB"/>
        </w:rPr>
        <w:t xml:space="preserve">language delay or </w:t>
      </w:r>
      <w:r w:rsidRPr="00F75DDE">
        <w:rPr>
          <w:lang w:val="en-GB"/>
        </w:rPr>
        <w:t>hearing</w:t>
      </w:r>
      <w:r>
        <w:rPr>
          <w:lang w:val="en-GB"/>
        </w:rPr>
        <w:t>/</w:t>
      </w:r>
      <w:r w:rsidRPr="00F75DDE">
        <w:rPr>
          <w:lang w:val="en-GB"/>
        </w:rPr>
        <w:t>visual impairment</w:t>
      </w:r>
      <w:r>
        <w:rPr>
          <w:lang w:val="en-GB"/>
        </w:rPr>
        <w:t>.</w:t>
      </w:r>
      <w:r>
        <w:t xml:space="preserve"> </w:t>
      </w:r>
      <w:r w:rsidRPr="002D6976">
        <w:t xml:space="preserve">Furthermore, children with </w:t>
      </w:r>
      <w:r>
        <w:t xml:space="preserve">the diagnosis of PE-SIH may be </w:t>
      </w:r>
      <w:r w:rsidRPr="002D6976">
        <w:t xml:space="preserve">subject to </w:t>
      </w:r>
      <w:r>
        <w:t>unwarranted follow-up appointments</w:t>
      </w:r>
      <w:r w:rsidRPr="002D6976">
        <w:t xml:space="preserve">, diagnostic procedures and hospital </w:t>
      </w:r>
      <w:r>
        <w:t>admissons.</w:t>
      </w:r>
      <w:r>
        <w:rPr>
          <w:noProof/>
          <w:lang w:val="en-GB"/>
        </w:rPr>
        <w:t>[4, 8, 37]</w:t>
      </w:r>
      <w:r>
        <w:rPr>
          <w:position w:val="11"/>
          <w:lang w:val="en-GB"/>
        </w:rPr>
        <w:t xml:space="preserve"> </w:t>
      </w:r>
      <w:r w:rsidRPr="00F75DDE">
        <w:rPr>
          <w:lang w:val="en-GB"/>
        </w:rPr>
        <w:t>A less well recognised complication may be the development of the vulnerable child syndrome.</w:t>
      </w:r>
      <w:r>
        <w:rPr>
          <w:noProof/>
          <w:lang w:val="en-GB"/>
        </w:rPr>
        <w:t>[49]</w:t>
      </w:r>
      <w:r w:rsidRPr="00F75DDE">
        <w:rPr>
          <w:lang w:val="en-GB"/>
        </w:rPr>
        <w:t xml:space="preserve"> This occurs</w:t>
      </w:r>
      <w:r w:rsidRPr="00F75DDE">
        <w:rPr>
          <w:spacing w:val="6"/>
          <w:lang w:val="en-GB"/>
        </w:rPr>
        <w:t xml:space="preserve"> </w:t>
      </w:r>
      <w:r w:rsidRPr="00F75DDE">
        <w:rPr>
          <w:lang w:val="en-GB"/>
        </w:rPr>
        <w:t>in children that have been diagnosed with a possible illness early in life, leading to them</w:t>
      </w:r>
      <w:r w:rsidRPr="00F75DDE">
        <w:rPr>
          <w:spacing w:val="-12"/>
          <w:lang w:val="en-GB"/>
        </w:rPr>
        <w:t xml:space="preserve"> </w:t>
      </w:r>
      <w:r w:rsidRPr="00F75DDE">
        <w:rPr>
          <w:lang w:val="en-GB"/>
        </w:rPr>
        <w:t>being perceived by their parents as weak and vulnerable.</w:t>
      </w:r>
      <w:r>
        <w:rPr>
          <w:noProof/>
          <w:lang w:val="en-GB"/>
        </w:rPr>
        <w:t>[49]</w:t>
      </w:r>
      <w:r w:rsidRPr="00F75DDE">
        <w:rPr>
          <w:lang w:val="en-GB"/>
        </w:rPr>
        <w:t xml:space="preserve"> </w:t>
      </w:r>
      <w:r>
        <w:rPr>
          <w:lang w:val="en-GB"/>
        </w:rPr>
        <w:t>The</w:t>
      </w:r>
      <w:r w:rsidRPr="00F75DDE">
        <w:rPr>
          <w:spacing w:val="-8"/>
          <w:lang w:val="en-GB"/>
        </w:rPr>
        <w:t xml:space="preserve"> </w:t>
      </w:r>
      <w:r w:rsidRPr="00F75DDE">
        <w:rPr>
          <w:lang w:val="en-GB"/>
        </w:rPr>
        <w:t>vulnerable child syndrome is associated with separation anxiety, out-of-control behaviour,</w:t>
      </w:r>
      <w:r w:rsidRPr="00F75DDE">
        <w:rPr>
          <w:spacing w:val="-6"/>
          <w:lang w:val="en-GB"/>
        </w:rPr>
        <w:t xml:space="preserve"> </w:t>
      </w:r>
      <w:r w:rsidRPr="00F75DDE">
        <w:rPr>
          <w:lang w:val="en-GB"/>
        </w:rPr>
        <w:t>school underachievement, lowered self-esteem, and restricted physical activity in childhood</w:t>
      </w:r>
      <w:r w:rsidRPr="00F75DDE">
        <w:rPr>
          <w:spacing w:val="-8"/>
          <w:lang w:val="en-GB"/>
        </w:rPr>
        <w:t xml:space="preserve"> </w:t>
      </w:r>
      <w:r w:rsidRPr="00F75DDE">
        <w:rPr>
          <w:lang w:val="en-GB"/>
        </w:rPr>
        <w:t>and excessive use of health-care in</w:t>
      </w:r>
      <w:r w:rsidRPr="00F75DDE">
        <w:rPr>
          <w:spacing w:val="-3"/>
          <w:lang w:val="en-GB"/>
        </w:rPr>
        <w:t xml:space="preserve"> </w:t>
      </w:r>
      <w:r w:rsidRPr="00F75DDE">
        <w:rPr>
          <w:lang w:val="en-GB"/>
        </w:rPr>
        <w:t>adulthood</w:t>
      </w:r>
      <w:r w:rsidRPr="00C8029D">
        <w:rPr>
          <w:lang w:val="en-GB"/>
        </w:rPr>
        <w:t>.</w:t>
      </w:r>
      <w:r>
        <w:rPr>
          <w:noProof/>
          <w:lang w:val="en-GB"/>
        </w:rPr>
        <w:t>[49]</w:t>
      </w:r>
      <w:r w:rsidRPr="00C8029D">
        <w:rPr>
          <w:noProof/>
          <w:lang w:val="en-GB"/>
        </w:rPr>
        <w:t xml:space="preserve"> </w:t>
      </w:r>
      <w:r w:rsidRPr="00C8029D">
        <w:t xml:space="preserve">Children labelled as having PE-SIH are falsely diagnosed with a possible illness early in life, and </w:t>
      </w:r>
      <w:r w:rsidRPr="00C8029D">
        <w:rPr>
          <w:noProof/>
          <w:lang w:val="en-GB"/>
        </w:rPr>
        <w:t xml:space="preserve">the psychological effects of the diagnosis of PE-SIH such as the potential for the vulnerable child syndrome require further study. </w:t>
      </w:r>
    </w:p>
    <w:p w:rsidR="00AE7E13" w:rsidRPr="00C8029D" w:rsidRDefault="00AE7E13" w:rsidP="00124E9D">
      <w:pPr>
        <w:pStyle w:val="BodyText"/>
        <w:spacing w:line="480" w:lineRule="auto"/>
        <w:ind w:left="0" w:right="236"/>
        <w:rPr>
          <w:noProof/>
          <w:lang w:val="en-GB"/>
        </w:rPr>
      </w:pPr>
    </w:p>
    <w:p w:rsidR="00AE7E13" w:rsidRPr="00F75DDE" w:rsidRDefault="00AE7E13" w:rsidP="00C529E9">
      <w:pPr>
        <w:pStyle w:val="BodyText"/>
        <w:spacing w:line="480" w:lineRule="auto"/>
        <w:ind w:left="0" w:right="236"/>
        <w:rPr>
          <w:noProof/>
          <w:lang w:val="en-GB"/>
        </w:rPr>
      </w:pPr>
      <w:r w:rsidRPr="00C8029D">
        <w:rPr>
          <w:lang w:val="en-GB"/>
        </w:rPr>
        <w:t xml:space="preserve">There is also a public health burden resulting from </w:t>
      </w:r>
      <w:r>
        <w:rPr>
          <w:lang w:val="en-GB"/>
        </w:rPr>
        <w:t xml:space="preserve">the </w:t>
      </w:r>
      <w:r w:rsidRPr="00C8029D">
        <w:rPr>
          <w:lang w:val="en-GB"/>
        </w:rPr>
        <w:t xml:space="preserve">diagnosis </w:t>
      </w:r>
      <w:r w:rsidRPr="00C8029D">
        <w:rPr>
          <w:shd w:val="clear" w:color="auto" w:fill="FFFFFF"/>
          <w:lang w:val="en-GB"/>
        </w:rPr>
        <w:t xml:space="preserve">of PE-SIH </w:t>
      </w:r>
      <w:r w:rsidRPr="00C8029D">
        <w:rPr>
          <w:lang w:val="en-GB"/>
        </w:rPr>
        <w:t xml:space="preserve">being incorrectly cited as a contra-indication </w:t>
      </w:r>
      <w:r>
        <w:rPr>
          <w:lang w:val="en-GB"/>
        </w:rPr>
        <w:t>or</w:t>
      </w:r>
      <w:r w:rsidRPr="00C8029D">
        <w:rPr>
          <w:lang w:val="en-GB"/>
        </w:rPr>
        <w:t xml:space="preserve"> deferral of vaccination</w:t>
      </w:r>
      <w:r>
        <w:rPr>
          <w:lang w:val="en-GB"/>
        </w:rPr>
        <w:t>s</w:t>
      </w:r>
      <w:r w:rsidRPr="00C8029D">
        <w:rPr>
          <w:lang w:val="en-GB"/>
        </w:rPr>
        <w:t xml:space="preserve">. </w:t>
      </w:r>
      <w:r>
        <w:rPr>
          <w:lang w:val="en-GB"/>
        </w:rPr>
        <w:t>V</w:t>
      </w:r>
      <w:r w:rsidRPr="00C8029D">
        <w:rPr>
          <w:lang w:val="en-GB"/>
        </w:rPr>
        <w:t>accination rates have dropped as low as 50% in the Ukraine in the last decade</w:t>
      </w:r>
      <w:r>
        <w:rPr>
          <w:noProof/>
          <w:lang w:val="en-GB"/>
        </w:rPr>
        <w:t>[50]</w:t>
      </w:r>
      <w:r w:rsidRPr="00C8029D">
        <w:rPr>
          <w:lang w:val="en-GB"/>
        </w:rPr>
        <w:t xml:space="preserve"> </w:t>
      </w:r>
      <w:r>
        <w:rPr>
          <w:lang w:val="en-GB"/>
        </w:rPr>
        <w:t xml:space="preserve">and the </w:t>
      </w:r>
      <w:r w:rsidRPr="00C8029D">
        <w:rPr>
          <w:lang w:val="en-GB"/>
        </w:rPr>
        <w:t xml:space="preserve">impact of diagnoses in </w:t>
      </w:r>
      <w:r>
        <w:rPr>
          <w:lang w:val="en-GB"/>
        </w:rPr>
        <w:t xml:space="preserve">the </w:t>
      </w:r>
      <w:r w:rsidRPr="00C8029D">
        <w:rPr>
          <w:lang w:val="en-GB"/>
        </w:rPr>
        <w:t>PE-SIH spectrum on vaccine hesitancy in the region requires further</w:t>
      </w:r>
      <w:r w:rsidRPr="00C8029D">
        <w:rPr>
          <w:spacing w:val="-16"/>
          <w:lang w:val="en-GB"/>
        </w:rPr>
        <w:t xml:space="preserve"> </w:t>
      </w:r>
      <w:r w:rsidRPr="00C8029D">
        <w:rPr>
          <w:lang w:val="en-GB"/>
        </w:rPr>
        <w:t>investigation.</w:t>
      </w:r>
    </w:p>
    <w:p w:rsidR="00AE7E13" w:rsidRPr="00F75DDE" w:rsidRDefault="00AE7E13" w:rsidP="0031129C">
      <w:pPr>
        <w:pStyle w:val="BodyText"/>
        <w:spacing w:line="480" w:lineRule="auto"/>
        <w:ind w:left="0" w:right="154"/>
        <w:rPr>
          <w:noProof/>
          <w:lang w:val="en-GB"/>
        </w:rPr>
      </w:pPr>
    </w:p>
    <w:p w:rsidR="00AE7E13" w:rsidRPr="00F75DDE" w:rsidRDefault="00AE7E13" w:rsidP="00376135">
      <w:pPr>
        <w:pStyle w:val="BodyText"/>
        <w:spacing w:before="50" w:line="480" w:lineRule="auto"/>
        <w:ind w:left="0" w:right="154"/>
        <w:rPr>
          <w:lang w:val="en-GB"/>
        </w:rPr>
      </w:pPr>
      <w:r w:rsidRPr="00F75DDE">
        <w:rPr>
          <w:lang w:val="en-GB"/>
        </w:rPr>
        <w:t xml:space="preserve">The WHO, in its </w:t>
      </w:r>
      <w:r>
        <w:rPr>
          <w:lang w:val="en-GB"/>
        </w:rPr>
        <w:t xml:space="preserve">2007 </w:t>
      </w:r>
      <w:r w:rsidRPr="00F75DDE">
        <w:rPr>
          <w:lang w:val="en-GB"/>
        </w:rPr>
        <w:t xml:space="preserve">report of an inter-country technical consultation in St Petersburg on the topic of the management of neurological conditions in children acknowledged that </w:t>
      </w:r>
      <w:r>
        <w:rPr>
          <w:lang w:val="en-GB"/>
        </w:rPr>
        <w:t>‘</w:t>
      </w:r>
      <w:r w:rsidRPr="00F75DDE">
        <w:rPr>
          <w:lang w:val="en-GB"/>
        </w:rPr>
        <w:t xml:space="preserve">in many countries there have already been some encouraging improvements in the management of common neurological conditions in newborn </w:t>
      </w:r>
      <w:r w:rsidRPr="00F75DDE">
        <w:rPr>
          <w:szCs w:val="22"/>
          <w:lang w:val="en-GB"/>
        </w:rPr>
        <w:t>infants</w:t>
      </w:r>
      <w:r w:rsidRPr="00F75DDE">
        <w:rPr>
          <w:lang w:val="en-GB"/>
        </w:rPr>
        <w:t xml:space="preserve"> as a result of WHO action aimed at improving perinatal care through on-the-job training and joint revision of clinical guidelines for neonatal care</w:t>
      </w:r>
      <w:r w:rsidRPr="00F75DDE">
        <w:rPr>
          <w:szCs w:val="22"/>
          <w:lang w:val="en-GB"/>
        </w:rPr>
        <w:t>.</w:t>
      </w:r>
      <w:r>
        <w:rPr>
          <w:szCs w:val="22"/>
          <w:lang w:val="en-GB"/>
        </w:rPr>
        <w:t>’</w:t>
      </w:r>
      <w:r>
        <w:rPr>
          <w:noProof/>
          <w:szCs w:val="22"/>
          <w:lang w:val="en-GB"/>
        </w:rPr>
        <w:t>[3]</w:t>
      </w:r>
      <w:r w:rsidRPr="00F75DDE">
        <w:rPr>
          <w:noProof/>
          <w:szCs w:val="22"/>
          <w:lang w:val="en-GB"/>
        </w:rPr>
        <w:t xml:space="preserve"> </w:t>
      </w:r>
      <w:r w:rsidRPr="00F75DDE">
        <w:rPr>
          <w:lang w:val="en-GB"/>
        </w:rPr>
        <w:t>Further efforts should include pre and in-service training programmes on evidence-based medicine, current concepts of early childhood development and the Nurturing Care Framework,</w:t>
      </w:r>
      <w:r>
        <w:rPr>
          <w:noProof/>
          <w:lang w:val="en-GB"/>
        </w:rPr>
        <w:t>[51]</w:t>
      </w:r>
      <w:r w:rsidRPr="00F75DDE">
        <w:rPr>
          <w:lang w:val="en-GB"/>
        </w:rPr>
        <w:t xml:space="preserve"> and </w:t>
      </w:r>
      <w:r>
        <w:rPr>
          <w:lang w:val="en-GB"/>
        </w:rPr>
        <w:t xml:space="preserve">guidance on </w:t>
      </w:r>
      <w:r w:rsidRPr="00F75DDE">
        <w:rPr>
          <w:lang w:val="en-GB"/>
        </w:rPr>
        <w:t>how best to support families in their efforts to help children to achieve their full neuro-developmental potential.</w:t>
      </w:r>
    </w:p>
    <w:p w:rsidR="00AE7E13" w:rsidRPr="00F75DDE" w:rsidRDefault="00AE7E13" w:rsidP="00376135">
      <w:pPr>
        <w:spacing w:before="10" w:line="480" w:lineRule="auto"/>
        <w:rPr>
          <w:lang w:val="en-GB"/>
        </w:rPr>
      </w:pPr>
    </w:p>
    <w:p w:rsidR="00AE7E13" w:rsidRPr="00F75DDE" w:rsidRDefault="00AE7E13" w:rsidP="00124E9D">
      <w:pPr>
        <w:spacing w:before="7" w:line="480" w:lineRule="auto"/>
        <w:rPr>
          <w:lang w:val="en-GB"/>
        </w:rPr>
      </w:pPr>
      <w:r w:rsidRPr="00F75DDE">
        <w:rPr>
          <w:lang w:val="en-GB"/>
        </w:rPr>
        <w:t xml:space="preserve">Established practices may take time to change but more rapid changes at a national health care level are also relatively achievable in the centralised health care systems of the CIS countries. Georgia </w:t>
      </w:r>
      <w:r>
        <w:rPr>
          <w:lang w:val="en-GB"/>
        </w:rPr>
        <w:t xml:space="preserve">has </w:t>
      </w:r>
      <w:r w:rsidRPr="00F75DDE">
        <w:rPr>
          <w:lang w:val="en-GB"/>
        </w:rPr>
        <w:t>developed modern systems to address early childhood development and disability.</w:t>
      </w:r>
      <w:r>
        <w:rPr>
          <w:noProof/>
          <w:lang w:val="en-GB"/>
        </w:rPr>
        <w:t>[52]</w:t>
      </w:r>
      <w:r w:rsidRPr="00F75DDE">
        <w:rPr>
          <w:lang w:val="en-GB"/>
        </w:rPr>
        <w:t xml:space="preserve"> </w:t>
      </w:r>
      <w:r>
        <w:rPr>
          <w:lang w:val="en-GB"/>
        </w:rPr>
        <w:t xml:space="preserve">In the </w:t>
      </w:r>
      <w:r w:rsidRPr="00F75DDE">
        <w:rPr>
          <w:lang w:val="en-GB"/>
        </w:rPr>
        <w:t>Russian Federation</w:t>
      </w:r>
      <w:r>
        <w:rPr>
          <w:lang w:val="en-GB"/>
        </w:rPr>
        <w:t>, a</w:t>
      </w:r>
      <w:r w:rsidRPr="00F75DDE">
        <w:rPr>
          <w:lang w:val="en-GB"/>
        </w:rPr>
        <w:t xml:space="preserve"> recent update of a highly regarded textbook has highlighted the need</w:t>
      </w:r>
      <w:r w:rsidRPr="00F75DDE">
        <w:rPr>
          <w:spacing w:val="-14"/>
          <w:lang w:val="en-GB"/>
        </w:rPr>
        <w:t xml:space="preserve"> </w:t>
      </w:r>
      <w:r w:rsidRPr="00F75DDE">
        <w:rPr>
          <w:lang w:val="en-GB"/>
        </w:rPr>
        <w:t>to address the issue of PE-SIH</w:t>
      </w:r>
      <w:r w:rsidRPr="00D456F7">
        <w:rPr>
          <w:lang w:val="en-GB"/>
        </w:rPr>
        <w:t xml:space="preserve"> </w:t>
      </w:r>
      <w:r>
        <w:rPr>
          <w:lang w:val="en-GB"/>
        </w:rPr>
        <w:t>and p</w:t>
      </w:r>
      <w:r w:rsidRPr="00F75DDE">
        <w:rPr>
          <w:lang w:val="en-GB"/>
        </w:rPr>
        <w:t>ublic health authorities have</w:t>
      </w:r>
      <w:r w:rsidRPr="00F75DDE">
        <w:rPr>
          <w:spacing w:val="-31"/>
          <w:lang w:val="en-GB"/>
        </w:rPr>
        <w:t xml:space="preserve"> </w:t>
      </w:r>
      <w:r w:rsidRPr="00F75DDE">
        <w:rPr>
          <w:lang w:val="en-GB"/>
        </w:rPr>
        <w:t>advised clinicians that the diagnosis of PE-SIH should not in itself serve as a contraindication</w:t>
      </w:r>
      <w:r w:rsidRPr="00F75DDE">
        <w:rPr>
          <w:spacing w:val="-8"/>
          <w:lang w:val="en-GB"/>
        </w:rPr>
        <w:t xml:space="preserve"> </w:t>
      </w:r>
      <w:r w:rsidRPr="00F75DDE">
        <w:rPr>
          <w:lang w:val="en-GB"/>
        </w:rPr>
        <w:t>to vaccination.</w:t>
      </w:r>
      <w:r>
        <w:rPr>
          <w:noProof/>
          <w:lang w:val="en-GB"/>
        </w:rPr>
        <w:t>[8, 53]</w:t>
      </w:r>
      <w:r w:rsidRPr="00F75DDE">
        <w:rPr>
          <w:position w:val="11"/>
          <w:lang w:val="en-GB"/>
        </w:rPr>
        <w:t xml:space="preserve"> </w:t>
      </w:r>
      <w:r w:rsidRPr="00F75DDE">
        <w:rPr>
          <w:spacing w:val="-3"/>
          <w:lang w:val="en-GB"/>
        </w:rPr>
        <w:t xml:space="preserve">In </w:t>
      </w:r>
      <w:r w:rsidRPr="00F75DDE">
        <w:rPr>
          <w:lang w:val="en-GB"/>
        </w:rPr>
        <w:t>Azerbaijan, the ministry of health has recently advised against the</w:t>
      </w:r>
      <w:r w:rsidRPr="00F75DDE">
        <w:rPr>
          <w:spacing w:val="-30"/>
          <w:lang w:val="en-GB"/>
        </w:rPr>
        <w:t xml:space="preserve"> </w:t>
      </w:r>
      <w:r w:rsidRPr="00F75DDE">
        <w:rPr>
          <w:lang w:val="en-GB"/>
        </w:rPr>
        <w:t xml:space="preserve">diagnosis of PE-SIH because </w:t>
      </w:r>
      <w:r>
        <w:rPr>
          <w:lang w:val="en-GB"/>
        </w:rPr>
        <w:t>‘</w:t>
      </w:r>
      <w:r w:rsidRPr="00F75DDE">
        <w:rPr>
          <w:lang w:val="en-GB"/>
        </w:rPr>
        <w:t>it does not exist in the ICD system.</w:t>
      </w:r>
      <w:r>
        <w:rPr>
          <w:lang w:val="en-GB"/>
        </w:rPr>
        <w:t>’</w:t>
      </w:r>
      <w:r w:rsidRPr="00F75DDE">
        <w:rPr>
          <w:lang w:val="en-GB"/>
        </w:rPr>
        <w:t xml:space="preserve"> The</w:t>
      </w:r>
      <w:r>
        <w:rPr>
          <w:lang w:val="en-GB"/>
        </w:rPr>
        <w:t>se encouraging developments and the</w:t>
      </w:r>
      <w:r w:rsidRPr="00F75DDE">
        <w:rPr>
          <w:lang w:val="en-GB"/>
        </w:rPr>
        <w:t xml:space="preserve"> current WHO initiative of </w:t>
      </w:r>
      <w:r>
        <w:rPr>
          <w:lang w:val="en-GB"/>
        </w:rPr>
        <w:t>“</w:t>
      </w:r>
      <w:r w:rsidRPr="00F75DDE">
        <w:rPr>
          <w:lang w:val="en-GB"/>
        </w:rPr>
        <w:t>Child Health Redesign</w:t>
      </w:r>
      <w:r>
        <w:rPr>
          <w:lang w:val="en-GB"/>
        </w:rPr>
        <w:t>”</w:t>
      </w:r>
      <w:r w:rsidRPr="00F75DDE">
        <w:rPr>
          <w:lang w:val="en-GB"/>
        </w:rPr>
        <w:t xml:space="preserve"> for the</w:t>
      </w:r>
      <w:r w:rsidRPr="00F75DDE">
        <w:rPr>
          <w:spacing w:val="-15"/>
          <w:lang w:val="en-GB"/>
        </w:rPr>
        <w:t xml:space="preserve"> </w:t>
      </w:r>
      <w:r w:rsidRPr="00F75DDE">
        <w:rPr>
          <w:lang w:val="en-GB"/>
        </w:rPr>
        <w:t>40</w:t>
      </w:r>
      <w:r w:rsidRPr="00F75DDE">
        <w:rPr>
          <w:vertAlign w:val="superscript"/>
          <w:lang w:val="en-GB"/>
        </w:rPr>
        <w:t>th</w:t>
      </w:r>
      <w:r w:rsidRPr="00F75DDE">
        <w:rPr>
          <w:lang w:val="en-GB"/>
        </w:rPr>
        <w:t xml:space="preserve"> anniversary of the Alma Ata declaration provides an opportunity to </w:t>
      </w:r>
      <w:r>
        <w:rPr>
          <w:lang w:val="en-GB"/>
        </w:rPr>
        <w:t xml:space="preserve">maintain momentum, </w:t>
      </w:r>
      <w:r w:rsidRPr="00F75DDE">
        <w:rPr>
          <w:lang w:val="en-GB"/>
        </w:rPr>
        <w:t>update concepts</w:t>
      </w:r>
      <w:r w:rsidRPr="00F75DDE">
        <w:rPr>
          <w:spacing w:val="-11"/>
          <w:lang w:val="en-GB"/>
        </w:rPr>
        <w:t xml:space="preserve"> </w:t>
      </w:r>
      <w:r w:rsidRPr="00F75DDE">
        <w:rPr>
          <w:lang w:val="en-GB"/>
        </w:rPr>
        <w:t xml:space="preserve">and </w:t>
      </w:r>
      <w:r>
        <w:rPr>
          <w:lang w:val="en-GB"/>
        </w:rPr>
        <w:t>unify</w:t>
      </w:r>
      <w:r w:rsidRPr="002D6976">
        <w:rPr>
          <w:lang w:val="en-GB"/>
        </w:rPr>
        <w:t xml:space="preserve"> </w:t>
      </w:r>
      <w:r>
        <w:rPr>
          <w:lang w:val="en-GB"/>
        </w:rPr>
        <w:t xml:space="preserve">a </w:t>
      </w:r>
      <w:r w:rsidRPr="00794234">
        <w:rPr>
          <w:lang w:val="en-GB"/>
        </w:rPr>
        <w:t>conceptual framework for use by child health care</w:t>
      </w:r>
      <w:r w:rsidRPr="00794234">
        <w:rPr>
          <w:spacing w:val="-14"/>
          <w:lang w:val="en-GB"/>
        </w:rPr>
        <w:t xml:space="preserve"> </w:t>
      </w:r>
      <w:r>
        <w:rPr>
          <w:lang w:val="en-GB"/>
        </w:rPr>
        <w:t xml:space="preserve">providers </w:t>
      </w:r>
      <w:r w:rsidRPr="00794234">
        <w:rPr>
          <w:lang w:val="en-GB"/>
        </w:rPr>
        <w:t>which is based on ICD.</w:t>
      </w:r>
      <w:r>
        <w:rPr>
          <w:noProof/>
          <w:lang w:val="en-GB"/>
        </w:rPr>
        <w:t>[54]</w:t>
      </w:r>
      <w:r w:rsidRPr="00794234">
        <w:rPr>
          <w:position w:val="11"/>
          <w:lang w:val="en-GB"/>
        </w:rPr>
        <w:t xml:space="preserve"> </w:t>
      </w:r>
    </w:p>
    <w:p w:rsidR="00AE7E13" w:rsidRPr="00F75DDE" w:rsidRDefault="00AE7E13" w:rsidP="00741915">
      <w:pPr>
        <w:spacing w:before="7" w:line="480" w:lineRule="auto"/>
        <w:rPr>
          <w:b/>
          <w:lang w:val="en-GB"/>
        </w:rPr>
      </w:pPr>
    </w:p>
    <w:p w:rsidR="00AE7E13" w:rsidRPr="00F75DDE" w:rsidRDefault="00AE7E13" w:rsidP="00741915">
      <w:pPr>
        <w:spacing w:before="7" w:line="480" w:lineRule="auto"/>
        <w:rPr>
          <w:b/>
          <w:lang w:val="en-GB"/>
        </w:rPr>
      </w:pPr>
      <w:r w:rsidRPr="00F75DDE">
        <w:rPr>
          <w:b/>
          <w:lang w:val="en-GB"/>
        </w:rPr>
        <w:t>CONCLUSION</w:t>
      </w:r>
    </w:p>
    <w:p w:rsidR="00AE7E13" w:rsidRPr="00F75DDE" w:rsidRDefault="00AE7E13" w:rsidP="00741915">
      <w:pPr>
        <w:spacing w:before="7" w:line="480" w:lineRule="auto"/>
        <w:rPr>
          <w:b/>
          <w:lang w:val="en-GB"/>
        </w:rPr>
      </w:pPr>
    </w:p>
    <w:p w:rsidR="00AE7E13" w:rsidRDefault="00AE7E13" w:rsidP="00741915">
      <w:pPr>
        <w:pStyle w:val="Heading1"/>
        <w:spacing w:line="480" w:lineRule="auto"/>
        <w:ind w:left="0" w:right="154"/>
        <w:rPr>
          <w:b w:val="0"/>
          <w:lang w:val="en-GB"/>
        </w:rPr>
      </w:pPr>
      <w:r>
        <w:rPr>
          <w:b w:val="0"/>
          <w:lang w:val="en-GB"/>
        </w:rPr>
        <w:t>T</w:t>
      </w:r>
      <w:r w:rsidRPr="00F75DDE">
        <w:rPr>
          <w:b w:val="0"/>
          <w:lang w:val="en-GB"/>
        </w:rPr>
        <w:t>he diagnosis and treatment of PE-SIH is a multidimensional iatrogenic</w:t>
      </w:r>
      <w:r>
        <w:rPr>
          <w:b w:val="0"/>
          <w:lang w:val="en-GB"/>
        </w:rPr>
        <w:t>,</w:t>
      </w:r>
      <w:r w:rsidRPr="00F75DDE">
        <w:rPr>
          <w:b w:val="0"/>
          <w:lang w:val="en-GB"/>
        </w:rPr>
        <w:t xml:space="preserve"> clinical and public health </w:t>
      </w:r>
      <w:r w:rsidRPr="0073149C">
        <w:rPr>
          <w:b w:val="0"/>
          <w:lang w:val="en-GB"/>
        </w:rPr>
        <w:t>problem with negative impacts on children, families, society, and the practice</w:t>
      </w:r>
      <w:r w:rsidRPr="0073149C">
        <w:rPr>
          <w:b w:val="0"/>
          <w:spacing w:val="-9"/>
          <w:lang w:val="en-GB"/>
        </w:rPr>
        <w:t xml:space="preserve"> </w:t>
      </w:r>
      <w:r w:rsidRPr="0073149C">
        <w:rPr>
          <w:b w:val="0"/>
          <w:lang w:val="en-GB"/>
        </w:rPr>
        <w:t>of paediatrics in the CIS countries. As evidence</w:t>
      </w:r>
      <w:r w:rsidRPr="00F75DDE">
        <w:rPr>
          <w:b w:val="0"/>
          <w:lang w:val="en-GB"/>
        </w:rPr>
        <w:t xml:space="preserve">-based medicine and clinical practice guidelines are increasingly being introduced in these countries, </w:t>
      </w:r>
      <w:r>
        <w:rPr>
          <w:b w:val="0"/>
          <w:lang w:val="en-GB"/>
        </w:rPr>
        <w:t xml:space="preserve">this problem should diminish, but </w:t>
      </w:r>
      <w:r w:rsidRPr="00F75DDE">
        <w:rPr>
          <w:b w:val="0"/>
          <w:lang w:val="en-GB"/>
        </w:rPr>
        <w:t xml:space="preserve">further actions by health systems to </w:t>
      </w:r>
      <w:r>
        <w:rPr>
          <w:b w:val="0"/>
          <w:lang w:val="en-GB"/>
        </w:rPr>
        <w:t>accelerate improvements</w:t>
      </w:r>
      <w:r w:rsidRPr="00F75DDE">
        <w:rPr>
          <w:b w:val="0"/>
          <w:lang w:val="en-GB"/>
        </w:rPr>
        <w:t xml:space="preserve"> are needed.</w:t>
      </w:r>
    </w:p>
    <w:p w:rsidR="00AE7E13" w:rsidRDefault="00AE7E13" w:rsidP="00741915">
      <w:pPr>
        <w:pStyle w:val="Heading1"/>
        <w:spacing w:line="480" w:lineRule="auto"/>
        <w:ind w:left="0" w:right="154"/>
        <w:rPr>
          <w:lang w:val="en-GB"/>
        </w:rPr>
      </w:pPr>
    </w:p>
    <w:p w:rsidR="00AE7E13" w:rsidRPr="00524EB0" w:rsidRDefault="00AE7E13" w:rsidP="00741915">
      <w:pPr>
        <w:pStyle w:val="Heading1"/>
        <w:spacing w:line="480" w:lineRule="auto"/>
        <w:ind w:left="0" w:right="154"/>
        <w:rPr>
          <w:lang w:val="en-GB"/>
        </w:rPr>
      </w:pPr>
      <w:r w:rsidRPr="00524EB0">
        <w:rPr>
          <w:lang w:val="en-GB"/>
        </w:rPr>
        <w:t>What is already known?</w:t>
      </w:r>
    </w:p>
    <w:p w:rsidR="00AE7E13" w:rsidRPr="00524EB0" w:rsidRDefault="00AE7E13" w:rsidP="00197063">
      <w:pPr>
        <w:pStyle w:val="Heading1"/>
        <w:numPr>
          <w:ilvl w:val="0"/>
          <w:numId w:val="8"/>
        </w:numPr>
        <w:spacing w:line="480" w:lineRule="auto"/>
        <w:ind w:right="154"/>
        <w:rPr>
          <w:b w:val="0"/>
          <w:lang w:val="en-GB"/>
        </w:rPr>
      </w:pPr>
      <w:r>
        <w:rPr>
          <w:b w:val="0"/>
          <w:lang w:val="en-GB"/>
        </w:rPr>
        <w:t>Observations in countries and e</w:t>
      </w:r>
      <w:r w:rsidRPr="00524EB0">
        <w:rPr>
          <w:b w:val="0"/>
          <w:lang w:val="en-GB"/>
        </w:rPr>
        <w:t xml:space="preserve">xisting literature reports </w:t>
      </w:r>
      <w:r>
        <w:rPr>
          <w:b w:val="0"/>
          <w:lang w:val="en-GB"/>
        </w:rPr>
        <w:t xml:space="preserve">point to </w:t>
      </w:r>
      <w:r w:rsidRPr="00524EB0">
        <w:rPr>
          <w:b w:val="0"/>
          <w:lang w:val="en-GB"/>
        </w:rPr>
        <w:t xml:space="preserve">a high rate of </w:t>
      </w:r>
      <w:r>
        <w:rPr>
          <w:b w:val="0"/>
          <w:lang w:val="en-GB"/>
        </w:rPr>
        <w:t xml:space="preserve">poorly substantiated </w:t>
      </w:r>
      <w:r w:rsidRPr="00524EB0">
        <w:rPr>
          <w:b w:val="0"/>
          <w:lang w:val="en-GB"/>
        </w:rPr>
        <w:t xml:space="preserve">neurological diagnoses in children from the Commonwealth of Independent States </w:t>
      </w:r>
      <w:r w:rsidRPr="00524EB0">
        <w:rPr>
          <w:b w:val="0"/>
          <w:bCs w:val="0"/>
          <w:lang w:val="en-GB"/>
        </w:rPr>
        <w:t xml:space="preserve">(CIS) </w:t>
      </w:r>
      <w:r w:rsidRPr="00524EB0">
        <w:rPr>
          <w:b w:val="0"/>
          <w:lang w:val="en-GB"/>
        </w:rPr>
        <w:t>countries</w:t>
      </w:r>
      <w:r w:rsidRPr="00524EB0">
        <w:rPr>
          <w:b w:val="0"/>
          <w:bCs w:val="0"/>
          <w:lang w:val="en-GB"/>
        </w:rPr>
        <w:t>.</w:t>
      </w:r>
    </w:p>
    <w:p w:rsidR="00AE7E13" w:rsidRPr="00524EB0" w:rsidRDefault="00AE7E13" w:rsidP="00C114B3">
      <w:pPr>
        <w:pStyle w:val="Heading1"/>
        <w:numPr>
          <w:ilvl w:val="0"/>
          <w:numId w:val="8"/>
        </w:numPr>
        <w:spacing w:line="480" w:lineRule="auto"/>
        <w:ind w:right="154"/>
        <w:rPr>
          <w:b w:val="0"/>
          <w:lang w:val="en-GB"/>
        </w:rPr>
      </w:pPr>
      <w:r w:rsidRPr="00524EB0">
        <w:rPr>
          <w:b w:val="0"/>
          <w:lang w:val="en-GB"/>
        </w:rPr>
        <w:t>These diagnoses, collectively termed perinatal encephalopathy</w:t>
      </w:r>
      <w:r w:rsidRPr="00524EB0">
        <w:rPr>
          <w:b w:val="0"/>
          <w:bCs w:val="0"/>
          <w:lang w:val="en-GB"/>
        </w:rPr>
        <w:t xml:space="preserve"> and the syndrome of intracranial hypertension (PE-SIH),</w:t>
      </w:r>
      <w:r w:rsidRPr="00524EB0">
        <w:rPr>
          <w:b w:val="0"/>
          <w:lang w:val="en-GB"/>
        </w:rPr>
        <w:t xml:space="preserve"> are largely unknown and non-existent in Western medicine</w:t>
      </w:r>
      <w:r w:rsidRPr="00524EB0">
        <w:rPr>
          <w:b w:val="0"/>
          <w:bCs w:val="0"/>
          <w:lang w:val="en-GB"/>
        </w:rPr>
        <w:t>.</w:t>
      </w:r>
    </w:p>
    <w:p w:rsidR="00AE7E13" w:rsidRPr="00524EB0" w:rsidRDefault="00AE7E13" w:rsidP="003665D2">
      <w:pPr>
        <w:pStyle w:val="Heading1"/>
        <w:spacing w:line="480" w:lineRule="auto"/>
        <w:ind w:left="0" w:right="154"/>
        <w:rPr>
          <w:lang w:val="en-GB"/>
        </w:rPr>
      </w:pPr>
      <w:r w:rsidRPr="00524EB0">
        <w:rPr>
          <w:lang w:val="en-GB"/>
        </w:rPr>
        <w:t>What this review adds?</w:t>
      </w:r>
    </w:p>
    <w:p w:rsidR="00AE7E13" w:rsidRPr="00524EB0" w:rsidRDefault="00AE7E13" w:rsidP="003665D2">
      <w:pPr>
        <w:pStyle w:val="Heading1"/>
        <w:numPr>
          <w:ilvl w:val="0"/>
          <w:numId w:val="9"/>
        </w:numPr>
        <w:spacing w:line="480" w:lineRule="auto"/>
        <w:ind w:left="709" w:right="154" w:hanging="283"/>
        <w:rPr>
          <w:b w:val="0"/>
          <w:lang w:val="en-GB"/>
        </w:rPr>
      </w:pPr>
      <w:r>
        <w:rPr>
          <w:b w:val="0"/>
          <w:bCs w:val="0"/>
          <w:lang w:val="en-GB"/>
        </w:rPr>
        <w:t xml:space="preserve">The terminology used and published literature provide </w:t>
      </w:r>
      <w:r w:rsidRPr="00524EB0">
        <w:rPr>
          <w:b w:val="0"/>
          <w:bCs w:val="0"/>
          <w:lang w:val="en-GB"/>
        </w:rPr>
        <w:t xml:space="preserve">evidence </w:t>
      </w:r>
      <w:r>
        <w:rPr>
          <w:b w:val="0"/>
          <w:bCs w:val="0"/>
          <w:lang w:val="en-GB"/>
        </w:rPr>
        <w:t>that there is no substantive disease in children diagnosed with PE-SIH</w:t>
      </w:r>
      <w:r w:rsidRPr="00524EB0">
        <w:rPr>
          <w:b w:val="0"/>
          <w:bCs w:val="0"/>
          <w:lang w:val="en-GB"/>
        </w:rPr>
        <w:t xml:space="preserve">. </w:t>
      </w:r>
    </w:p>
    <w:p w:rsidR="00AE7E13" w:rsidRPr="002D6976" w:rsidRDefault="00AE7E13" w:rsidP="0080591E">
      <w:pPr>
        <w:pStyle w:val="Heading1"/>
        <w:numPr>
          <w:ilvl w:val="0"/>
          <w:numId w:val="9"/>
        </w:numPr>
        <w:spacing w:line="480" w:lineRule="auto"/>
        <w:ind w:left="709" w:right="154" w:hanging="283"/>
        <w:rPr>
          <w:lang w:val="en-GB"/>
        </w:rPr>
      </w:pPr>
      <w:r w:rsidRPr="00524EB0">
        <w:rPr>
          <w:b w:val="0"/>
          <w:lang w:val="en-GB"/>
        </w:rPr>
        <w:t xml:space="preserve">Children diagnosed with PE-SIH </w:t>
      </w:r>
      <w:r>
        <w:rPr>
          <w:b w:val="0"/>
          <w:lang w:val="en-GB"/>
        </w:rPr>
        <w:t>are</w:t>
      </w:r>
      <w:r w:rsidRPr="00524EB0">
        <w:rPr>
          <w:b w:val="0"/>
          <w:lang w:val="en-GB"/>
        </w:rPr>
        <w:t xml:space="preserve"> </w:t>
      </w:r>
      <w:r>
        <w:rPr>
          <w:b w:val="0"/>
          <w:lang w:val="en-GB"/>
        </w:rPr>
        <w:t>being</w:t>
      </w:r>
      <w:r w:rsidRPr="00524EB0">
        <w:rPr>
          <w:b w:val="0"/>
          <w:lang w:val="en-GB"/>
        </w:rPr>
        <w:t xml:space="preserve"> treated with multiple unlicensed drugs without established effectiveness and with potential for </w:t>
      </w:r>
      <w:r w:rsidRPr="00524EB0">
        <w:rPr>
          <w:b w:val="0"/>
          <w:bCs w:val="0"/>
          <w:lang w:val="en-GB"/>
        </w:rPr>
        <w:t>unwanted</w:t>
      </w:r>
      <w:r w:rsidRPr="00524EB0">
        <w:rPr>
          <w:b w:val="0"/>
          <w:lang w:val="en-GB"/>
        </w:rPr>
        <w:t xml:space="preserve"> effects.</w:t>
      </w:r>
    </w:p>
    <w:p w:rsidR="00AE7E13" w:rsidRDefault="00AE7E13">
      <w:pPr>
        <w:rPr>
          <w:b/>
          <w:bCs/>
          <w:lang w:val="en-GB"/>
        </w:rPr>
      </w:pPr>
    </w:p>
    <w:p w:rsidR="00AE7E13" w:rsidRPr="00F75DDE" w:rsidRDefault="00AE7E13" w:rsidP="00741915">
      <w:pPr>
        <w:pStyle w:val="Heading1"/>
        <w:spacing w:line="480" w:lineRule="auto"/>
        <w:ind w:left="0" w:right="154"/>
        <w:rPr>
          <w:b w:val="0"/>
          <w:lang w:val="en-GB"/>
        </w:rPr>
      </w:pPr>
      <w:r w:rsidRPr="00F75DDE">
        <w:rPr>
          <w:lang w:val="en-GB"/>
        </w:rPr>
        <w:t>Acknowledgements</w:t>
      </w:r>
    </w:p>
    <w:p w:rsidR="00AE7E13" w:rsidRPr="00F75DDE" w:rsidRDefault="00AE7E13" w:rsidP="00741915">
      <w:pPr>
        <w:pStyle w:val="Heading1"/>
        <w:spacing w:before="54" w:line="480" w:lineRule="auto"/>
        <w:ind w:left="0" w:right="154"/>
        <w:rPr>
          <w:b w:val="0"/>
          <w:lang w:val="en-GB"/>
        </w:rPr>
      </w:pPr>
      <w:r w:rsidRPr="00F75DDE">
        <w:rPr>
          <w:b w:val="0"/>
          <w:lang w:val="en-GB"/>
        </w:rPr>
        <w:t>The authors would like to acknowledge the support of Dr. Sachly Duman for her</w:t>
      </w:r>
      <w:r w:rsidRPr="00F75DDE">
        <w:rPr>
          <w:b w:val="0"/>
          <w:spacing w:val="-9"/>
          <w:lang w:val="en-GB"/>
        </w:rPr>
        <w:t xml:space="preserve"> </w:t>
      </w:r>
      <w:r w:rsidRPr="00F75DDE">
        <w:rPr>
          <w:b w:val="0"/>
          <w:lang w:val="en-GB"/>
        </w:rPr>
        <w:t>contribution to the conceptualization of the</w:t>
      </w:r>
      <w:r w:rsidRPr="00F75DDE">
        <w:rPr>
          <w:b w:val="0"/>
          <w:spacing w:val="-7"/>
          <w:lang w:val="en-GB"/>
        </w:rPr>
        <w:t xml:space="preserve"> </w:t>
      </w:r>
      <w:r w:rsidRPr="00F75DDE">
        <w:rPr>
          <w:b w:val="0"/>
          <w:lang w:val="en-GB"/>
        </w:rPr>
        <w:t>manuscript.</w:t>
      </w:r>
    </w:p>
    <w:p w:rsidR="00AE7E13" w:rsidRPr="00F75DDE" w:rsidRDefault="00AE7E13" w:rsidP="00741915">
      <w:pPr>
        <w:pStyle w:val="Heading1"/>
        <w:spacing w:before="54" w:line="480" w:lineRule="auto"/>
        <w:ind w:left="0" w:right="154"/>
        <w:rPr>
          <w:b w:val="0"/>
          <w:lang w:val="en-GB"/>
        </w:rPr>
      </w:pPr>
    </w:p>
    <w:p w:rsidR="00AE7E13" w:rsidRPr="00F75DDE" w:rsidRDefault="00AE7E13" w:rsidP="00741915">
      <w:pPr>
        <w:pStyle w:val="Heading1"/>
        <w:spacing w:before="54" w:line="480" w:lineRule="auto"/>
        <w:ind w:left="0" w:right="154"/>
        <w:rPr>
          <w:b w:val="0"/>
          <w:lang w:val="en-GB"/>
        </w:rPr>
      </w:pPr>
      <w:r w:rsidRPr="00F75DDE">
        <w:rPr>
          <w:lang w:val="en-GB"/>
        </w:rPr>
        <w:t>Contributors</w:t>
      </w:r>
    </w:p>
    <w:p w:rsidR="00AE7E13" w:rsidRPr="00F75DDE" w:rsidRDefault="00AE7E13" w:rsidP="00741915">
      <w:pPr>
        <w:pStyle w:val="BodyText"/>
        <w:spacing w:line="480" w:lineRule="auto"/>
        <w:ind w:left="0" w:right="154"/>
        <w:rPr>
          <w:lang w:val="en-GB"/>
        </w:rPr>
      </w:pPr>
      <w:r w:rsidRPr="00F75DDE">
        <w:rPr>
          <w:lang w:val="en-GB"/>
        </w:rPr>
        <w:t>RM and TS conceptualized and drafted the manuscript. RM conducted the</w:t>
      </w:r>
      <w:r w:rsidRPr="00F75DDE">
        <w:rPr>
          <w:spacing w:val="-11"/>
          <w:lang w:val="en-GB"/>
        </w:rPr>
        <w:t xml:space="preserve"> </w:t>
      </w:r>
      <w:r w:rsidRPr="00F75DDE">
        <w:rPr>
          <w:lang w:val="en-GB"/>
        </w:rPr>
        <w:t>literature search in English, and TS and RM in Azerbaijan, Russian and Ukrainian languages; CK, IOE and BF helped draft the manuscript, and tables; MWW initiated the concept of the paper, provided critical review</w:t>
      </w:r>
      <w:r w:rsidRPr="00F75DDE">
        <w:rPr>
          <w:spacing w:val="-12"/>
          <w:lang w:val="en-GB"/>
        </w:rPr>
        <w:t xml:space="preserve"> </w:t>
      </w:r>
      <w:r w:rsidRPr="00F75DDE">
        <w:rPr>
          <w:lang w:val="en-GB"/>
        </w:rPr>
        <w:t>and input into the manuscript and the tables, and contributed to the perspective of the paper</w:t>
      </w:r>
      <w:r w:rsidRPr="00F75DDE">
        <w:rPr>
          <w:spacing w:val="-9"/>
          <w:lang w:val="en-GB"/>
        </w:rPr>
        <w:t xml:space="preserve"> </w:t>
      </w:r>
      <w:r w:rsidRPr="00F75DDE">
        <w:rPr>
          <w:lang w:val="en-GB"/>
        </w:rPr>
        <w:t>in child health policy in</w:t>
      </w:r>
      <w:r w:rsidRPr="00F75DDE">
        <w:rPr>
          <w:spacing w:val="-7"/>
          <w:lang w:val="en-GB"/>
        </w:rPr>
        <w:t xml:space="preserve"> </w:t>
      </w:r>
      <w:r w:rsidRPr="00F75DDE">
        <w:rPr>
          <w:lang w:val="en-GB"/>
        </w:rPr>
        <w:t>Europe.</w:t>
      </w:r>
    </w:p>
    <w:p w:rsidR="00AE7E13" w:rsidRPr="00F75DDE" w:rsidRDefault="00AE7E13" w:rsidP="00741915">
      <w:pPr>
        <w:spacing w:before="3" w:line="480" w:lineRule="auto"/>
        <w:rPr>
          <w:lang w:val="en-GB"/>
        </w:rPr>
      </w:pPr>
    </w:p>
    <w:p w:rsidR="00AE7E13" w:rsidRPr="00F75DDE" w:rsidRDefault="00AE7E13" w:rsidP="00741915">
      <w:pPr>
        <w:pStyle w:val="Heading1"/>
        <w:spacing w:line="480" w:lineRule="auto"/>
        <w:ind w:left="0" w:right="154"/>
        <w:rPr>
          <w:b w:val="0"/>
          <w:lang w:val="en-GB"/>
        </w:rPr>
      </w:pPr>
      <w:r w:rsidRPr="00F75DDE">
        <w:rPr>
          <w:lang w:val="en-GB"/>
        </w:rPr>
        <w:t>Competing interests</w:t>
      </w:r>
    </w:p>
    <w:p w:rsidR="00AE7E13" w:rsidRPr="00F75DDE" w:rsidRDefault="00AE7E13" w:rsidP="00741915">
      <w:pPr>
        <w:pStyle w:val="BodyText"/>
        <w:spacing w:line="480" w:lineRule="auto"/>
        <w:ind w:left="0" w:right="154"/>
        <w:rPr>
          <w:lang w:val="en-GB"/>
        </w:rPr>
      </w:pPr>
      <w:r w:rsidRPr="00F75DDE">
        <w:rPr>
          <w:lang w:val="en-GB"/>
        </w:rPr>
        <w:t>Authors have no interests to declare.</w:t>
      </w:r>
    </w:p>
    <w:p w:rsidR="00AE7E13" w:rsidRPr="00D456F7" w:rsidRDefault="00AE7E13" w:rsidP="00741915">
      <w:pPr>
        <w:pStyle w:val="BodyText"/>
        <w:spacing w:line="480" w:lineRule="auto"/>
        <w:ind w:left="0" w:right="154"/>
        <w:rPr>
          <w:b/>
          <w:lang w:val="en-GB"/>
        </w:rPr>
      </w:pPr>
    </w:p>
    <w:p w:rsidR="00AE7E13" w:rsidRPr="00F75DDE" w:rsidRDefault="00AE7E13" w:rsidP="00741915">
      <w:pPr>
        <w:pStyle w:val="BodyText"/>
        <w:spacing w:line="480" w:lineRule="auto"/>
        <w:ind w:left="0" w:right="154"/>
        <w:rPr>
          <w:b/>
          <w:lang w:val="en-GB"/>
        </w:rPr>
      </w:pPr>
      <w:r w:rsidRPr="00F75DDE">
        <w:rPr>
          <w:b/>
          <w:lang w:val="en-GB"/>
        </w:rPr>
        <w:t>Funding</w:t>
      </w:r>
    </w:p>
    <w:p w:rsidR="00AE7E13" w:rsidRPr="00F75DDE" w:rsidRDefault="00AE7E13" w:rsidP="00741915">
      <w:pPr>
        <w:pStyle w:val="BodyText"/>
        <w:spacing w:line="480" w:lineRule="auto"/>
        <w:ind w:left="0" w:right="154"/>
        <w:rPr>
          <w:lang w:val="en-GB"/>
        </w:rPr>
      </w:pPr>
      <w:r w:rsidRPr="00F75DDE">
        <w:rPr>
          <w:lang w:val="en-GB"/>
        </w:rPr>
        <w:t>There was no external funding source.</w:t>
      </w:r>
    </w:p>
    <w:p w:rsidR="00AE7E13" w:rsidRPr="00F75DDE" w:rsidRDefault="00AE7E13" w:rsidP="002B5B95">
      <w:pPr>
        <w:spacing w:line="480" w:lineRule="auto"/>
        <w:rPr>
          <w:lang w:val="en-GB"/>
        </w:rPr>
        <w:sectPr w:rsidR="00AE7E13" w:rsidRPr="00F75DDE">
          <w:headerReference w:type="default" r:id="rId7"/>
          <w:footerReference w:type="even" r:id="rId8"/>
          <w:footerReference w:type="default" r:id="rId9"/>
          <w:pgSz w:w="11900" w:h="16840"/>
          <w:pgMar w:top="1417" w:right="1417" w:bottom="1417" w:left="1417" w:header="708" w:footer="708" w:gutter="0"/>
          <w:cols w:space="708"/>
          <w:docGrid w:linePitch="360"/>
        </w:sectPr>
      </w:pPr>
    </w:p>
    <w:p w:rsidR="00AE7E13" w:rsidRPr="00F75DDE" w:rsidRDefault="00AE7E13" w:rsidP="00F831A6">
      <w:pPr>
        <w:pStyle w:val="Heading1"/>
        <w:spacing w:before="54" w:line="480" w:lineRule="auto"/>
        <w:ind w:left="0" w:right="154"/>
        <w:rPr>
          <w:b w:val="0"/>
          <w:bCs w:val="0"/>
          <w:lang w:val="en-GB"/>
        </w:rPr>
      </w:pPr>
      <w:r w:rsidRPr="00F75DDE">
        <w:rPr>
          <w:lang w:val="en-GB"/>
        </w:rPr>
        <w:t>REFERENCES</w:t>
      </w:r>
    </w:p>
    <w:p w:rsidR="00AE7E13" w:rsidRPr="00F75DDE" w:rsidRDefault="00AE7E13" w:rsidP="00841574">
      <w:pPr>
        <w:pStyle w:val="ListParagraph"/>
        <w:numPr>
          <w:ilvl w:val="0"/>
          <w:numId w:val="4"/>
        </w:numPr>
        <w:spacing w:line="360" w:lineRule="auto"/>
        <w:ind w:left="709"/>
        <w:contextualSpacing/>
        <w:rPr>
          <w:lang w:val="en-GB"/>
        </w:rPr>
      </w:pPr>
      <w:r w:rsidRPr="00F75DDE">
        <w:rPr>
          <w:lang w:val="en-GB"/>
        </w:rPr>
        <w:t xml:space="preserve">Black MM, Walker SP, Fernald LCH, et al. Early childhood development coming of age: science through the life course. </w:t>
      </w:r>
      <w:r w:rsidRPr="00F75DDE">
        <w:rPr>
          <w:i/>
          <w:lang w:val="en-GB"/>
        </w:rPr>
        <w:t>Lancet</w:t>
      </w:r>
      <w:r w:rsidRPr="00F75DDE">
        <w:rPr>
          <w:lang w:val="en-GB"/>
        </w:rPr>
        <w:t xml:space="preserve"> 2017;389:77-90 </w:t>
      </w:r>
      <w:r w:rsidRPr="00F75DDE">
        <w:rPr>
          <w:shd w:val="clear" w:color="auto" w:fill="FFFFFF"/>
          <w:lang w:val="en-GB"/>
        </w:rPr>
        <w:t>doi:10.1016/S0140-6736(16)31389-7 [published online first: 4 October 2016].</w:t>
      </w:r>
    </w:p>
    <w:p w:rsidR="00AE7E13" w:rsidRPr="00F75DDE" w:rsidRDefault="00AE7E13" w:rsidP="00841574">
      <w:pPr>
        <w:pStyle w:val="ListParagraph"/>
        <w:numPr>
          <w:ilvl w:val="0"/>
          <w:numId w:val="4"/>
        </w:numPr>
        <w:spacing w:line="360" w:lineRule="auto"/>
        <w:ind w:left="709"/>
        <w:contextualSpacing/>
        <w:rPr>
          <w:lang w:val="en-GB"/>
        </w:rPr>
      </w:pPr>
      <w:r w:rsidRPr="00F75DDE">
        <w:rPr>
          <w:lang w:val="en-GB"/>
        </w:rPr>
        <w:t xml:space="preserve">Ward Platt M. Overdiagnosis and child health. </w:t>
      </w:r>
      <w:r w:rsidRPr="00F75DDE">
        <w:rPr>
          <w:i/>
          <w:lang w:val="en-GB"/>
        </w:rPr>
        <w:t>Arch Dis Child</w:t>
      </w:r>
      <w:r w:rsidRPr="00F75DDE">
        <w:rPr>
          <w:lang w:val="en-GB"/>
        </w:rPr>
        <w:t xml:space="preserve"> 2018 published online first: 11 April 2018. doi:10.1136/archdischild-2018-314847.</w:t>
      </w:r>
    </w:p>
    <w:p w:rsidR="00AE7E13" w:rsidRPr="00F75DDE" w:rsidRDefault="00AE7E13" w:rsidP="00841574">
      <w:pPr>
        <w:pStyle w:val="ListParagraph"/>
        <w:numPr>
          <w:ilvl w:val="0"/>
          <w:numId w:val="4"/>
        </w:numPr>
        <w:spacing w:line="360" w:lineRule="auto"/>
        <w:ind w:left="709"/>
        <w:contextualSpacing/>
        <w:rPr>
          <w:lang w:val="en-GB"/>
        </w:rPr>
      </w:pPr>
      <w:r w:rsidRPr="00F75DDE">
        <w:rPr>
          <w:lang w:val="en-GB"/>
        </w:rPr>
        <w:t xml:space="preserve">World Health Organization. Regional Office for Europe. Inter-country technical consultation on management of neurological conditions in children. Copenhagen: WHO Regional Office for Europe 2007. </w:t>
      </w:r>
      <w:r w:rsidRPr="00DB79F0">
        <w:rPr>
          <w:rStyle w:val="Hyperlink"/>
          <w:lang w:val="en-GB"/>
        </w:rPr>
        <w:t>http://apps.who.int/iris/bitstream/handle/10665/107875/E91092.pdf;jsessionid</w:t>
      </w:r>
      <w:r w:rsidRPr="00194106">
        <w:rPr>
          <w:rStyle w:val="Hyperlink"/>
          <w:lang w:val="en-GB"/>
        </w:rPr>
        <w:t>=08DE6508BC3F8820272283797FB14F5D?sequence=1</w:t>
      </w:r>
      <w:r w:rsidRPr="00F75DDE">
        <w:rPr>
          <w:lang w:val="en-GB"/>
        </w:rPr>
        <w:t xml:space="preserve"> (accessed 13 April, 2018).</w:t>
      </w:r>
    </w:p>
    <w:p w:rsidR="00AE7E13" w:rsidRPr="00F75DDE" w:rsidRDefault="00AE7E13" w:rsidP="00841574">
      <w:pPr>
        <w:pStyle w:val="ListParagraph"/>
        <w:numPr>
          <w:ilvl w:val="0"/>
          <w:numId w:val="4"/>
        </w:numPr>
        <w:spacing w:line="360" w:lineRule="auto"/>
        <w:ind w:left="709"/>
        <w:contextualSpacing/>
        <w:rPr>
          <w:lang w:val="en-GB"/>
        </w:rPr>
      </w:pPr>
      <w:r w:rsidRPr="00F75DDE">
        <w:rPr>
          <w:lang w:val="en-GB"/>
        </w:rPr>
        <w:t xml:space="preserve">Duke T, Keshishiyan E, Kuttumuratova A, et al. Quality of hospital care for children in Kazakhstan, Republic of Moldova, and Russia: systematic observational assessment. </w:t>
      </w:r>
      <w:r w:rsidRPr="00F75DDE">
        <w:rPr>
          <w:i/>
          <w:lang w:val="en-GB"/>
        </w:rPr>
        <w:t>Lancet</w:t>
      </w:r>
      <w:r w:rsidRPr="00F75DDE">
        <w:rPr>
          <w:lang w:val="en-GB"/>
        </w:rPr>
        <w:t xml:space="preserve"> 2006;367:919-25 doi:</w:t>
      </w:r>
      <w:r w:rsidRPr="00DB79F0">
        <w:rPr>
          <w:rStyle w:val="Hyperlink"/>
          <w:lang w:val="en-GB"/>
        </w:rPr>
        <w:t>10.1016/S0140-6736(06)68382-7.</w:t>
      </w:r>
      <w:r w:rsidRPr="00194106">
        <w:rPr>
          <w:rStyle w:val="Hyperlink"/>
          <w:lang w:val="en-GB"/>
        </w:rPr>
        <w:t xml:space="preserve"> </w:t>
      </w:r>
    </w:p>
    <w:p w:rsidR="00AE7E13" w:rsidRPr="00F75DDE" w:rsidRDefault="00AE7E13" w:rsidP="001D6E65">
      <w:pPr>
        <w:pStyle w:val="ListParagraph"/>
        <w:numPr>
          <w:ilvl w:val="0"/>
          <w:numId w:val="4"/>
        </w:numPr>
        <w:spacing w:line="360" w:lineRule="auto"/>
        <w:ind w:left="709"/>
        <w:contextualSpacing/>
        <w:rPr>
          <w:lang w:val="en-GB"/>
        </w:rPr>
      </w:pPr>
      <w:r w:rsidRPr="00F75DDE">
        <w:rPr>
          <w:lang w:val="en-GB"/>
        </w:rPr>
        <w:t xml:space="preserve">Iakunin IuA, Iampol’skaia EI, Kipnis SL, et al. O terminologii i klassifikatsii porazhenij tsentral'noj nervnoj sistemy u novorozhdennyh i grudnyh detej [Terminology and classification of lesions of the central nervous system in infants]. </w:t>
      </w:r>
      <w:r w:rsidRPr="00F75DDE">
        <w:rPr>
          <w:i/>
          <w:lang w:val="en-GB"/>
        </w:rPr>
        <w:t>Zh Nevropatol Psikhiatr Im S S Korsakova</w:t>
      </w:r>
      <w:r w:rsidRPr="00F75DDE">
        <w:rPr>
          <w:lang w:val="en-GB"/>
        </w:rPr>
        <w:t xml:space="preserve"> 1976;76:1468-74.</w:t>
      </w:r>
    </w:p>
    <w:p w:rsidR="00AE7E13" w:rsidRPr="00F75DDE" w:rsidRDefault="00AE7E13" w:rsidP="001D6E65">
      <w:pPr>
        <w:pStyle w:val="ListParagraph"/>
        <w:numPr>
          <w:ilvl w:val="0"/>
          <w:numId w:val="4"/>
        </w:numPr>
        <w:spacing w:line="360" w:lineRule="auto"/>
        <w:ind w:left="709"/>
        <w:contextualSpacing/>
        <w:rPr>
          <w:lang w:val="en-GB"/>
        </w:rPr>
      </w:pPr>
      <w:r w:rsidRPr="00DA3DD5">
        <w:rPr>
          <w:lang w:val="sv-SE"/>
        </w:rPr>
        <w:t xml:space="preserve">Burkova AS, Volodin NN, Degtiarev DN, et al. </w:t>
      </w:r>
      <w:r w:rsidRPr="00F75DDE">
        <w:rPr>
          <w:lang w:val="en-GB"/>
        </w:rPr>
        <w:t xml:space="preserve">O proekte novoj klassifikatsii posledstvij perinatal'nyh porazhenij nervnoj sistemy u detej pervogo goda zhizni [A draft of novel classification for the consequences of perinatal nervous system lesions in infants under 1 year of age]. </w:t>
      </w:r>
      <w:r w:rsidRPr="00F75DDE">
        <w:rPr>
          <w:i/>
          <w:lang w:val="en-GB"/>
        </w:rPr>
        <w:t xml:space="preserve">Zh Nevropatol Psikhiatr Im S S Korsakova </w:t>
      </w:r>
      <w:r w:rsidRPr="00F75DDE">
        <w:rPr>
          <w:lang w:val="en-GB"/>
        </w:rPr>
        <w:t>2004;104:74-77.</w:t>
      </w:r>
    </w:p>
    <w:p w:rsidR="00AE7E13" w:rsidRPr="00F75DDE" w:rsidRDefault="00AE7E13" w:rsidP="001D6E65">
      <w:pPr>
        <w:pStyle w:val="ListParagraph"/>
        <w:numPr>
          <w:ilvl w:val="0"/>
          <w:numId w:val="4"/>
        </w:numPr>
        <w:spacing w:line="360" w:lineRule="auto"/>
        <w:ind w:left="709"/>
        <w:contextualSpacing/>
        <w:rPr>
          <w:lang w:val="en-GB"/>
        </w:rPr>
      </w:pPr>
      <w:r w:rsidRPr="00F75DDE">
        <w:rPr>
          <w:lang w:val="en-GB"/>
        </w:rPr>
        <w:t>Guzeva VI (ed.). Rukovodstvo po detskoi nevrologii [Handbook of pediatric neurology]. Moscow: Medicinskoe informacionnoe agenstvo; 2009.</w:t>
      </w:r>
    </w:p>
    <w:p w:rsidR="00AE7E13" w:rsidRPr="00F75DDE" w:rsidRDefault="00AE7E13" w:rsidP="001D6E65">
      <w:pPr>
        <w:pStyle w:val="ListParagraph"/>
        <w:numPr>
          <w:ilvl w:val="0"/>
          <w:numId w:val="4"/>
        </w:numPr>
        <w:spacing w:line="360" w:lineRule="auto"/>
        <w:ind w:left="709"/>
        <w:contextualSpacing/>
        <w:rPr>
          <w:lang w:val="en-GB"/>
        </w:rPr>
      </w:pPr>
      <w:r w:rsidRPr="00F75DDE">
        <w:rPr>
          <w:lang w:val="en-GB"/>
        </w:rPr>
        <w:t>Pal'chik AB(ed), Shabalov NP. Gipoksicheski-ischemicheskaya jencefalopatiya novorozhdennyh [Hypoxic-ischaemic encephalopathy of the newborn]. 2nd ed. Moscow: MEDpress-inform; 2009.</w:t>
      </w:r>
    </w:p>
    <w:p w:rsidR="00AE7E13" w:rsidRPr="00F75DDE" w:rsidRDefault="00AE7E13" w:rsidP="001D6E65">
      <w:pPr>
        <w:pStyle w:val="ListParagraph"/>
        <w:numPr>
          <w:ilvl w:val="0"/>
          <w:numId w:val="4"/>
        </w:numPr>
        <w:spacing w:line="360" w:lineRule="auto"/>
        <w:ind w:left="709"/>
        <w:contextualSpacing/>
        <w:rPr>
          <w:lang w:val="en-GB"/>
        </w:rPr>
      </w:pPr>
      <w:r w:rsidRPr="00F75DDE">
        <w:rPr>
          <w:lang w:val="en-GB"/>
        </w:rPr>
        <w:t xml:space="preserve">Nemkova SA. Sovremennye printsipy kompleksnoj diagnostiki I reabilitatsii perinatal’nyh porazhenij nervnoj sistemy i ih posledstvij [Modern principles of integrated diagnostics and rehabilitation of perinatal lesions of the nervous system and their consequences]. </w:t>
      </w:r>
      <w:r w:rsidRPr="00F75DDE">
        <w:rPr>
          <w:i/>
          <w:lang w:val="en-GB"/>
        </w:rPr>
        <w:t>Zh Nevrol Psikhiatr Im S S Korsakova</w:t>
      </w:r>
      <w:r w:rsidRPr="00F75DDE">
        <w:rPr>
          <w:lang w:val="en-GB"/>
        </w:rPr>
        <w:t xml:space="preserve"> 2017;117(3): 40-49. 76:1468-74 doi:10.17116/jnevro20171173140-49.</w:t>
      </w:r>
    </w:p>
    <w:p w:rsidR="00AE7E13" w:rsidRPr="00F75DDE" w:rsidRDefault="00AE7E13" w:rsidP="001D6E65">
      <w:pPr>
        <w:pStyle w:val="ListParagraph"/>
        <w:numPr>
          <w:ilvl w:val="0"/>
          <w:numId w:val="4"/>
        </w:numPr>
        <w:spacing w:line="360" w:lineRule="auto"/>
        <w:ind w:left="709"/>
        <w:contextualSpacing/>
        <w:rPr>
          <w:lang w:val="en-GB"/>
        </w:rPr>
      </w:pPr>
      <w:r w:rsidRPr="00DA3DD5">
        <w:rPr>
          <w:lang w:val="sv-SE"/>
        </w:rPr>
        <w:t xml:space="preserve">Studenikin V, Schelkovskij V, Hachatryan L, et al. </w:t>
      </w:r>
      <w:r w:rsidRPr="00F75DDE">
        <w:rPr>
          <w:lang w:val="en-GB"/>
        </w:rPr>
        <w:t xml:space="preserve">O perinatal'nyh porazheniyah nervnoj sistemy i ishodah [Perinatal injuries of nervous system and outcomes]. </w:t>
      </w:r>
      <w:r w:rsidRPr="00F75DDE">
        <w:rPr>
          <w:i/>
          <w:lang w:val="en-GB"/>
        </w:rPr>
        <w:t>Praktika pediatra</w:t>
      </w:r>
      <w:r w:rsidRPr="00F75DDE">
        <w:rPr>
          <w:lang w:val="en-GB"/>
        </w:rPr>
        <w:t xml:space="preserve"> 2008;</w:t>
      </w:r>
      <w:r w:rsidRPr="00F75DDE">
        <w:rPr>
          <w:noProof/>
          <w:lang w:val="en-GB"/>
        </w:rPr>
        <w:t>4</w:t>
      </w:r>
      <w:r w:rsidRPr="00F75DDE">
        <w:rPr>
          <w:lang w:val="en-GB"/>
        </w:rPr>
        <w:t>(1). https://medi.ru/info/1986/ (accessed 13 April, 2018).</w:t>
      </w:r>
    </w:p>
    <w:p w:rsidR="00AE7E13" w:rsidRPr="00DB79F0" w:rsidRDefault="00AE7E13" w:rsidP="001D6E65">
      <w:pPr>
        <w:pStyle w:val="ListParagraph"/>
        <w:numPr>
          <w:ilvl w:val="0"/>
          <w:numId w:val="4"/>
        </w:numPr>
        <w:spacing w:line="360" w:lineRule="auto"/>
        <w:ind w:left="709"/>
        <w:contextualSpacing/>
        <w:rPr>
          <w:rStyle w:val="Hyperlink"/>
        </w:rPr>
      </w:pPr>
      <w:r w:rsidRPr="00F75DDE">
        <w:rPr>
          <w:lang w:val="en-GB"/>
        </w:rPr>
        <w:t xml:space="preserve">Chambers J. Preadoption Opportunities for Pediatric Providers. </w:t>
      </w:r>
      <w:r w:rsidRPr="00F75DDE">
        <w:rPr>
          <w:i/>
          <w:lang w:val="en-GB"/>
        </w:rPr>
        <w:t>Pediatr Clin North Am</w:t>
      </w:r>
      <w:r w:rsidRPr="00F75DDE">
        <w:rPr>
          <w:lang w:val="en-GB"/>
        </w:rPr>
        <w:t xml:space="preserve"> 2005;52:1247-69 doi:</w:t>
      </w:r>
      <w:r w:rsidRPr="00DB79F0">
        <w:rPr>
          <w:rStyle w:val="Hyperlink"/>
          <w:shd w:val="clear" w:color="auto" w:fill="FFFFFF"/>
          <w:lang w:val="en-GB"/>
        </w:rPr>
        <w:t>10.1016/j.pcl.2005.06.003.</w:t>
      </w:r>
    </w:p>
    <w:p w:rsidR="00AE7E13" w:rsidRPr="00F75DDE" w:rsidRDefault="00AE7E13" w:rsidP="001D6E65">
      <w:pPr>
        <w:pStyle w:val="ListParagraph"/>
        <w:numPr>
          <w:ilvl w:val="0"/>
          <w:numId w:val="4"/>
        </w:numPr>
        <w:spacing w:line="360" w:lineRule="auto"/>
        <w:ind w:left="709"/>
        <w:contextualSpacing/>
        <w:rPr>
          <w:lang w:val="en-GB"/>
        </w:rPr>
      </w:pPr>
      <w:r w:rsidRPr="00F75DDE">
        <w:rPr>
          <w:lang w:val="en-GB"/>
        </w:rPr>
        <w:t xml:space="preserve">Aronson J. Guidelines for interpreting pre-adoption medicals from Russia and other countries: syphilis, hepatits B and C and HIV, recommended screening tests and evaluations. </w:t>
      </w:r>
      <w:r w:rsidRPr="00F75DDE">
        <w:rPr>
          <w:i/>
          <w:lang w:val="en-GB"/>
        </w:rPr>
        <w:t>Adoption/Medical News</w:t>
      </w:r>
      <w:r w:rsidRPr="00F75DDE">
        <w:rPr>
          <w:lang w:val="en-GB"/>
        </w:rPr>
        <w:t xml:space="preserve"> 2002;</w:t>
      </w:r>
      <w:r w:rsidRPr="00F75DDE">
        <w:rPr>
          <w:noProof/>
          <w:lang w:val="en-GB"/>
        </w:rPr>
        <w:t>Oct;8(9</w:t>
      </w:r>
      <w:r w:rsidRPr="00F75DDE">
        <w:rPr>
          <w:lang w:val="en-GB"/>
        </w:rPr>
        <w:t>-</w:t>
      </w:r>
      <w:r w:rsidRPr="00F75DDE">
        <w:rPr>
          <w:noProof/>
          <w:lang w:val="en-GB"/>
        </w:rPr>
        <w:t xml:space="preserve">10). </w:t>
      </w:r>
      <w:r w:rsidRPr="00F75DDE">
        <w:rPr>
          <w:lang w:val="en-GB"/>
        </w:rPr>
        <w:t>http://www.orphandoctor.com/services/assessment/guidelines.html (accessed Apr 13, 2018).</w:t>
      </w:r>
    </w:p>
    <w:p w:rsidR="00AE7E13" w:rsidRPr="00F75DDE" w:rsidRDefault="00AE7E13" w:rsidP="001D6E65">
      <w:pPr>
        <w:pStyle w:val="ListParagraph"/>
        <w:numPr>
          <w:ilvl w:val="0"/>
          <w:numId w:val="4"/>
        </w:numPr>
        <w:spacing w:line="360" w:lineRule="auto"/>
        <w:ind w:left="709"/>
        <w:contextualSpacing/>
        <w:rPr>
          <w:lang w:val="en-GB"/>
        </w:rPr>
      </w:pPr>
      <w:r w:rsidRPr="00F75DDE">
        <w:rPr>
          <w:lang w:val="en-GB"/>
        </w:rPr>
        <w:t xml:space="preserve">Gaynetdinova DD, Musina DF. Kliniko-anamnesticheskie osobennosti sindroma povyshennogo vnutricherepnogo davleniya u detej, perenesshih cerebral'nuyu ishemiyu v neonatal'nom vozraste [Syndrome of increased intracranial pressure in children who have experienced cerebral ischemia in neonatal period]. </w:t>
      </w:r>
      <w:r w:rsidRPr="00F75DDE">
        <w:rPr>
          <w:i/>
          <w:lang w:val="en-GB"/>
        </w:rPr>
        <w:t>Vestnik sovremennoi klinicheskoi mediciny</w:t>
      </w:r>
      <w:r w:rsidRPr="00F75DDE">
        <w:rPr>
          <w:lang w:val="en-GB"/>
        </w:rPr>
        <w:t xml:space="preserve"> 2013;6:24-29.</w:t>
      </w:r>
    </w:p>
    <w:p w:rsidR="00AE7E13" w:rsidRPr="00F75DDE" w:rsidRDefault="00AE7E13" w:rsidP="0039737D">
      <w:pPr>
        <w:pStyle w:val="ListParagraph"/>
        <w:numPr>
          <w:ilvl w:val="0"/>
          <w:numId w:val="4"/>
        </w:numPr>
        <w:spacing w:line="360" w:lineRule="auto"/>
        <w:ind w:left="709"/>
        <w:contextualSpacing/>
        <w:rPr>
          <w:lang w:val="en-GB"/>
        </w:rPr>
      </w:pPr>
      <w:r w:rsidRPr="00F75DDE">
        <w:rPr>
          <w:lang w:val="en-GB"/>
        </w:rPr>
        <w:t xml:space="preserve">Miller LC, Chan W, Litvinova A, et al. Medical diagnoses and growth of children residing in Russian orphanages. </w:t>
      </w:r>
      <w:r w:rsidRPr="00F75DDE">
        <w:rPr>
          <w:i/>
          <w:lang w:val="en-GB"/>
        </w:rPr>
        <w:t>Acta Pædiatr</w:t>
      </w:r>
      <w:r w:rsidRPr="00F75DDE">
        <w:rPr>
          <w:lang w:val="en-GB"/>
        </w:rPr>
        <w:t xml:space="preserve"> 2007;96:1765-69 doi:</w:t>
      </w:r>
      <w:r w:rsidRPr="00DB79F0">
        <w:rPr>
          <w:rStyle w:val="Hyperlink"/>
          <w:lang w:val="en-GB"/>
        </w:rPr>
        <w:t>10.1111/j.1651-2227.2007.00537.x</w:t>
      </w:r>
      <w:r w:rsidRPr="00F75DDE">
        <w:rPr>
          <w:lang w:val="en-GB"/>
        </w:rPr>
        <w:t xml:space="preserve"> </w:t>
      </w:r>
      <w:r w:rsidRPr="00F75DDE">
        <w:rPr>
          <w:shd w:val="clear" w:color="auto" w:fill="FFFFFF"/>
          <w:lang w:val="en-GB"/>
        </w:rPr>
        <w:t>[published online first: 30 October 2007].</w:t>
      </w:r>
    </w:p>
    <w:p w:rsidR="00AE7E13" w:rsidRDefault="00AE7E13" w:rsidP="00BD7B12">
      <w:pPr>
        <w:pStyle w:val="ListParagraph"/>
        <w:numPr>
          <w:ilvl w:val="0"/>
          <w:numId w:val="4"/>
        </w:numPr>
        <w:spacing w:line="360" w:lineRule="auto"/>
        <w:ind w:left="709"/>
        <w:contextualSpacing/>
        <w:rPr>
          <w:lang w:val="en-GB"/>
        </w:rPr>
      </w:pPr>
      <w:r w:rsidRPr="00F75DDE">
        <w:rPr>
          <w:lang w:val="en-GB"/>
        </w:rPr>
        <w:t>Lyutaya ZA, Kusel’man AI, Chubarova SP. Perinatal’nye porazheniya central’noj nervnoj sistemy u novorozhdennyh [Perinatal injuries of the central nervous system in neonates]. Ed. Kuselman AI. Ul’yanovsk: Ul’yanovsk State University; 2016.</w:t>
      </w:r>
    </w:p>
    <w:p w:rsidR="00AE7E13" w:rsidRDefault="00AE7E13" w:rsidP="0039737D">
      <w:pPr>
        <w:pStyle w:val="ListParagraph"/>
        <w:numPr>
          <w:ilvl w:val="0"/>
          <w:numId w:val="4"/>
        </w:numPr>
        <w:spacing w:line="360" w:lineRule="auto"/>
        <w:ind w:left="709"/>
        <w:contextualSpacing/>
      </w:pPr>
      <w:r w:rsidRPr="00CD00F3">
        <w:t xml:space="preserve">Gromova LL. Gipertenzionno-gidrotsefalnij sindrom </w:t>
      </w:r>
      <w:r>
        <w:t>i</w:t>
      </w:r>
      <w:r w:rsidRPr="00CD00F3">
        <w:t xml:space="preserve"> sindrom dobrokachestvennoj vnutricherepnoj gipertenzii u detej rannego vozrasta [Hypertens</w:t>
      </w:r>
      <w:r>
        <w:t>ive</w:t>
      </w:r>
      <w:r w:rsidRPr="00CD00F3">
        <w:t>-hydrocephal</w:t>
      </w:r>
      <w:r>
        <w:t>i</w:t>
      </w:r>
      <w:r w:rsidRPr="00CD00F3">
        <w:t>c syndrome and ben</w:t>
      </w:r>
      <w:r>
        <w:t>i</w:t>
      </w:r>
      <w:r w:rsidRPr="00CD00F3">
        <w:t xml:space="preserve">gn </w:t>
      </w:r>
      <w:r>
        <w:t>i</w:t>
      </w:r>
      <w:r w:rsidRPr="00CD00F3">
        <w:t>ntracran</w:t>
      </w:r>
      <w:r>
        <w:t>i</w:t>
      </w:r>
      <w:r w:rsidRPr="00CD00F3">
        <w:t>al hypertens</w:t>
      </w:r>
      <w:r>
        <w:t>i</w:t>
      </w:r>
      <w:r w:rsidRPr="00CD00F3">
        <w:t>on syndrome in young ch</w:t>
      </w:r>
      <w:r>
        <w:t>i</w:t>
      </w:r>
      <w:r w:rsidRPr="00CD00F3">
        <w:t xml:space="preserve">ldren]. </w:t>
      </w:r>
      <w:r w:rsidRPr="00C2494E">
        <w:rPr>
          <w:i/>
          <w:iCs/>
        </w:rPr>
        <w:t>Pediatricheskij vestnik Yuzhnogo Urala</w:t>
      </w:r>
      <w:r w:rsidRPr="00CD00F3">
        <w:t xml:space="preserve"> 2013;2;65-</w:t>
      </w:r>
      <w:r>
        <w:t>7.</w:t>
      </w:r>
    </w:p>
    <w:p w:rsidR="00AE7E13" w:rsidRPr="00C2494E" w:rsidRDefault="00AE7E13" w:rsidP="0039737D">
      <w:pPr>
        <w:pStyle w:val="ListParagraph"/>
        <w:numPr>
          <w:ilvl w:val="0"/>
          <w:numId w:val="4"/>
        </w:numPr>
        <w:spacing w:line="360" w:lineRule="auto"/>
        <w:ind w:left="709"/>
        <w:contextualSpacing/>
        <w:rPr>
          <w:lang w:val="en-GB"/>
        </w:rPr>
      </w:pPr>
      <w:r w:rsidRPr="00F75DDE">
        <w:rPr>
          <w:lang w:val="en-AU"/>
        </w:rPr>
        <w:t xml:space="preserve">Matthews YY, Dean F, Lim MJ, et al. Pseudotumor cerebri syndrome in childhood: incidence, clinical profile and risk factors in a national prospective population-based cohort study. </w:t>
      </w:r>
      <w:r w:rsidRPr="00F75DDE">
        <w:rPr>
          <w:i/>
          <w:lang w:val="en-AU"/>
        </w:rPr>
        <w:t>Arch Dis Child</w:t>
      </w:r>
      <w:r w:rsidRPr="00F75DDE">
        <w:rPr>
          <w:lang w:val="en-AU"/>
        </w:rPr>
        <w:t xml:space="preserve"> 2017;102(8):715-21 </w:t>
      </w:r>
      <w:r w:rsidRPr="00F75DDE">
        <w:rPr>
          <w:color w:val="000000"/>
          <w:shd w:val="clear" w:color="auto" w:fill="FFFFFF"/>
        </w:rPr>
        <w:t xml:space="preserve">doi: 10.1136/archdischild-2016-312238. </w:t>
      </w:r>
      <w:r w:rsidRPr="00F75DDE">
        <w:rPr>
          <w:shd w:val="clear" w:color="auto" w:fill="FFFFFF"/>
          <w:lang w:val="en-GB"/>
        </w:rPr>
        <w:t>[published online first: 29 March 2017</w:t>
      </w:r>
      <w:r w:rsidRPr="00F75DDE">
        <w:rPr>
          <w:lang w:val="en-GB"/>
        </w:rPr>
        <w:t>]</w:t>
      </w:r>
      <w:r w:rsidRPr="00F75DDE">
        <w:rPr>
          <w:shd w:val="clear" w:color="auto" w:fill="FFFFFF"/>
          <w:lang w:val="en-GB"/>
        </w:rPr>
        <w:t>.</w:t>
      </w:r>
    </w:p>
    <w:p w:rsidR="00AE7E13" w:rsidRDefault="00AE7E13" w:rsidP="00AB0B1E">
      <w:pPr>
        <w:pStyle w:val="ListParagraph"/>
        <w:numPr>
          <w:ilvl w:val="0"/>
          <w:numId w:val="4"/>
        </w:numPr>
        <w:spacing w:line="360" w:lineRule="auto"/>
        <w:ind w:left="709"/>
      </w:pPr>
      <w:r w:rsidRPr="00B13C48">
        <w:t xml:space="preserve">Moher D, </w:t>
      </w:r>
      <w:r w:rsidRPr="00FC1D1B">
        <w:t>Liberati A, Tetzlaff J</w:t>
      </w:r>
      <w:r w:rsidRPr="00B13C48">
        <w:t xml:space="preserve"> et al. </w:t>
      </w:r>
      <w:r w:rsidRPr="00C21C5F">
        <w:t>Preferred</w:t>
      </w:r>
      <w:r w:rsidRPr="00B13C48">
        <w:t xml:space="preserve"> Reporting Items for Systematic Reviews and Meta-Analyses: The PRISMA Statement. </w:t>
      </w:r>
      <w:r w:rsidRPr="00FC1D1B">
        <w:t xml:space="preserve">PLoS Med </w:t>
      </w:r>
      <w:r>
        <w:t>2009;</w:t>
      </w:r>
      <w:r w:rsidRPr="00FC1D1B">
        <w:t>6(7): e1000097. doi:10.1371/journal.pmed100009</w:t>
      </w:r>
      <w:r>
        <w:t>.</w:t>
      </w:r>
    </w:p>
    <w:p w:rsidR="00AE7E13" w:rsidRPr="00C2494E" w:rsidRDefault="00AE7E13" w:rsidP="00AB0B1E">
      <w:pPr>
        <w:pStyle w:val="ListParagraph"/>
        <w:numPr>
          <w:ilvl w:val="0"/>
          <w:numId w:val="4"/>
        </w:numPr>
        <w:spacing w:line="360" w:lineRule="auto"/>
        <w:ind w:left="709"/>
        <w:contextualSpacing/>
        <w:rPr>
          <w:lang w:val="en-GB"/>
        </w:rPr>
      </w:pPr>
      <w:r w:rsidRPr="00C2494E">
        <w:rPr>
          <w:rFonts w:eastAsiaTheme="minorHAnsi"/>
        </w:rPr>
        <w:t>Bledsoe</w:t>
      </w:r>
      <w:r>
        <w:rPr>
          <w:rFonts w:eastAsiaTheme="minorHAnsi"/>
        </w:rPr>
        <w:t xml:space="preserve"> JM, </w:t>
      </w:r>
      <w:r w:rsidRPr="00C2494E">
        <w:rPr>
          <w:rFonts w:eastAsiaTheme="minorHAnsi"/>
        </w:rPr>
        <w:t>Johnston</w:t>
      </w:r>
      <w:r>
        <w:rPr>
          <w:rFonts w:eastAsiaTheme="minorHAnsi"/>
        </w:rPr>
        <w:t xml:space="preserve"> BD. </w:t>
      </w:r>
      <w:r w:rsidRPr="00C2494E">
        <w:rPr>
          <w:rFonts w:eastAsiaTheme="minorHAnsi"/>
        </w:rPr>
        <w:t>Preparing Families for International Adoption.</w:t>
      </w:r>
      <w:r>
        <w:rPr>
          <w:rFonts w:eastAsiaTheme="minorHAnsi"/>
        </w:rPr>
        <w:t xml:space="preserve"> </w:t>
      </w:r>
      <w:r w:rsidRPr="00C2494E">
        <w:rPr>
          <w:rFonts w:eastAsiaTheme="minorHAnsi"/>
          <w:i/>
          <w:iCs/>
        </w:rPr>
        <w:t>Pediatr</w:t>
      </w:r>
      <w:r>
        <w:rPr>
          <w:rFonts w:eastAsiaTheme="minorHAnsi"/>
          <w:i/>
          <w:iCs/>
        </w:rPr>
        <w:t xml:space="preserve"> </w:t>
      </w:r>
      <w:r w:rsidRPr="00C2494E">
        <w:rPr>
          <w:rFonts w:eastAsiaTheme="minorHAnsi"/>
          <w:i/>
          <w:iCs/>
        </w:rPr>
        <w:t>Rev</w:t>
      </w:r>
      <w:r w:rsidRPr="00C2494E">
        <w:rPr>
          <w:rFonts w:eastAsiaTheme="minorHAnsi"/>
        </w:rPr>
        <w:t xml:space="preserve"> </w:t>
      </w:r>
      <w:r>
        <w:rPr>
          <w:rFonts w:eastAsiaTheme="minorHAnsi"/>
        </w:rPr>
        <w:t>2004;</w:t>
      </w:r>
      <w:r w:rsidRPr="00C2494E">
        <w:rPr>
          <w:rFonts w:eastAsiaTheme="minorHAnsi"/>
        </w:rPr>
        <w:t>25(7): 242-250.</w:t>
      </w:r>
    </w:p>
    <w:p w:rsidR="00AE7E13" w:rsidRPr="00055E30" w:rsidRDefault="00AE7E13" w:rsidP="00055E30">
      <w:pPr>
        <w:pStyle w:val="ListParagraph"/>
        <w:numPr>
          <w:ilvl w:val="0"/>
          <w:numId w:val="4"/>
        </w:numPr>
        <w:spacing w:line="360" w:lineRule="auto"/>
        <w:ind w:left="709"/>
        <w:contextualSpacing/>
        <w:rPr>
          <w:lang w:val="en-GB"/>
        </w:rPr>
      </w:pPr>
      <w:r>
        <w:rPr>
          <w:lang w:val="en-GB"/>
        </w:rPr>
        <w:t xml:space="preserve">Gaynetdinova DD, Musina DF. Sindrom vnutricherepnoj gipertenzii gipoksicheskogo geneza u detej mladencheskogo vozrasta </w:t>
      </w:r>
      <w:r w:rsidRPr="00F75DDE">
        <w:rPr>
          <w:lang w:val="en-GB"/>
        </w:rPr>
        <w:t xml:space="preserve">[Syndrome of increased intracranial pressure </w:t>
      </w:r>
      <w:r>
        <w:rPr>
          <w:lang w:val="en-GB"/>
        </w:rPr>
        <w:t>of the hypoxic genesis in infants</w:t>
      </w:r>
      <w:r w:rsidRPr="00F75DDE">
        <w:rPr>
          <w:lang w:val="en-GB"/>
        </w:rPr>
        <w:t>]</w:t>
      </w:r>
      <w:r>
        <w:rPr>
          <w:lang w:val="en-GB"/>
        </w:rPr>
        <w:t xml:space="preserve">. </w:t>
      </w:r>
      <w:r w:rsidRPr="00C2494E">
        <w:rPr>
          <w:i/>
          <w:iCs/>
          <w:lang w:val="en-GB"/>
        </w:rPr>
        <w:t>Nevrologicheskij vestnik</w:t>
      </w:r>
      <w:r>
        <w:rPr>
          <w:lang w:val="en-GB"/>
        </w:rPr>
        <w:t xml:space="preserve"> 2014;46(1):12-17.</w:t>
      </w:r>
    </w:p>
    <w:p w:rsidR="00AE7E13" w:rsidRPr="00F75DDE" w:rsidRDefault="00AE7E13" w:rsidP="00DB79F0">
      <w:pPr>
        <w:pStyle w:val="ListParagraph"/>
        <w:numPr>
          <w:ilvl w:val="0"/>
          <w:numId w:val="4"/>
        </w:numPr>
        <w:spacing w:line="360" w:lineRule="auto"/>
        <w:ind w:left="709"/>
        <w:contextualSpacing/>
        <w:rPr>
          <w:lang w:val="en-GB"/>
        </w:rPr>
      </w:pPr>
      <w:r w:rsidRPr="00F75DDE">
        <w:rPr>
          <w:lang w:val="en-GB"/>
        </w:rPr>
        <w:t>Miller LC. Pre-adoption counselling and evaluation of the referral. In: Miller LC, ed. The Handbook of International Adoption Medicine: a guide for physicians, parents and providers. New York: Oxford University Press; 2005.</w:t>
      </w:r>
    </w:p>
    <w:p w:rsidR="00AE7E13" w:rsidRDefault="00AE7E13" w:rsidP="003F6817">
      <w:pPr>
        <w:pStyle w:val="ListParagraph"/>
        <w:numPr>
          <w:ilvl w:val="0"/>
          <w:numId w:val="4"/>
        </w:numPr>
        <w:spacing w:line="360" w:lineRule="auto"/>
        <w:ind w:left="709"/>
        <w:contextualSpacing/>
        <w:rPr>
          <w:lang w:val="en-GB"/>
        </w:rPr>
      </w:pPr>
      <w:r w:rsidRPr="00DA3DD5">
        <w:rPr>
          <w:lang w:val="sv-SE"/>
        </w:rPr>
        <w:t xml:space="preserve">Khaletskaia OV, Sokolova OG, Dovidenko RKh. </w:t>
      </w:r>
      <w:r w:rsidRPr="00F75DDE">
        <w:rPr>
          <w:lang w:val="en-GB"/>
        </w:rPr>
        <w:t xml:space="preserve">Sovremennyj podhod k diagnostike perinatal'nyh hipoksicheskih porazhenij nervnoj sistemyu detej pervogo goda zhizni [Modern approach to diagnosis of the nervous system perinatal hypoxic injuries children of the first year of life]. </w:t>
      </w:r>
      <w:r w:rsidRPr="00F75DDE">
        <w:rPr>
          <w:i/>
          <w:lang w:val="en-GB"/>
        </w:rPr>
        <w:t>Sovrem Tekhnologii Med</w:t>
      </w:r>
      <w:r w:rsidRPr="00F75DDE">
        <w:rPr>
          <w:lang w:val="en-GB"/>
        </w:rPr>
        <w:t xml:space="preserve"> 2009;2:46-52.</w:t>
      </w:r>
    </w:p>
    <w:p w:rsidR="00AE7E13" w:rsidRPr="00C2494E" w:rsidRDefault="00AE7E13">
      <w:pPr>
        <w:pStyle w:val="ListParagraph"/>
        <w:numPr>
          <w:ilvl w:val="0"/>
          <w:numId w:val="4"/>
        </w:numPr>
        <w:spacing w:line="360" w:lineRule="auto"/>
        <w:ind w:left="709"/>
        <w:contextualSpacing/>
        <w:rPr>
          <w:lang w:val="en-GB"/>
        </w:rPr>
      </w:pPr>
      <w:r w:rsidRPr="00B60372">
        <w:t>Tsybelova EM. Gipoksicheski-ishemicheskaya entsefalopatija donoshennih novorojdennih rozhdennih putem opertsii kesareva secheniya</w:t>
      </w:r>
      <w:r>
        <w:t xml:space="preserve"> </w:t>
      </w:r>
      <w:r w:rsidRPr="00C2494E">
        <w:t>[Hypoxic ischemic encephalopathy in full-term infants born by caesarean section</w:t>
      </w:r>
      <w:r w:rsidRPr="00B60372">
        <w:t>]</w:t>
      </w:r>
      <w:r>
        <w:t xml:space="preserve"> </w:t>
      </w:r>
      <w:r w:rsidRPr="00FC1D1B">
        <w:t>[</w:t>
      </w:r>
      <w:r>
        <w:t>dissertation on the internet</w:t>
      </w:r>
      <w:r w:rsidRPr="00FC1D1B">
        <w:t>]</w:t>
      </w:r>
      <w:r w:rsidRPr="00B60372">
        <w:t>. Irkutsk; 2009.</w:t>
      </w:r>
      <w:r>
        <w:t xml:space="preserve"> </w:t>
      </w:r>
      <w:hyperlink r:id="rId10" w:history="1">
        <w:r w:rsidRPr="003F6817">
          <w:rPr>
            <w:rStyle w:val="Hyperlink"/>
            <w:rFonts w:eastAsiaTheme="majorEastAsia"/>
          </w:rPr>
          <w:t>https://static.freereferats.ru/_avtoreferats/01004663881.pdf</w:t>
        </w:r>
      </w:hyperlink>
      <w:r>
        <w:t xml:space="preserve"> (accessed on 1 January, 2020).</w:t>
      </w:r>
    </w:p>
    <w:p w:rsidR="00AE7E13" w:rsidRPr="00C2494E" w:rsidRDefault="00AE7E13">
      <w:pPr>
        <w:pStyle w:val="ListParagraph"/>
        <w:numPr>
          <w:ilvl w:val="0"/>
          <w:numId w:val="4"/>
        </w:numPr>
        <w:spacing w:line="360" w:lineRule="auto"/>
        <w:ind w:left="709"/>
        <w:contextualSpacing/>
      </w:pPr>
      <w:r w:rsidRPr="00B60372">
        <w:t xml:space="preserve">Avdeeva TG, Ignatenko TV. Nootropy v terapii rechevyh narushenij u detej rannego vozrasta [Nootropic drugs in the treatment of speech disorders in young children]. </w:t>
      </w:r>
      <w:r w:rsidRPr="00C2494E">
        <w:rPr>
          <w:i/>
          <w:iCs/>
        </w:rPr>
        <w:t>Vestnik Smolenskoj meditsinskoj akademii</w:t>
      </w:r>
      <w:r>
        <w:t xml:space="preserve"> </w:t>
      </w:r>
      <w:r w:rsidRPr="00B60372">
        <w:t>2002;4</w:t>
      </w:r>
      <w:r>
        <w:t>:</w:t>
      </w:r>
      <w:r w:rsidRPr="00B60372">
        <w:t>39-41</w:t>
      </w:r>
      <w:r>
        <w:t>.</w:t>
      </w:r>
    </w:p>
    <w:p w:rsidR="00AE7E13" w:rsidRPr="00194106" w:rsidRDefault="00AE7E13">
      <w:pPr>
        <w:pStyle w:val="ListParagraph"/>
        <w:numPr>
          <w:ilvl w:val="0"/>
          <w:numId w:val="4"/>
        </w:numPr>
        <w:spacing w:line="360" w:lineRule="auto"/>
        <w:ind w:left="709"/>
        <w:contextualSpacing/>
      </w:pPr>
      <w:r w:rsidRPr="00CD00F3">
        <w:rPr>
          <w:lang w:val="en-GB"/>
        </w:rPr>
        <w:t>Soyuz Pediatrov Rossii. Posledstviya perinatal'nogo porazheniya tsentral'noj nervnoj sistemy s gidrotsefal'nym i gipertenzionnym sindromami [Outcomes of perinatal injury to central nervous system manifesting as hydrocephalic and hypertension syndromes ]. KP367. 2016. http://cr.rosminzdrav.ru/schema.html?id=226#/text (accessed 13 April, 201</w:t>
      </w:r>
      <w:r>
        <w:rPr>
          <w:lang w:val="en-GB"/>
        </w:rPr>
        <w:t>9</w:t>
      </w:r>
      <w:r w:rsidRPr="00CD00F3">
        <w:rPr>
          <w:lang w:val="en-GB"/>
        </w:rPr>
        <w:t>).</w:t>
      </w:r>
    </w:p>
    <w:p w:rsidR="00AE7E13" w:rsidRDefault="00AE7E13" w:rsidP="0039737D">
      <w:pPr>
        <w:pStyle w:val="ListParagraph"/>
        <w:numPr>
          <w:ilvl w:val="0"/>
          <w:numId w:val="4"/>
        </w:numPr>
        <w:spacing w:line="360" w:lineRule="auto"/>
        <w:ind w:left="709"/>
        <w:contextualSpacing/>
      </w:pPr>
      <w:r w:rsidRPr="00CD00F3">
        <w:t>Lepessova MM, Issabekova AA, Kazakenova AK et al. Ne</w:t>
      </w:r>
      <w:r>
        <w:t>y</w:t>
      </w:r>
      <w:r w:rsidRPr="00CD00F3">
        <w:t xml:space="preserve">rometabolicheskaja terapija pri zabolevanijah nervnoj sistemy u detej rannego vozrasta [Neurometabolical therapy of neurological diseases in young chıldren]. </w:t>
      </w:r>
      <w:r w:rsidRPr="00C2494E">
        <w:rPr>
          <w:i/>
          <w:iCs/>
        </w:rPr>
        <w:t>Zhurnal Almatinskogo gosudarstvennogo instituta usovershenstvovanija vrachey</w:t>
      </w:r>
      <w:r>
        <w:t>-</w:t>
      </w:r>
      <w:r w:rsidRPr="00C2494E">
        <w:rPr>
          <w:i/>
          <w:iCs/>
        </w:rPr>
        <w:t>Spetsialnij vypusk</w:t>
      </w:r>
      <w:r w:rsidRPr="00CD00F3">
        <w:t xml:space="preserve"> 2011:17-</w:t>
      </w:r>
      <w:r>
        <w:t>9.</w:t>
      </w:r>
    </w:p>
    <w:p w:rsidR="00AE7E13" w:rsidRDefault="00AE7E13" w:rsidP="0039737D">
      <w:pPr>
        <w:pStyle w:val="ListParagraph"/>
        <w:numPr>
          <w:ilvl w:val="0"/>
          <w:numId w:val="4"/>
        </w:numPr>
        <w:spacing w:line="360" w:lineRule="auto"/>
        <w:ind w:left="709"/>
        <w:contextualSpacing/>
      </w:pPr>
      <w:r w:rsidRPr="00B52A44">
        <w:t xml:space="preserve">Davydov B, Obolonskaja O, Achkasova A et al. Problemy perinatal’noy meditsiny v rabote uchastkovogo neonatologa [Problems of perinatal medicine in the work of a district neonatologist]. </w:t>
      </w:r>
      <w:r w:rsidRPr="00C2494E">
        <w:rPr>
          <w:i/>
          <w:iCs/>
        </w:rPr>
        <w:t>Mat’ i d</w:t>
      </w:r>
      <w:r>
        <w:rPr>
          <w:i/>
          <w:iCs/>
        </w:rPr>
        <w:t>i</w:t>
      </w:r>
      <w:r w:rsidRPr="00C2494E">
        <w:rPr>
          <w:i/>
          <w:iCs/>
        </w:rPr>
        <w:t>tya v Kuzbasse</w:t>
      </w:r>
      <w:r w:rsidRPr="00B52A44">
        <w:t xml:space="preserve"> 2006;1(24):19-22</w:t>
      </w:r>
    </w:p>
    <w:p w:rsidR="00AE7E13" w:rsidRPr="00F75DDE" w:rsidRDefault="00AE7E13" w:rsidP="0039737D">
      <w:pPr>
        <w:pStyle w:val="ListParagraph"/>
        <w:numPr>
          <w:ilvl w:val="0"/>
          <w:numId w:val="4"/>
        </w:numPr>
        <w:spacing w:line="360" w:lineRule="auto"/>
        <w:ind w:left="709"/>
        <w:contextualSpacing/>
        <w:rPr>
          <w:lang w:val="en-GB"/>
        </w:rPr>
      </w:pPr>
      <w:r w:rsidRPr="00F75DDE">
        <w:rPr>
          <w:lang w:val="en-GB"/>
        </w:rPr>
        <w:t xml:space="preserve">Jenista JA. Preadoption review of medical records. </w:t>
      </w:r>
      <w:r w:rsidRPr="00F75DDE">
        <w:rPr>
          <w:i/>
          <w:lang w:val="en-GB"/>
        </w:rPr>
        <w:t>Pediatr Ann</w:t>
      </w:r>
      <w:r w:rsidRPr="00F75DDE">
        <w:rPr>
          <w:lang w:val="en-GB"/>
        </w:rPr>
        <w:t xml:space="preserve"> 2000;29:212-15.</w:t>
      </w:r>
    </w:p>
    <w:p w:rsidR="00AE7E13" w:rsidRPr="00F75DDE" w:rsidRDefault="00AE7E13" w:rsidP="0039737D">
      <w:pPr>
        <w:pStyle w:val="ListParagraph"/>
        <w:numPr>
          <w:ilvl w:val="0"/>
          <w:numId w:val="4"/>
        </w:numPr>
        <w:spacing w:line="360" w:lineRule="auto"/>
        <w:ind w:left="709"/>
        <w:contextualSpacing/>
        <w:rPr>
          <w:lang w:val="en-GB"/>
        </w:rPr>
      </w:pPr>
      <w:r w:rsidRPr="00F75DDE">
        <w:rPr>
          <w:lang w:val="en-GB"/>
        </w:rPr>
        <w:t xml:space="preserve">Albers LH, Johnson DE, Hostetter MK, et al. Health of children adopted from the Former Soviet Union and Eastern Europe: Comparison with Preadoptive Medical Records. </w:t>
      </w:r>
      <w:r w:rsidRPr="00F75DDE">
        <w:rPr>
          <w:i/>
          <w:lang w:val="en-GB"/>
        </w:rPr>
        <w:t>JAMA</w:t>
      </w:r>
      <w:r w:rsidRPr="00F75DDE">
        <w:rPr>
          <w:lang w:val="en-GB"/>
        </w:rPr>
        <w:t xml:space="preserve"> 1997;278:922-24.</w:t>
      </w:r>
    </w:p>
    <w:p w:rsidR="00AE7E13" w:rsidRDefault="00AE7E13" w:rsidP="0039737D">
      <w:pPr>
        <w:pStyle w:val="ListParagraph"/>
        <w:numPr>
          <w:ilvl w:val="0"/>
          <w:numId w:val="4"/>
        </w:numPr>
        <w:spacing w:line="360" w:lineRule="auto"/>
        <w:ind w:left="709"/>
        <w:contextualSpacing/>
        <w:rPr>
          <w:lang w:val="en-GB"/>
        </w:rPr>
      </w:pPr>
      <w:r w:rsidRPr="00F75DDE">
        <w:rPr>
          <w:lang w:val="en-GB"/>
        </w:rPr>
        <w:t xml:space="preserve">Fedorov A, Salomova S. Polipragmaziya v pediatrii [Polypharmacy in pediatrics]. </w:t>
      </w:r>
      <w:r w:rsidRPr="00F75DDE">
        <w:rPr>
          <w:i/>
          <w:lang w:val="en-GB"/>
        </w:rPr>
        <w:t>Pediaricheskaya farmakologiya</w:t>
      </w:r>
      <w:r w:rsidRPr="00F75DDE">
        <w:rPr>
          <w:lang w:val="en-GB"/>
        </w:rPr>
        <w:t xml:space="preserve"> 2009;6:107-9.</w:t>
      </w:r>
    </w:p>
    <w:p w:rsidR="00AE7E13" w:rsidRPr="0039737D" w:rsidRDefault="00AE7E13" w:rsidP="00DB79F0">
      <w:pPr>
        <w:pStyle w:val="ListParagraph"/>
        <w:numPr>
          <w:ilvl w:val="0"/>
          <w:numId w:val="4"/>
        </w:numPr>
        <w:spacing w:line="360" w:lineRule="auto"/>
        <w:ind w:left="709"/>
        <w:contextualSpacing/>
        <w:rPr>
          <w:u w:val="single"/>
          <w:lang w:val="en-GB"/>
        </w:rPr>
      </w:pPr>
      <w:r w:rsidRPr="00F75DDE">
        <w:rPr>
          <w:lang w:val="en-GB"/>
        </w:rPr>
        <w:t xml:space="preserve">Tatochenko V, Fedorov A, Studenikin V, et al. O chastote diagnostiki perinatal'nogo porazheniya CNS i svyazannyh s nim lekarstvennyh nagruzkah [Frequency of perinatal CNS injury diagnosis and related overmedication]. </w:t>
      </w:r>
      <w:r w:rsidRPr="00F75DDE">
        <w:rPr>
          <w:i/>
          <w:lang w:val="en-GB"/>
        </w:rPr>
        <w:t>Meditsinskij nauchnyj i uchebno-metodicheskij zhurnal</w:t>
      </w:r>
      <w:r w:rsidRPr="00F75DDE">
        <w:rPr>
          <w:lang w:val="en-GB"/>
        </w:rPr>
        <w:t xml:space="preserve"> 2006:72-79. </w:t>
      </w:r>
    </w:p>
    <w:p w:rsidR="00AE7E13" w:rsidRPr="00B52A44" w:rsidRDefault="00AE7E13" w:rsidP="0039737D">
      <w:pPr>
        <w:pStyle w:val="ListParagraph"/>
        <w:numPr>
          <w:ilvl w:val="0"/>
          <w:numId w:val="4"/>
        </w:numPr>
        <w:spacing w:line="360" w:lineRule="auto"/>
        <w:ind w:left="709"/>
        <w:contextualSpacing/>
      </w:pPr>
      <w:r w:rsidRPr="00B52A44">
        <w:t xml:space="preserve">Yulish EI, Balychevtseva IV, Visyagin VB et al. Sostoyaniye zdorovya detej domov rebyonka [Health state of children in orphanages]. </w:t>
      </w:r>
      <w:r w:rsidRPr="00C2494E">
        <w:rPr>
          <w:i/>
          <w:iCs/>
        </w:rPr>
        <w:t>Zdorovye rebenka</w:t>
      </w:r>
      <w:r>
        <w:t xml:space="preserve"> </w:t>
      </w:r>
      <w:r w:rsidRPr="00B52A44">
        <w:t>2010;5(26):56-62</w:t>
      </w:r>
      <w:r>
        <w:t>.</w:t>
      </w:r>
    </w:p>
    <w:p w:rsidR="00AE7E13" w:rsidRDefault="00AE7E13" w:rsidP="0039737D">
      <w:pPr>
        <w:pStyle w:val="ListParagraph"/>
        <w:numPr>
          <w:ilvl w:val="0"/>
          <w:numId w:val="4"/>
        </w:numPr>
        <w:spacing w:line="360" w:lineRule="auto"/>
        <w:ind w:left="709"/>
        <w:contextualSpacing/>
      </w:pPr>
      <w:r w:rsidRPr="00CD00F3">
        <w:t xml:space="preserve">Revazova AB, Tadeeva SKh, Albegova BV. Perinatal’naja entsefalopatija u detej [Perinatal encephalopathy in children]. </w:t>
      </w:r>
      <w:r w:rsidRPr="00C2494E">
        <w:rPr>
          <w:i/>
          <w:iCs/>
        </w:rPr>
        <w:t>Zdorovje i obrazovanije v XX1 veke</w:t>
      </w:r>
      <w:r>
        <w:t xml:space="preserve"> </w:t>
      </w:r>
      <w:r w:rsidRPr="00CD00F3">
        <w:t>2008;1:167-8</w:t>
      </w:r>
      <w:r>
        <w:t>.</w:t>
      </w:r>
    </w:p>
    <w:p w:rsidR="00AE7E13" w:rsidRDefault="00AE7E13" w:rsidP="0039737D">
      <w:pPr>
        <w:pStyle w:val="ListParagraph"/>
        <w:numPr>
          <w:ilvl w:val="0"/>
          <w:numId w:val="4"/>
        </w:numPr>
        <w:spacing w:line="360" w:lineRule="auto"/>
        <w:ind w:left="709"/>
        <w:contextualSpacing/>
      </w:pPr>
      <w:r w:rsidRPr="00CD00F3">
        <w:t xml:space="preserve">Sudakova NM, Grevtseva NI, Kareva IV et al. Farmakoekonomicheskije aspekty lechenija detej s perinatal’noj entsefalopatiyej v uslovijah statsionara [Pharmacoeconomical aspects of treatment of children with perinatal encephalopathy in a hospital setting]. </w:t>
      </w:r>
      <w:r w:rsidRPr="00C2494E">
        <w:rPr>
          <w:i/>
          <w:iCs/>
        </w:rPr>
        <w:t>Pediatricheskaja farmakologiya</w:t>
      </w:r>
      <w:r>
        <w:t xml:space="preserve"> </w:t>
      </w:r>
      <w:r w:rsidRPr="00CD00F3">
        <w:t>2012;1:9-15</w:t>
      </w:r>
      <w:r>
        <w:t>.</w:t>
      </w:r>
    </w:p>
    <w:p w:rsidR="00AE7E13" w:rsidRPr="00F75DDE" w:rsidRDefault="00AE7E13" w:rsidP="0039737D">
      <w:pPr>
        <w:pStyle w:val="ListParagraph"/>
        <w:numPr>
          <w:ilvl w:val="0"/>
          <w:numId w:val="4"/>
        </w:numPr>
        <w:spacing w:line="360" w:lineRule="auto"/>
        <w:ind w:left="709"/>
        <w:contextualSpacing/>
        <w:rPr>
          <w:lang w:val="en-GB"/>
        </w:rPr>
      </w:pPr>
      <w:r w:rsidRPr="00DA3DD5">
        <w:rPr>
          <w:lang w:val="sv-SE"/>
        </w:rPr>
        <w:t xml:space="preserve">Martinez-Biarge M, de Vries LS. </w:t>
      </w:r>
      <w:r w:rsidRPr="00F75DDE">
        <w:rPr>
          <w:lang w:val="en-GB"/>
        </w:rPr>
        <w:t>Neurological diseases in the perinatal period. In: Aicardi’s diseases of the nervous system in childhood. 4</w:t>
      </w:r>
      <w:r w:rsidRPr="00194106">
        <w:rPr>
          <w:lang w:val="en-GB"/>
        </w:rPr>
        <w:t>th</w:t>
      </w:r>
      <w:r w:rsidRPr="00F75DDE">
        <w:rPr>
          <w:lang w:val="en-GB"/>
        </w:rPr>
        <w:t xml:space="preserve"> ed. London: Mac Keith Press; 2018.</w:t>
      </w:r>
    </w:p>
    <w:p w:rsidR="00AE7E13" w:rsidRPr="00F75DDE" w:rsidRDefault="00AE7E13" w:rsidP="0039737D">
      <w:pPr>
        <w:pStyle w:val="EndNoteBibliography"/>
        <w:numPr>
          <w:ilvl w:val="0"/>
          <w:numId w:val="4"/>
        </w:numPr>
        <w:spacing w:line="360" w:lineRule="auto"/>
        <w:ind w:left="709"/>
        <w:rPr>
          <w:lang w:val="en-GB"/>
        </w:rPr>
      </w:pPr>
      <w:r w:rsidRPr="00F75DDE">
        <w:rPr>
          <w:lang w:val="en-GB"/>
        </w:rPr>
        <w:t>Lee ACC, Kozuki N, Blencowe H et al. Intrapartum-related neonatal encephalopathy: incidence and impairment at regional and global levels for 2010 with trends from 1990. Pediatr Res 2013;74(Suppl:1):50-72.</w:t>
      </w:r>
    </w:p>
    <w:p w:rsidR="00AE7E13" w:rsidRPr="0039737D" w:rsidRDefault="00AE7E13" w:rsidP="00DB79F0">
      <w:pPr>
        <w:pStyle w:val="ListParagraph"/>
        <w:numPr>
          <w:ilvl w:val="0"/>
          <w:numId w:val="4"/>
        </w:numPr>
        <w:spacing w:line="360" w:lineRule="auto"/>
        <w:ind w:left="709"/>
        <w:contextualSpacing/>
        <w:rPr>
          <w:u w:val="single"/>
          <w:lang w:val="en-GB"/>
        </w:rPr>
      </w:pPr>
      <w:r w:rsidRPr="00F75DDE">
        <w:rPr>
          <w:lang w:val="en-GB"/>
        </w:rPr>
        <w:t xml:space="preserve">Rechel B, Kennedy C, McKee M, et al. The Soviet legacy in diagnosis and treatment: Implications for population health. </w:t>
      </w:r>
      <w:r w:rsidRPr="00F75DDE">
        <w:rPr>
          <w:i/>
          <w:lang w:val="en-GB"/>
        </w:rPr>
        <w:t>J Public Health Policy</w:t>
      </w:r>
      <w:r w:rsidRPr="00F75DDE">
        <w:rPr>
          <w:lang w:val="en-GB"/>
        </w:rPr>
        <w:t xml:space="preserve"> 2011;32:293-304 </w:t>
      </w:r>
      <w:r w:rsidRPr="00F75DDE">
        <w:rPr>
          <w:shd w:val="clear" w:color="auto" w:fill="FFFFFF"/>
          <w:lang w:val="en-GB"/>
        </w:rPr>
        <w:t>doi: 10.1057/jphp.2011.18 [published online first: 12 May, 2011].</w:t>
      </w:r>
    </w:p>
    <w:p w:rsidR="00AE7E13" w:rsidRPr="00F75DDE" w:rsidRDefault="00AE7E13" w:rsidP="00CE2581">
      <w:pPr>
        <w:pStyle w:val="ListParagraph"/>
        <w:numPr>
          <w:ilvl w:val="0"/>
          <w:numId w:val="4"/>
        </w:numPr>
        <w:spacing w:line="360" w:lineRule="auto"/>
        <w:ind w:left="709"/>
        <w:contextualSpacing/>
        <w:rPr>
          <w:lang w:val="en-GB"/>
        </w:rPr>
      </w:pPr>
      <w:r>
        <w:rPr>
          <w:shd w:val="clear" w:color="auto" w:fill="FFFFFF"/>
          <w:lang w:val="en-GB"/>
        </w:rPr>
        <w:t xml:space="preserve">Komarovskij EO. Perinatal’naya jencefalopatiya </w:t>
      </w:r>
      <w:r w:rsidRPr="00F75DDE">
        <w:rPr>
          <w:shd w:val="clear" w:color="auto" w:fill="FFFFFF"/>
          <w:lang w:val="en-GB"/>
        </w:rPr>
        <w:t>[</w:t>
      </w:r>
      <w:r>
        <w:rPr>
          <w:shd w:val="clear" w:color="auto" w:fill="FFFFFF"/>
          <w:lang w:val="en-GB"/>
        </w:rPr>
        <w:t>Perinatal encephalopathy</w:t>
      </w:r>
      <w:r w:rsidRPr="00F75DDE">
        <w:rPr>
          <w:shd w:val="clear" w:color="auto" w:fill="FFFFFF"/>
          <w:lang w:val="en-GB"/>
        </w:rPr>
        <w:t>].</w:t>
      </w:r>
      <w:r>
        <w:rPr>
          <w:rStyle w:val="Hyperlink"/>
          <w:lang w:val="en-GB"/>
        </w:rPr>
        <w:t xml:space="preserve"> </w:t>
      </w:r>
      <w:r w:rsidRPr="00CE2581">
        <w:rPr>
          <w:rStyle w:val="Hyperlink"/>
          <w:lang w:val="en-GB"/>
        </w:rPr>
        <w:t>https://komarovskiy.net/articles/perinatalnaya-encefalopatiya.html</w:t>
      </w:r>
      <w:r w:rsidRPr="00BD62BB">
        <w:rPr>
          <w:rStyle w:val="Hyperlink"/>
          <w:lang w:val="en-GB"/>
        </w:rPr>
        <w:t xml:space="preserve"> </w:t>
      </w:r>
      <w:r w:rsidRPr="00F75DDE">
        <w:rPr>
          <w:noProof/>
          <w:lang w:val="en-GB"/>
        </w:rPr>
        <w:t xml:space="preserve">(accessed </w:t>
      </w:r>
      <w:r>
        <w:rPr>
          <w:lang w:val="en-GB"/>
        </w:rPr>
        <w:t>9 March</w:t>
      </w:r>
      <w:r w:rsidRPr="00F75DDE">
        <w:rPr>
          <w:noProof/>
          <w:lang w:val="en-GB"/>
        </w:rPr>
        <w:t>, 20</w:t>
      </w:r>
      <w:r>
        <w:rPr>
          <w:noProof/>
          <w:lang w:val="en-GB"/>
        </w:rPr>
        <w:t>20</w:t>
      </w:r>
      <w:r w:rsidRPr="00F75DDE">
        <w:rPr>
          <w:noProof/>
          <w:lang w:val="en-GB"/>
        </w:rPr>
        <w:t>).</w:t>
      </w:r>
    </w:p>
    <w:p w:rsidR="00AE7E13" w:rsidRPr="00CE2581" w:rsidRDefault="00AE7E13" w:rsidP="00CE2581">
      <w:pPr>
        <w:spacing w:line="360" w:lineRule="auto"/>
        <w:ind w:left="-11"/>
        <w:contextualSpacing/>
        <w:rPr>
          <w:u w:val="single"/>
          <w:lang w:val="en-GB"/>
        </w:rPr>
      </w:pPr>
    </w:p>
    <w:p w:rsidR="00AE7E13" w:rsidRPr="00F75DDE" w:rsidRDefault="00AE7E13" w:rsidP="0039737D">
      <w:pPr>
        <w:pStyle w:val="ListParagraph"/>
        <w:numPr>
          <w:ilvl w:val="0"/>
          <w:numId w:val="4"/>
        </w:numPr>
        <w:spacing w:line="360" w:lineRule="auto"/>
        <w:ind w:left="709"/>
        <w:contextualSpacing/>
        <w:rPr>
          <w:lang w:val="en-GB"/>
        </w:rPr>
      </w:pPr>
      <w:r w:rsidRPr="00BD62BB">
        <w:rPr>
          <w:rStyle w:val="Hyperlink"/>
          <w:color w:val="auto"/>
          <w:u w:val="none"/>
          <w:lang w:val="en-GB"/>
        </w:rPr>
        <w:t xml:space="preserve">Zajcev SV. </w:t>
      </w:r>
      <w:r>
        <w:rPr>
          <w:rStyle w:val="Hyperlink"/>
          <w:color w:val="auto"/>
          <w:u w:val="none"/>
          <w:lang w:val="en-GB"/>
        </w:rPr>
        <w:t>Fakty I zabluzhdeniya</w:t>
      </w:r>
      <w:r w:rsidRPr="00BD62BB">
        <w:rPr>
          <w:rStyle w:val="Hyperlink"/>
          <w:color w:val="auto"/>
          <w:u w:val="none"/>
          <w:lang w:val="en-GB"/>
        </w:rPr>
        <w:t xml:space="preserve"> perinatal’noj nevrologii </w:t>
      </w:r>
      <w:r w:rsidRPr="00F75DDE">
        <w:rPr>
          <w:shd w:val="clear" w:color="auto" w:fill="FFFFFF"/>
          <w:lang w:val="en-GB"/>
        </w:rPr>
        <w:t>[</w:t>
      </w:r>
      <w:r>
        <w:rPr>
          <w:shd w:val="clear" w:color="auto" w:fill="FFFFFF"/>
          <w:lang w:val="en-GB"/>
        </w:rPr>
        <w:t>Facts and fallacies in perinatal neurology</w:t>
      </w:r>
      <w:r w:rsidRPr="00F75DDE">
        <w:rPr>
          <w:shd w:val="clear" w:color="auto" w:fill="FFFFFF"/>
          <w:lang w:val="en-GB"/>
        </w:rPr>
        <w:t>].</w:t>
      </w:r>
      <w:r>
        <w:rPr>
          <w:rStyle w:val="Hyperlink"/>
          <w:lang w:val="en-GB"/>
        </w:rPr>
        <w:t xml:space="preserve"> </w:t>
      </w:r>
      <w:r w:rsidRPr="00BD62BB">
        <w:rPr>
          <w:rStyle w:val="Hyperlink"/>
          <w:lang w:val="en-GB"/>
        </w:rPr>
        <w:t xml:space="preserve">http://www.nevromed.ru/stati/fakti_i_zablujdeniya_perinatal </w:t>
      </w:r>
      <w:r w:rsidRPr="00F75DDE">
        <w:rPr>
          <w:noProof/>
          <w:lang w:val="en-GB"/>
        </w:rPr>
        <w:t xml:space="preserve">(accessed </w:t>
      </w:r>
      <w:r>
        <w:rPr>
          <w:lang w:val="en-GB"/>
        </w:rPr>
        <w:t>9 March</w:t>
      </w:r>
      <w:r w:rsidRPr="00F75DDE">
        <w:rPr>
          <w:noProof/>
          <w:lang w:val="en-GB"/>
        </w:rPr>
        <w:t>, 20</w:t>
      </w:r>
      <w:r>
        <w:rPr>
          <w:noProof/>
          <w:lang w:val="en-GB"/>
        </w:rPr>
        <w:t>20</w:t>
      </w:r>
      <w:r w:rsidRPr="00F75DDE">
        <w:rPr>
          <w:noProof/>
          <w:lang w:val="en-GB"/>
        </w:rPr>
        <w:t>).</w:t>
      </w:r>
    </w:p>
    <w:p w:rsidR="00AE7E13" w:rsidRPr="00194106" w:rsidRDefault="00AE7E13" w:rsidP="00DB79F0">
      <w:pPr>
        <w:pStyle w:val="ListParagraph"/>
        <w:numPr>
          <w:ilvl w:val="0"/>
          <w:numId w:val="4"/>
        </w:numPr>
        <w:spacing w:line="360" w:lineRule="auto"/>
        <w:ind w:left="709"/>
        <w:contextualSpacing/>
        <w:rPr>
          <w:u w:val="single"/>
          <w:lang w:val="en-GB"/>
        </w:rPr>
      </w:pPr>
      <w:r w:rsidRPr="00DA3DD5">
        <w:rPr>
          <w:lang w:val="sv-SE"/>
        </w:rPr>
        <w:t xml:space="preserve">Brouwer MJ, de Vries LS, Pistorius L, et al. </w:t>
      </w:r>
      <w:r w:rsidRPr="00F75DDE">
        <w:rPr>
          <w:lang w:val="en-GB"/>
        </w:rPr>
        <w:t xml:space="preserve">Ultrasound measurements of the lateral ventricles in neonates: why, how and when? A systematic review. </w:t>
      </w:r>
      <w:r w:rsidRPr="00F75DDE">
        <w:rPr>
          <w:i/>
          <w:lang w:val="en-GB"/>
        </w:rPr>
        <w:t>Acta Pædiatr</w:t>
      </w:r>
      <w:r w:rsidRPr="00F75DDE">
        <w:rPr>
          <w:lang w:val="en-GB"/>
        </w:rPr>
        <w:t xml:space="preserve"> 2010;99:1298-306 </w:t>
      </w:r>
      <w:r w:rsidRPr="00F75DDE">
        <w:rPr>
          <w:shd w:val="clear" w:color="auto" w:fill="FFFFFF"/>
          <w:lang w:val="en-GB"/>
        </w:rPr>
        <w:t>doi:10.1111/j.1651-2227.2010.01830.x.</w:t>
      </w:r>
    </w:p>
    <w:p w:rsidR="00AE7E13" w:rsidRPr="00F75DDE" w:rsidRDefault="00AE7E13" w:rsidP="00036A38">
      <w:pPr>
        <w:pStyle w:val="ListParagraph"/>
        <w:numPr>
          <w:ilvl w:val="0"/>
          <w:numId w:val="4"/>
        </w:numPr>
        <w:autoSpaceDE w:val="0"/>
        <w:autoSpaceDN w:val="0"/>
        <w:adjustRightInd w:val="0"/>
        <w:spacing w:after="240" w:line="360" w:lineRule="auto"/>
        <w:ind w:left="709"/>
        <w:rPr>
          <w:lang w:val="en-GB"/>
        </w:rPr>
      </w:pPr>
      <w:r w:rsidRPr="00F75DDE">
        <w:rPr>
          <w:lang w:val="en-GB"/>
        </w:rPr>
        <w:t xml:space="preserve">Smit E, Odd D, Whitelaw A. Postnatal phenobarbital for the prevention of intraventricular haemorrhage in preterm infants. </w:t>
      </w:r>
      <w:r w:rsidRPr="00F75DDE">
        <w:rPr>
          <w:i/>
          <w:lang w:val="en-GB"/>
        </w:rPr>
        <w:t xml:space="preserve">Cochrane Database Syst Rev </w:t>
      </w:r>
      <w:r w:rsidRPr="00F75DDE">
        <w:rPr>
          <w:lang w:val="en-GB"/>
        </w:rPr>
        <w:t xml:space="preserve">2013;(8): CD001691. doi:10.1002/14651858.CD001691.pub3. </w:t>
      </w:r>
    </w:p>
    <w:p w:rsidR="00AE7E13" w:rsidRPr="00F75DDE" w:rsidRDefault="00AE7E13" w:rsidP="00C529E9">
      <w:pPr>
        <w:pStyle w:val="ListParagraph"/>
        <w:numPr>
          <w:ilvl w:val="0"/>
          <w:numId w:val="4"/>
        </w:numPr>
        <w:spacing w:line="360" w:lineRule="auto"/>
        <w:ind w:left="709"/>
        <w:contextualSpacing/>
        <w:rPr>
          <w:lang w:val="en-GB"/>
        </w:rPr>
      </w:pPr>
      <w:r w:rsidRPr="00F75DDE">
        <w:rPr>
          <w:lang w:val="en-GB"/>
        </w:rPr>
        <w:t xml:space="preserve">Young L, Berg M, Soll R. Prophylactic barbiturate use for the prevention of morbidity and mortality following perinatal asphyxia. </w:t>
      </w:r>
      <w:r w:rsidRPr="00F75DDE">
        <w:rPr>
          <w:i/>
          <w:lang w:val="en-GB"/>
        </w:rPr>
        <w:t xml:space="preserve">Cochrane Database Syst Rev </w:t>
      </w:r>
      <w:r w:rsidRPr="00F75DDE">
        <w:rPr>
          <w:lang w:val="en-GB"/>
        </w:rPr>
        <w:t>2016;(5):CD001240. doi:10.1002/14651858.CD001240.pub3.</w:t>
      </w:r>
    </w:p>
    <w:p w:rsidR="00AE7E13" w:rsidRPr="00F75DDE" w:rsidRDefault="00AE7E13" w:rsidP="00841574">
      <w:pPr>
        <w:pStyle w:val="ListParagraph"/>
        <w:numPr>
          <w:ilvl w:val="0"/>
          <w:numId w:val="4"/>
        </w:numPr>
        <w:spacing w:line="360" w:lineRule="auto"/>
        <w:ind w:left="709"/>
        <w:contextualSpacing/>
        <w:rPr>
          <w:lang w:val="en-GB"/>
        </w:rPr>
      </w:pPr>
      <w:r w:rsidRPr="00F75DDE">
        <w:rPr>
          <w:shd w:val="clear" w:color="auto" w:fill="FFFFFF"/>
          <w:lang w:val="en-GB"/>
        </w:rPr>
        <w:t>Sulzbacher S, Farwell JR, Temkin N, Lu AS, Hirtz DG. Late cognitive effects of early treatment with phenobarbital. Clin Pediatr. 1999;38:387-94.</w:t>
      </w:r>
    </w:p>
    <w:p w:rsidR="00AE7E13" w:rsidRPr="00F75DDE" w:rsidRDefault="00AE7E13" w:rsidP="00C529E9">
      <w:pPr>
        <w:pStyle w:val="ListParagraph"/>
        <w:numPr>
          <w:ilvl w:val="0"/>
          <w:numId w:val="4"/>
        </w:numPr>
        <w:spacing w:line="360" w:lineRule="auto"/>
        <w:ind w:left="709"/>
        <w:contextualSpacing/>
        <w:rPr>
          <w:lang w:val="en-GB"/>
        </w:rPr>
      </w:pPr>
      <w:r w:rsidRPr="00DA3DD5">
        <w:rPr>
          <w:color w:val="353535"/>
          <w:lang w:val="sv-SE"/>
        </w:rPr>
        <w:t xml:space="preserve">Offringa M, Newton R, Cozijnsen MA, Nevitt SJ. </w:t>
      </w:r>
      <w:r w:rsidRPr="00F75DDE">
        <w:rPr>
          <w:color w:val="353535"/>
          <w:lang w:val="en-GB"/>
        </w:rPr>
        <w:t xml:space="preserve">Prophylactic drug management for febrile seizures in children. </w:t>
      </w:r>
      <w:r w:rsidRPr="00F75DDE">
        <w:rPr>
          <w:i/>
          <w:color w:val="353535"/>
          <w:lang w:val="en-GB"/>
        </w:rPr>
        <w:t xml:space="preserve">Cochrane Database of Syst Rev </w:t>
      </w:r>
      <w:r w:rsidRPr="00F75DDE">
        <w:rPr>
          <w:color w:val="353535"/>
          <w:lang w:val="en-GB"/>
        </w:rPr>
        <w:t>2017;(2):CD003031. doi:10.1002/14651858.CD003031.pub3. doi:10.1002/14651858.CD003031.pub3.</w:t>
      </w:r>
    </w:p>
    <w:p w:rsidR="00AE7E13" w:rsidRPr="00F75DDE" w:rsidRDefault="00AE7E13" w:rsidP="00036A38">
      <w:pPr>
        <w:pStyle w:val="ListParagraph"/>
        <w:numPr>
          <w:ilvl w:val="0"/>
          <w:numId w:val="4"/>
        </w:numPr>
        <w:spacing w:line="360" w:lineRule="auto"/>
        <w:ind w:left="709"/>
        <w:contextualSpacing/>
        <w:rPr>
          <w:lang w:val="en-GB"/>
        </w:rPr>
      </w:pPr>
      <w:r w:rsidRPr="00F75DDE">
        <w:rPr>
          <w:lang w:val="en-GB"/>
        </w:rPr>
        <w:t xml:space="preserve">Whitelaw A, Brion LP, Kennedy CR et al. Diuretic therapy for newborn infants with posthemorrhagic ventricular dilatation. </w:t>
      </w:r>
      <w:r w:rsidRPr="00F75DDE">
        <w:rPr>
          <w:i/>
          <w:lang w:val="en-GB"/>
        </w:rPr>
        <w:t>Cochrane Database Syst Rev</w:t>
      </w:r>
      <w:r w:rsidRPr="00F75DDE">
        <w:rPr>
          <w:lang w:val="en-GB"/>
        </w:rPr>
        <w:t xml:space="preserve"> 2001;(2):CD002270 </w:t>
      </w:r>
      <w:r w:rsidRPr="00F75DDE">
        <w:rPr>
          <w:shd w:val="clear" w:color="auto" w:fill="FFFFFF"/>
          <w:lang w:val="en-GB"/>
        </w:rPr>
        <w:t>doi:10.1002/14651858.</w:t>
      </w:r>
    </w:p>
    <w:p w:rsidR="00AE7E13" w:rsidRPr="00F75DDE" w:rsidRDefault="00AE7E13" w:rsidP="00036A38">
      <w:pPr>
        <w:pStyle w:val="ListParagraph"/>
        <w:numPr>
          <w:ilvl w:val="0"/>
          <w:numId w:val="4"/>
        </w:numPr>
        <w:spacing w:line="360" w:lineRule="auto"/>
        <w:ind w:left="709"/>
        <w:contextualSpacing/>
        <w:rPr>
          <w:lang w:val="en-GB"/>
        </w:rPr>
      </w:pPr>
      <w:r w:rsidRPr="00F75DDE">
        <w:rPr>
          <w:lang w:val="en-GB"/>
        </w:rPr>
        <w:t xml:space="preserve">Huaman EJ. Results obtained with piracetam in foetal distress during labour. </w:t>
      </w:r>
      <w:r w:rsidRPr="00F75DDE">
        <w:rPr>
          <w:i/>
          <w:lang w:val="en-GB"/>
        </w:rPr>
        <w:t>J Int Med Res</w:t>
      </w:r>
      <w:r w:rsidRPr="00F75DDE">
        <w:rPr>
          <w:lang w:val="en-GB"/>
        </w:rPr>
        <w:t xml:space="preserve"> 1983;</w:t>
      </w:r>
      <w:r w:rsidRPr="00F75DDE">
        <w:rPr>
          <w:rFonts w:eastAsia="Calibri"/>
          <w:lang w:val="en-GB"/>
        </w:rPr>
        <w:t>11:129-36.</w:t>
      </w:r>
    </w:p>
    <w:p w:rsidR="00AE7E13" w:rsidRPr="00F75DDE" w:rsidRDefault="00AE7E13" w:rsidP="003F6817">
      <w:pPr>
        <w:pStyle w:val="ListParagraph"/>
        <w:numPr>
          <w:ilvl w:val="0"/>
          <w:numId w:val="4"/>
        </w:numPr>
        <w:spacing w:line="360" w:lineRule="auto"/>
        <w:ind w:left="709"/>
        <w:contextualSpacing/>
        <w:rPr>
          <w:lang w:val="en-GB"/>
        </w:rPr>
      </w:pPr>
      <w:r w:rsidRPr="00F75DDE">
        <w:rPr>
          <w:lang w:val="en-GB"/>
        </w:rPr>
        <w:t xml:space="preserve">Nair MK, George B, Jeyaseelan L. Pyritinol for post asphyxia encephalopathy in term babies- a randomized double-blind controlled trial. </w:t>
      </w:r>
      <w:r w:rsidRPr="00F75DDE">
        <w:rPr>
          <w:rFonts w:eastAsia="Calibri"/>
          <w:i/>
          <w:lang w:val="en-GB"/>
        </w:rPr>
        <w:t>Indian Pediatr</w:t>
      </w:r>
      <w:r w:rsidRPr="00F75DDE">
        <w:rPr>
          <w:rFonts w:eastAsia="Calibri"/>
          <w:lang w:val="en-GB"/>
        </w:rPr>
        <w:t xml:space="preserve"> 2009;46 (Suppl):s37-42.</w:t>
      </w:r>
    </w:p>
    <w:p w:rsidR="00AE7E13" w:rsidRPr="00F75DDE" w:rsidRDefault="00AE7E13" w:rsidP="00C529E9">
      <w:pPr>
        <w:pStyle w:val="ListParagraph"/>
        <w:numPr>
          <w:ilvl w:val="0"/>
          <w:numId w:val="4"/>
        </w:numPr>
        <w:spacing w:line="360" w:lineRule="auto"/>
        <w:ind w:left="709"/>
        <w:contextualSpacing/>
        <w:rPr>
          <w:lang w:val="en-GB"/>
        </w:rPr>
      </w:pPr>
      <w:r w:rsidRPr="00F75DDE">
        <w:rPr>
          <w:rFonts w:eastAsia="Calibri"/>
          <w:lang w:val="en-GB"/>
        </w:rPr>
        <w:t>Hofmeyr GJ, Kulier R. </w:t>
      </w:r>
      <w:r w:rsidRPr="00F75DDE">
        <w:rPr>
          <w:lang w:val="en-GB"/>
        </w:rPr>
        <w:t>Piracetam for fetal distress in labour.</w:t>
      </w:r>
      <w:r w:rsidRPr="00F75DDE">
        <w:rPr>
          <w:rFonts w:eastAsia="Calibri"/>
          <w:lang w:val="en-GB"/>
        </w:rPr>
        <w:t> </w:t>
      </w:r>
      <w:r w:rsidRPr="00F75DDE">
        <w:rPr>
          <w:rFonts w:eastAsia="Calibri"/>
          <w:i/>
          <w:lang w:val="en-GB"/>
        </w:rPr>
        <w:t>Cochrane Database Syst Rev</w:t>
      </w:r>
      <w:r w:rsidRPr="00F75DDE">
        <w:rPr>
          <w:rFonts w:eastAsia="Calibri"/>
          <w:lang w:val="en-GB"/>
        </w:rPr>
        <w:t xml:space="preserve"> 2012;(6):CD001064. </w:t>
      </w:r>
      <w:r w:rsidRPr="00F75DDE">
        <w:rPr>
          <w:lang w:val="en-GB"/>
        </w:rPr>
        <w:t>doi:10.1002/14651858.CD001064.pub2.</w:t>
      </w:r>
    </w:p>
    <w:p w:rsidR="00AE7E13" w:rsidRPr="00F75DDE" w:rsidRDefault="00AE7E13" w:rsidP="002C4D3E">
      <w:pPr>
        <w:pStyle w:val="ListParagraph"/>
        <w:numPr>
          <w:ilvl w:val="0"/>
          <w:numId w:val="4"/>
        </w:numPr>
        <w:spacing w:line="360" w:lineRule="auto"/>
        <w:ind w:left="709"/>
        <w:contextualSpacing/>
        <w:rPr>
          <w:lang w:val="en-GB"/>
        </w:rPr>
      </w:pPr>
      <w:r w:rsidRPr="00F75DDE">
        <w:rPr>
          <w:lang w:val="en-GB"/>
        </w:rPr>
        <w:t>Forsyth BWC. Early health crises and vulnerable children. In: Levine MD, Carey WB, Crocker AC, eds. Developmental-Behavioral Pediatrics. 4th ed. Saunders; 2009.</w:t>
      </w:r>
    </w:p>
    <w:p w:rsidR="00AE7E13" w:rsidRPr="00F75DDE" w:rsidRDefault="00AE7E13" w:rsidP="000E736B">
      <w:pPr>
        <w:pStyle w:val="ListParagraph"/>
        <w:numPr>
          <w:ilvl w:val="0"/>
          <w:numId w:val="4"/>
        </w:numPr>
        <w:spacing w:line="360" w:lineRule="auto"/>
        <w:ind w:left="709"/>
        <w:contextualSpacing/>
        <w:rPr>
          <w:lang w:val="en-GB"/>
        </w:rPr>
      </w:pPr>
      <w:r w:rsidRPr="00F75DDE">
        <w:rPr>
          <w:lang w:val="en-GB"/>
        </w:rPr>
        <w:t xml:space="preserve">Holt E. Ukraine at risk of polio outbreak. </w:t>
      </w:r>
      <w:r w:rsidRPr="00F75DDE">
        <w:rPr>
          <w:i/>
          <w:lang w:val="en-GB"/>
        </w:rPr>
        <w:t>Lancet</w:t>
      </w:r>
      <w:r w:rsidRPr="00F75DDE">
        <w:rPr>
          <w:lang w:val="en-GB"/>
        </w:rPr>
        <w:t xml:space="preserve"> 2013;381:2244.</w:t>
      </w:r>
    </w:p>
    <w:p w:rsidR="00AE7E13" w:rsidRPr="00F75DDE" w:rsidRDefault="00AE7E13" w:rsidP="000E736B">
      <w:pPr>
        <w:pStyle w:val="ListParagraph"/>
        <w:numPr>
          <w:ilvl w:val="0"/>
          <w:numId w:val="4"/>
        </w:numPr>
        <w:spacing w:line="360" w:lineRule="auto"/>
        <w:ind w:left="709"/>
        <w:contextualSpacing/>
        <w:rPr>
          <w:lang w:val="en-GB"/>
        </w:rPr>
      </w:pPr>
      <w:r w:rsidRPr="00F75DDE">
        <w:rPr>
          <w:lang w:val="en-GB"/>
        </w:rPr>
        <w:t xml:space="preserve">World Health Organization. Nurturing care for early childhood development: A framework for helping children survive and thrive to transform health and human potential 2018. </w:t>
      </w:r>
      <w:r w:rsidRPr="00DB79F0">
        <w:rPr>
          <w:rStyle w:val="Hyperlink"/>
          <w:lang w:val="en-GB"/>
        </w:rPr>
        <w:t>http://apps.who.int/iris/bitstream/handle/10665/272603/9789241514064-eng.pdf?ua=1</w:t>
      </w:r>
      <w:r w:rsidRPr="00F75DDE">
        <w:rPr>
          <w:lang w:val="en-GB"/>
        </w:rPr>
        <w:t xml:space="preserve"> (accessed 4 November, 2018)</w:t>
      </w:r>
    </w:p>
    <w:p w:rsidR="00AE7E13" w:rsidRPr="00F75DDE" w:rsidRDefault="00AE7E13" w:rsidP="0039737D">
      <w:pPr>
        <w:pStyle w:val="ListParagraph"/>
        <w:numPr>
          <w:ilvl w:val="0"/>
          <w:numId w:val="4"/>
        </w:numPr>
        <w:spacing w:line="360" w:lineRule="auto"/>
        <w:ind w:left="709"/>
        <w:contextualSpacing/>
        <w:rPr>
          <w:lang w:val="en-GB"/>
        </w:rPr>
      </w:pPr>
      <w:r w:rsidRPr="00F75DDE">
        <w:rPr>
          <w:lang w:val="en-GB"/>
        </w:rPr>
        <w:t xml:space="preserve">Tatishvili N. Together We are Stronger: challenges of post-Soviet healthcare. </w:t>
      </w:r>
      <w:r w:rsidRPr="00F75DDE">
        <w:rPr>
          <w:i/>
          <w:iCs/>
          <w:lang w:val="en-GB"/>
        </w:rPr>
        <w:t>Dev Med Child Neurol</w:t>
      </w:r>
      <w:r w:rsidRPr="00F75DDE">
        <w:rPr>
          <w:lang w:val="en-GB"/>
        </w:rPr>
        <w:t xml:space="preserve"> 2018;60(5):p.435 </w:t>
      </w:r>
      <w:r w:rsidRPr="00F75DDE">
        <w:t>doi.org:10.1111/dmcn.13693.</w:t>
      </w:r>
    </w:p>
    <w:p w:rsidR="00AE7E13" w:rsidRPr="00F75DDE" w:rsidRDefault="00AE7E13" w:rsidP="00036A38">
      <w:pPr>
        <w:pStyle w:val="ListParagraph"/>
        <w:numPr>
          <w:ilvl w:val="0"/>
          <w:numId w:val="4"/>
        </w:numPr>
        <w:spacing w:line="360" w:lineRule="auto"/>
        <w:ind w:left="709"/>
        <w:contextualSpacing/>
        <w:rPr>
          <w:lang w:val="en-GB"/>
        </w:rPr>
      </w:pPr>
      <w:r w:rsidRPr="00F75DDE">
        <w:rPr>
          <w:lang w:val="en-GB"/>
        </w:rPr>
        <w:t xml:space="preserve">Departament gossanepidnadzora Minzdrava Rossii. Medicinskie protivopokazaniya k provedeniyu profilakticheskih privivok preparatami nacional'nogo kalendarya privivok [Medical contraindications for prophylactic vaccination in accordance with national vaccination schedule]. Moscow: Federal’nii centr gossaepidnadzora Minzdrava Rossii 2002. </w:t>
      </w:r>
      <w:r w:rsidRPr="00DB79F0">
        <w:rPr>
          <w:rStyle w:val="Hyperlink"/>
          <w:lang w:val="en-GB"/>
        </w:rPr>
        <w:t>http://rospotrebnadzor.ru/documents/details.php?ELEMENT_ID=4716</w:t>
      </w:r>
      <w:r w:rsidRPr="00F75DDE">
        <w:rPr>
          <w:lang w:val="en-GB"/>
        </w:rPr>
        <w:t xml:space="preserve"> (accessed 13 April, 2018).</w:t>
      </w:r>
    </w:p>
    <w:p w:rsidR="00AE7E13" w:rsidRPr="00F75DDE" w:rsidRDefault="00AE7E13" w:rsidP="008E6F20">
      <w:pPr>
        <w:pStyle w:val="ListParagraph"/>
        <w:numPr>
          <w:ilvl w:val="0"/>
          <w:numId w:val="4"/>
        </w:numPr>
        <w:spacing w:line="360" w:lineRule="auto"/>
        <w:ind w:left="709"/>
        <w:contextualSpacing/>
        <w:rPr>
          <w:lang w:val="en-GB"/>
        </w:rPr>
      </w:pPr>
      <w:r w:rsidRPr="00F75DDE">
        <w:rPr>
          <w:lang w:val="en-GB"/>
        </w:rPr>
        <w:t xml:space="preserve">World Health Organization. Regional Office for Europe. Meeting on child health redesign in the WHO European region 2018. </w:t>
      </w:r>
      <w:r w:rsidRPr="00DB79F0">
        <w:rPr>
          <w:rStyle w:val="Hyperlink"/>
          <w:lang w:val="en-GB"/>
        </w:rPr>
        <w:t>http://www.euro.who.int/__data/assets/pdf_file/0003/364530/child-health-redesign-meeting-eng.pdf?ua=1</w:t>
      </w:r>
      <w:r w:rsidRPr="00F75DDE">
        <w:rPr>
          <w:lang w:val="en-GB"/>
        </w:rPr>
        <w:t xml:space="preserve"> (accessed 13 April, 2018)</w:t>
      </w:r>
    </w:p>
    <w:p w:rsidR="00AE7E13" w:rsidRDefault="00AE7E13" w:rsidP="00C529E9">
      <w:pPr>
        <w:pStyle w:val="ListParagraph"/>
        <w:spacing w:line="360" w:lineRule="auto"/>
        <w:ind w:left="709"/>
        <w:contextualSpacing/>
        <w:rPr>
          <w:lang w:val="en-GB"/>
        </w:rPr>
      </w:pPr>
    </w:p>
    <w:p w:rsidR="00AE7E13" w:rsidRDefault="00AE7E13" w:rsidP="00C529E9">
      <w:pPr>
        <w:pStyle w:val="ListParagraph"/>
        <w:spacing w:line="360" w:lineRule="auto"/>
        <w:ind w:left="709"/>
        <w:contextualSpacing/>
        <w:rPr>
          <w:lang w:val="en-GB"/>
        </w:rPr>
      </w:pPr>
    </w:p>
    <w:p w:rsidR="00AE7E13" w:rsidRDefault="00AE7E13" w:rsidP="00C529E9">
      <w:pPr>
        <w:pStyle w:val="ListParagraph"/>
        <w:spacing w:line="360" w:lineRule="auto"/>
        <w:ind w:left="709"/>
        <w:contextualSpacing/>
        <w:rPr>
          <w:lang w:val="en-GB"/>
        </w:rPr>
      </w:pPr>
    </w:p>
    <w:p w:rsidR="00AE7E13" w:rsidRDefault="00AE7E13" w:rsidP="00B13C48">
      <w:pPr>
        <w:spacing w:line="360" w:lineRule="auto"/>
      </w:pPr>
    </w:p>
    <w:p w:rsidR="00AE7E13" w:rsidRDefault="00AE7E13" w:rsidP="00B13C48">
      <w:pPr>
        <w:spacing w:line="360" w:lineRule="auto"/>
        <w:sectPr w:rsidR="00AE7E13" w:rsidSect="00C2494E">
          <w:footerReference w:type="default" r:id="rId11"/>
          <w:pgSz w:w="11900" w:h="16850"/>
          <w:pgMar w:top="1417" w:right="1417" w:bottom="1417" w:left="1417" w:header="0" w:footer="0" w:gutter="0"/>
          <w:cols w:space="720"/>
          <w:docGrid w:linePitch="326"/>
        </w:sectPr>
      </w:pPr>
    </w:p>
    <w:p w:rsidR="00AE7E13" w:rsidRPr="00F75DDE" w:rsidRDefault="00AE7E13" w:rsidP="00EF1423">
      <w:pPr>
        <w:rPr>
          <w:lang w:val="en-GB"/>
        </w:rPr>
      </w:pPr>
      <w:r w:rsidRPr="00F75DDE">
        <w:rPr>
          <w:b/>
          <w:lang w:val="en-GB"/>
        </w:rPr>
        <w:t xml:space="preserve">Table </w:t>
      </w:r>
      <w:r>
        <w:rPr>
          <w:b/>
          <w:lang w:val="en-GB"/>
        </w:rPr>
        <w:t>1</w:t>
      </w:r>
      <w:r w:rsidRPr="00F75DDE">
        <w:rPr>
          <w:b/>
          <w:lang w:val="en-GB"/>
        </w:rPr>
        <w:t>. Summary of publications related to perinatal encephalopathy, the syndrome of intracranial hypertension and other diagnostic labels relating to the same clinical phenomena in the Commonwealth of Independent States and Eastern European countries.</w:t>
      </w:r>
    </w:p>
    <w:tbl>
      <w:tblPr>
        <w:tblStyle w:val="TableGrid"/>
        <w:tblW w:w="15304" w:type="dxa"/>
        <w:tblInd w:w="-714" w:type="dxa"/>
        <w:tblLayout w:type="fixed"/>
        <w:tblLook w:val="04A0" w:firstRow="1" w:lastRow="0" w:firstColumn="1" w:lastColumn="0" w:noHBand="0" w:noVBand="1"/>
      </w:tblPr>
      <w:tblGrid>
        <w:gridCol w:w="1270"/>
        <w:gridCol w:w="1989"/>
        <w:gridCol w:w="1559"/>
        <w:gridCol w:w="2469"/>
        <w:gridCol w:w="2248"/>
        <w:gridCol w:w="2160"/>
        <w:gridCol w:w="1483"/>
        <w:gridCol w:w="2126"/>
      </w:tblGrid>
      <w:tr w:rsidR="00AE7E13" w:rsidRPr="00F75DDE" w:rsidTr="00C2494E">
        <w:tc>
          <w:tcPr>
            <w:tcW w:w="1270" w:type="dxa"/>
            <w:tcBorders>
              <w:top w:val="single" w:sz="4" w:space="0" w:color="auto"/>
              <w:bottom w:val="single" w:sz="12" w:space="0" w:color="000000"/>
            </w:tcBorders>
          </w:tcPr>
          <w:p w:rsidR="00AE7E13" w:rsidRPr="00F75DDE" w:rsidRDefault="00AE7E13" w:rsidP="00045A3D">
            <w:pPr>
              <w:rPr>
                <w:rFonts w:eastAsia="Calibri"/>
                <w:b/>
                <w:noProof/>
                <w:sz w:val="18"/>
                <w:szCs w:val="18"/>
                <w:lang w:val="en-GB"/>
              </w:rPr>
            </w:pPr>
            <w:r w:rsidRPr="00F75DDE">
              <w:rPr>
                <w:rFonts w:eastAsia="Calibri"/>
                <w:b/>
                <w:noProof/>
                <w:sz w:val="18"/>
                <w:szCs w:val="18"/>
                <w:lang w:val="en-GB"/>
              </w:rPr>
              <w:t xml:space="preserve">Study author and year </w:t>
            </w:r>
          </w:p>
        </w:tc>
        <w:tc>
          <w:tcPr>
            <w:tcW w:w="3548" w:type="dxa"/>
            <w:gridSpan w:val="2"/>
            <w:tcBorders>
              <w:top w:val="single" w:sz="4" w:space="0" w:color="auto"/>
              <w:bottom w:val="single" w:sz="12" w:space="0" w:color="000000"/>
            </w:tcBorders>
          </w:tcPr>
          <w:p w:rsidR="00AE7E13" w:rsidRPr="00F75DDE" w:rsidRDefault="00AE7E13" w:rsidP="00045A3D">
            <w:pPr>
              <w:rPr>
                <w:rFonts w:eastAsia="Calibri"/>
                <w:b/>
                <w:noProof/>
                <w:sz w:val="18"/>
                <w:szCs w:val="18"/>
                <w:lang w:val="en-GB"/>
              </w:rPr>
            </w:pPr>
            <w:r w:rsidRPr="00F75DDE">
              <w:rPr>
                <w:rFonts w:eastAsia="Calibri"/>
                <w:b/>
                <w:noProof/>
                <w:sz w:val="18"/>
                <w:szCs w:val="18"/>
                <w:lang w:val="en-GB"/>
              </w:rPr>
              <w:t xml:space="preserve">Sample </w:t>
            </w:r>
          </w:p>
        </w:tc>
        <w:tc>
          <w:tcPr>
            <w:tcW w:w="2469" w:type="dxa"/>
            <w:tcBorders>
              <w:top w:val="single" w:sz="4" w:space="0" w:color="auto"/>
              <w:bottom w:val="single" w:sz="12" w:space="0" w:color="000000"/>
            </w:tcBorders>
          </w:tcPr>
          <w:p w:rsidR="00AE7E13" w:rsidRPr="00F75DDE" w:rsidRDefault="00AE7E13" w:rsidP="00045A3D">
            <w:pPr>
              <w:rPr>
                <w:rFonts w:eastAsia="Calibri"/>
                <w:b/>
                <w:noProof/>
                <w:sz w:val="18"/>
                <w:szCs w:val="18"/>
                <w:lang w:val="en-GB"/>
              </w:rPr>
            </w:pPr>
            <w:r w:rsidRPr="00F75DDE">
              <w:rPr>
                <w:rFonts w:eastAsia="Calibri"/>
                <w:b/>
                <w:noProof/>
                <w:sz w:val="18"/>
                <w:szCs w:val="18"/>
                <w:lang w:val="en-GB"/>
              </w:rPr>
              <w:t xml:space="preserve">Methodology </w:t>
            </w:r>
          </w:p>
        </w:tc>
        <w:tc>
          <w:tcPr>
            <w:tcW w:w="2248" w:type="dxa"/>
            <w:tcBorders>
              <w:top w:val="single" w:sz="4" w:space="0" w:color="auto"/>
              <w:bottom w:val="single" w:sz="12" w:space="0" w:color="000000"/>
            </w:tcBorders>
          </w:tcPr>
          <w:p w:rsidR="00AE7E13" w:rsidRPr="00F75DDE" w:rsidRDefault="00AE7E13" w:rsidP="00045A3D">
            <w:pPr>
              <w:rPr>
                <w:rFonts w:eastAsia="Calibri"/>
                <w:b/>
                <w:noProof/>
                <w:sz w:val="18"/>
                <w:szCs w:val="18"/>
                <w:lang w:val="en-GB"/>
              </w:rPr>
            </w:pPr>
            <w:r w:rsidRPr="00F75DDE">
              <w:rPr>
                <w:rFonts w:eastAsia="Calibri"/>
                <w:b/>
                <w:noProof/>
                <w:sz w:val="18"/>
                <w:szCs w:val="18"/>
                <w:lang w:val="en-GB"/>
              </w:rPr>
              <w:t xml:space="preserve">Terminology used in the medical records or publication </w:t>
            </w:r>
          </w:p>
        </w:tc>
        <w:tc>
          <w:tcPr>
            <w:tcW w:w="2160" w:type="dxa"/>
            <w:tcBorders>
              <w:top w:val="single" w:sz="4" w:space="0" w:color="auto"/>
              <w:bottom w:val="single" w:sz="12" w:space="0" w:color="000000"/>
              <w:right w:val="single" w:sz="4" w:space="0" w:color="auto"/>
            </w:tcBorders>
          </w:tcPr>
          <w:p w:rsidR="00AE7E13" w:rsidRPr="00F75DDE" w:rsidRDefault="00AE7E13" w:rsidP="00045A3D">
            <w:pPr>
              <w:rPr>
                <w:rFonts w:eastAsia="Calibri"/>
                <w:b/>
                <w:noProof/>
                <w:sz w:val="18"/>
                <w:szCs w:val="18"/>
                <w:lang w:val="en-GB"/>
              </w:rPr>
            </w:pPr>
            <w:r w:rsidRPr="00F75DDE">
              <w:rPr>
                <w:rFonts w:eastAsia="Calibri"/>
                <w:b/>
                <w:noProof/>
                <w:sz w:val="18"/>
                <w:szCs w:val="18"/>
                <w:lang w:val="en-GB"/>
              </w:rPr>
              <w:t xml:space="preserve">% (95% CI)* of study </w:t>
            </w:r>
            <w:r>
              <w:rPr>
                <w:rFonts w:eastAsia="Calibri"/>
                <w:b/>
                <w:noProof/>
                <w:sz w:val="18"/>
                <w:szCs w:val="18"/>
                <w:lang w:val="en-GB"/>
              </w:rPr>
              <w:t>sample</w:t>
            </w:r>
            <w:r w:rsidRPr="00F75DDE">
              <w:rPr>
                <w:rFonts w:eastAsia="Calibri"/>
                <w:b/>
                <w:noProof/>
                <w:sz w:val="18"/>
                <w:szCs w:val="18"/>
                <w:lang w:val="en-GB"/>
              </w:rPr>
              <w:t xml:space="preserve"> diagnosed as PE-SIH</w:t>
            </w:r>
          </w:p>
        </w:tc>
        <w:tc>
          <w:tcPr>
            <w:tcW w:w="1483" w:type="dxa"/>
            <w:tcBorders>
              <w:top w:val="single" w:sz="4" w:space="0" w:color="auto"/>
              <w:bottom w:val="single" w:sz="12" w:space="0" w:color="000000"/>
              <w:right w:val="single" w:sz="4" w:space="0" w:color="auto"/>
            </w:tcBorders>
          </w:tcPr>
          <w:p w:rsidR="00AE7E13" w:rsidRPr="00F75DDE" w:rsidRDefault="00AE7E13" w:rsidP="00045A3D">
            <w:pPr>
              <w:rPr>
                <w:rFonts w:eastAsia="Calibri"/>
                <w:b/>
                <w:noProof/>
                <w:sz w:val="18"/>
                <w:szCs w:val="18"/>
                <w:lang w:val="en-GB"/>
              </w:rPr>
            </w:pPr>
            <w:r w:rsidRPr="00F75DDE">
              <w:rPr>
                <w:rFonts w:eastAsia="Calibri"/>
                <w:b/>
                <w:noProof/>
                <w:sz w:val="18"/>
                <w:szCs w:val="18"/>
                <w:lang w:val="en-GB"/>
              </w:rPr>
              <w:t>N affected in study population</w:t>
            </w:r>
          </w:p>
        </w:tc>
        <w:tc>
          <w:tcPr>
            <w:tcW w:w="2126" w:type="dxa"/>
            <w:tcBorders>
              <w:top w:val="single" w:sz="4" w:space="0" w:color="auto"/>
              <w:left w:val="single" w:sz="4" w:space="0" w:color="auto"/>
              <w:bottom w:val="single" w:sz="12" w:space="0" w:color="000000"/>
              <w:right w:val="single" w:sz="4" w:space="0" w:color="000000"/>
            </w:tcBorders>
          </w:tcPr>
          <w:p w:rsidR="00AE7E13" w:rsidRPr="00F75DDE" w:rsidRDefault="00AE7E13" w:rsidP="00045A3D">
            <w:pPr>
              <w:rPr>
                <w:rFonts w:eastAsia="Calibri"/>
                <w:b/>
                <w:noProof/>
                <w:sz w:val="18"/>
                <w:szCs w:val="18"/>
                <w:lang w:val="en-GB"/>
              </w:rPr>
            </w:pPr>
            <w:r w:rsidRPr="00F75DDE">
              <w:rPr>
                <w:rFonts w:eastAsia="Calibri"/>
                <w:b/>
                <w:noProof/>
                <w:sz w:val="18"/>
                <w:szCs w:val="18"/>
                <w:lang w:val="en-GB"/>
              </w:rPr>
              <w:t xml:space="preserve">Diagnosed neurological conditions upon independent re-evaluation </w:t>
            </w:r>
          </w:p>
        </w:tc>
      </w:tr>
      <w:tr w:rsidR="00AE7E13" w:rsidRPr="00F75DDE" w:rsidTr="00C20BA4">
        <w:tc>
          <w:tcPr>
            <w:tcW w:w="15304" w:type="dxa"/>
            <w:gridSpan w:val="8"/>
            <w:tcBorders>
              <w:top w:val="single" w:sz="4" w:space="0" w:color="auto"/>
              <w:bottom w:val="single" w:sz="12" w:space="0" w:color="000000"/>
              <w:right w:val="single" w:sz="4" w:space="0" w:color="000000"/>
            </w:tcBorders>
          </w:tcPr>
          <w:p w:rsidR="00AE7E13" w:rsidRPr="00A373C7" w:rsidRDefault="00AE7E13" w:rsidP="00E32D14">
            <w:pPr>
              <w:rPr>
                <w:rFonts w:eastAsia="Calibri"/>
                <w:b/>
                <w:bCs/>
                <w:noProof/>
                <w:sz w:val="18"/>
                <w:szCs w:val="18"/>
                <w:lang w:val="en-GB"/>
              </w:rPr>
            </w:pPr>
            <w:r w:rsidRPr="00A373C7">
              <w:rPr>
                <w:rFonts w:eastAsia="Calibri"/>
                <w:b/>
                <w:bCs/>
                <w:noProof/>
                <w:sz w:val="18"/>
                <w:szCs w:val="18"/>
                <w:lang w:val="en-GB"/>
              </w:rPr>
              <w:t>Clinical populations</w:t>
            </w:r>
          </w:p>
        </w:tc>
      </w:tr>
      <w:tr w:rsidR="00AE7E13" w:rsidRPr="00F75DDE" w:rsidTr="00C2494E">
        <w:tc>
          <w:tcPr>
            <w:tcW w:w="1270" w:type="dxa"/>
            <w:tcBorders>
              <w:top w:val="single" w:sz="4" w:space="0" w:color="auto"/>
              <w:bottom w:val="single" w:sz="12" w:space="0" w:color="000000"/>
            </w:tcBorders>
          </w:tcPr>
          <w:p w:rsidR="00AE7E13" w:rsidRPr="00F75DDE" w:rsidRDefault="00AE7E13" w:rsidP="00E32D14">
            <w:pPr>
              <w:rPr>
                <w:rFonts w:eastAsia="Calibri"/>
                <w:b/>
                <w:noProof/>
                <w:sz w:val="18"/>
                <w:szCs w:val="18"/>
                <w:lang w:val="en-GB"/>
              </w:rPr>
            </w:pPr>
            <w:r w:rsidRPr="00F75DDE">
              <w:rPr>
                <w:rFonts w:eastAsia="Calibri"/>
                <w:b/>
                <w:noProof/>
                <w:sz w:val="18"/>
                <w:szCs w:val="18"/>
                <w:lang w:val="en-GB"/>
              </w:rPr>
              <w:t>Khaletskaia et al. (2009)</w:t>
            </w:r>
            <w:r>
              <w:rPr>
                <w:rFonts w:eastAsia="Calibri"/>
                <w:b/>
                <w:noProof/>
                <w:sz w:val="18"/>
                <w:szCs w:val="18"/>
                <w:lang w:val="en-GB"/>
              </w:rPr>
              <w:t>[22]</w:t>
            </w:r>
          </w:p>
        </w:tc>
        <w:tc>
          <w:tcPr>
            <w:tcW w:w="3548" w:type="dxa"/>
            <w:gridSpan w:val="2"/>
            <w:tcBorders>
              <w:top w:val="single" w:sz="4" w:space="0" w:color="auto"/>
              <w:bottom w:val="single" w:sz="12" w:space="0" w:color="000000"/>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Infants attending outpatient clinics in Nizhnij Novgorod, Russian Federation</w:t>
            </w:r>
          </w:p>
        </w:tc>
        <w:tc>
          <w:tcPr>
            <w:tcW w:w="2469" w:type="dxa"/>
            <w:tcBorders>
              <w:top w:val="single" w:sz="4" w:space="0" w:color="auto"/>
              <w:bottom w:val="single" w:sz="12" w:space="0" w:color="000000"/>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Outpatient medical record review</w:t>
            </w:r>
          </w:p>
        </w:tc>
        <w:tc>
          <w:tcPr>
            <w:tcW w:w="2248" w:type="dxa"/>
            <w:tcBorders>
              <w:top w:val="single" w:sz="4" w:space="0" w:color="auto"/>
              <w:bottom w:val="single" w:sz="12" w:space="0" w:color="000000"/>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Perinatal encephalopathy</w:t>
            </w:r>
          </w:p>
        </w:tc>
        <w:tc>
          <w:tcPr>
            <w:tcW w:w="2160" w:type="dxa"/>
            <w:tcBorders>
              <w:top w:val="single" w:sz="4" w:space="0" w:color="auto"/>
              <w:bottom w:val="single" w:sz="12" w:space="0" w:color="000000"/>
              <w:right w:val="single" w:sz="4" w:space="0" w:color="auto"/>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82% of 800 infants at 1-month of age</w:t>
            </w:r>
          </w:p>
          <w:p w:rsidR="00AE7E13" w:rsidRPr="00F75DDE" w:rsidRDefault="00AE7E13" w:rsidP="00E32D14">
            <w:pPr>
              <w:rPr>
                <w:rFonts w:eastAsia="Calibri"/>
                <w:noProof/>
                <w:sz w:val="18"/>
                <w:szCs w:val="18"/>
                <w:lang w:val="en-GB"/>
              </w:rPr>
            </w:pPr>
            <w:r w:rsidRPr="00F75DDE">
              <w:rPr>
                <w:rFonts w:eastAsia="Calibri"/>
                <w:noProof/>
                <w:sz w:val="18"/>
                <w:szCs w:val="18"/>
                <w:lang w:val="en-GB"/>
              </w:rPr>
              <w:t>93% of 800 infants at 3-months of age</w:t>
            </w:r>
          </w:p>
        </w:tc>
        <w:tc>
          <w:tcPr>
            <w:tcW w:w="1483" w:type="dxa"/>
            <w:tcBorders>
              <w:top w:val="single" w:sz="4" w:space="0" w:color="auto"/>
              <w:bottom w:val="single" w:sz="12" w:space="0" w:color="000000"/>
              <w:right w:val="single" w:sz="4" w:space="0" w:color="auto"/>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N/A</w:t>
            </w:r>
          </w:p>
        </w:tc>
        <w:tc>
          <w:tcPr>
            <w:tcW w:w="2126" w:type="dxa"/>
            <w:tcBorders>
              <w:top w:val="single" w:sz="4" w:space="0" w:color="auto"/>
              <w:left w:val="single" w:sz="4" w:space="0" w:color="auto"/>
              <w:bottom w:val="single" w:sz="12" w:space="0" w:color="000000"/>
              <w:right w:val="single" w:sz="4" w:space="0" w:color="000000"/>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N/A</w:t>
            </w:r>
          </w:p>
        </w:tc>
      </w:tr>
      <w:tr w:rsidR="00AE7E13" w:rsidRPr="00F75DDE" w:rsidTr="00C2494E">
        <w:tc>
          <w:tcPr>
            <w:tcW w:w="1270" w:type="dxa"/>
            <w:tcBorders>
              <w:top w:val="single" w:sz="4" w:space="0" w:color="auto"/>
              <w:bottom w:val="single" w:sz="12" w:space="0" w:color="000000"/>
            </w:tcBorders>
          </w:tcPr>
          <w:p w:rsidR="00AE7E13" w:rsidRPr="00F75DDE" w:rsidRDefault="00AE7E13" w:rsidP="00E32D14">
            <w:pPr>
              <w:rPr>
                <w:rFonts w:eastAsia="Calibri"/>
                <w:b/>
                <w:noProof/>
                <w:sz w:val="18"/>
                <w:szCs w:val="18"/>
                <w:lang w:val="en-GB"/>
              </w:rPr>
            </w:pPr>
            <w:r w:rsidRPr="00C2494E">
              <w:rPr>
                <w:rFonts w:eastAsia="Calibri"/>
                <w:b/>
                <w:noProof/>
                <w:sz w:val="18"/>
                <w:szCs w:val="18"/>
                <w:lang w:val="en-GB"/>
              </w:rPr>
              <w:t>Tsybelova EM (2007)</w:t>
            </w:r>
            <w:r>
              <w:rPr>
                <w:rFonts w:eastAsia="Calibri"/>
                <w:b/>
                <w:noProof/>
                <w:sz w:val="18"/>
                <w:szCs w:val="18"/>
                <w:lang w:val="en-GB"/>
              </w:rPr>
              <w:t xml:space="preserve"> [23]</w:t>
            </w:r>
          </w:p>
        </w:tc>
        <w:tc>
          <w:tcPr>
            <w:tcW w:w="3548" w:type="dxa"/>
            <w:gridSpan w:val="2"/>
            <w:tcBorders>
              <w:top w:val="single" w:sz="4" w:space="0" w:color="auto"/>
              <w:bottom w:val="single" w:sz="12" w:space="0" w:color="000000"/>
            </w:tcBorders>
          </w:tcPr>
          <w:p w:rsidR="00AE7E13" w:rsidRPr="00F75DDE" w:rsidRDefault="00AE7E13" w:rsidP="00E32D14">
            <w:pPr>
              <w:rPr>
                <w:rFonts w:eastAsia="Calibri"/>
                <w:noProof/>
                <w:sz w:val="18"/>
                <w:szCs w:val="18"/>
                <w:lang w:val="en-GB"/>
              </w:rPr>
            </w:pPr>
            <w:r w:rsidRPr="00C2494E">
              <w:rPr>
                <w:rFonts w:eastAsia="Calibri"/>
                <w:noProof/>
                <w:sz w:val="18"/>
                <w:szCs w:val="18"/>
                <w:lang w:val="en-GB"/>
              </w:rPr>
              <w:t>Infants born 2003-2005 in a hospital setting in the Russian Federation</w:t>
            </w:r>
          </w:p>
        </w:tc>
        <w:tc>
          <w:tcPr>
            <w:tcW w:w="2469" w:type="dxa"/>
            <w:tcBorders>
              <w:top w:val="single" w:sz="4" w:space="0" w:color="auto"/>
              <w:bottom w:val="single" w:sz="12" w:space="0" w:color="000000"/>
            </w:tcBorders>
          </w:tcPr>
          <w:p w:rsidR="00AE7E13" w:rsidRPr="00F75DDE" w:rsidRDefault="00AE7E13" w:rsidP="00E32D14">
            <w:pPr>
              <w:rPr>
                <w:rFonts w:eastAsia="Calibri"/>
                <w:noProof/>
                <w:sz w:val="18"/>
                <w:szCs w:val="18"/>
                <w:lang w:val="en-GB"/>
              </w:rPr>
            </w:pPr>
            <w:r w:rsidRPr="00C2494E">
              <w:rPr>
                <w:rFonts w:eastAsia="Calibri"/>
                <w:noProof/>
                <w:sz w:val="18"/>
                <w:szCs w:val="18"/>
                <w:lang w:val="en-GB"/>
              </w:rPr>
              <w:t>Retrospective medical record review</w:t>
            </w:r>
          </w:p>
        </w:tc>
        <w:tc>
          <w:tcPr>
            <w:tcW w:w="2248" w:type="dxa"/>
            <w:tcBorders>
              <w:top w:val="single" w:sz="4" w:space="0" w:color="auto"/>
              <w:bottom w:val="single" w:sz="12" w:space="0" w:color="000000"/>
            </w:tcBorders>
          </w:tcPr>
          <w:p w:rsidR="00AE7E13" w:rsidRPr="00F75DDE" w:rsidRDefault="00AE7E13" w:rsidP="00E32D14">
            <w:pPr>
              <w:rPr>
                <w:rFonts w:eastAsia="Calibri"/>
                <w:noProof/>
                <w:sz w:val="18"/>
                <w:szCs w:val="18"/>
                <w:lang w:val="en-GB"/>
              </w:rPr>
            </w:pPr>
            <w:r w:rsidRPr="00C2494E">
              <w:rPr>
                <w:rFonts w:eastAsia="Calibri"/>
                <w:noProof/>
                <w:sz w:val="18"/>
                <w:szCs w:val="18"/>
                <w:lang w:val="en-GB"/>
              </w:rPr>
              <w:t>Perinatal encephalopathy</w:t>
            </w:r>
          </w:p>
        </w:tc>
        <w:tc>
          <w:tcPr>
            <w:tcW w:w="2160" w:type="dxa"/>
            <w:tcBorders>
              <w:top w:val="single" w:sz="4" w:space="0" w:color="auto"/>
              <w:bottom w:val="single" w:sz="12" w:space="0" w:color="000000"/>
              <w:right w:val="single" w:sz="4" w:space="0" w:color="auto"/>
            </w:tcBorders>
          </w:tcPr>
          <w:p w:rsidR="00AE7E13" w:rsidRPr="00F75DDE" w:rsidRDefault="00AE7E13" w:rsidP="00E32D14">
            <w:pPr>
              <w:rPr>
                <w:rFonts w:eastAsia="Calibri"/>
                <w:noProof/>
                <w:sz w:val="18"/>
                <w:szCs w:val="18"/>
                <w:lang w:val="en-GB"/>
              </w:rPr>
            </w:pPr>
            <w:r w:rsidRPr="00C2494E">
              <w:rPr>
                <w:rFonts w:eastAsia="Calibri"/>
                <w:noProof/>
                <w:sz w:val="18"/>
                <w:szCs w:val="18"/>
                <w:lang w:val="en-GB"/>
              </w:rPr>
              <w:t>80.1</w:t>
            </w:r>
          </w:p>
        </w:tc>
        <w:tc>
          <w:tcPr>
            <w:tcW w:w="1483" w:type="dxa"/>
            <w:tcBorders>
              <w:top w:val="single" w:sz="4" w:space="0" w:color="auto"/>
              <w:bottom w:val="single" w:sz="12" w:space="0" w:color="000000"/>
              <w:right w:val="single" w:sz="4" w:space="0" w:color="auto"/>
            </w:tcBorders>
          </w:tcPr>
          <w:p w:rsidR="00AE7E13" w:rsidRPr="00F75DDE" w:rsidRDefault="00AE7E13" w:rsidP="00E32D14">
            <w:pPr>
              <w:rPr>
                <w:rFonts w:eastAsia="Calibri"/>
                <w:noProof/>
                <w:sz w:val="18"/>
                <w:szCs w:val="18"/>
                <w:lang w:val="en-GB"/>
              </w:rPr>
            </w:pPr>
            <w:r w:rsidRPr="00C2494E">
              <w:rPr>
                <w:rFonts w:eastAsia="Calibri"/>
                <w:noProof/>
                <w:sz w:val="18"/>
                <w:szCs w:val="18"/>
                <w:lang w:val="en-GB"/>
              </w:rPr>
              <w:t>80% of 909</w:t>
            </w:r>
          </w:p>
        </w:tc>
        <w:tc>
          <w:tcPr>
            <w:tcW w:w="2126" w:type="dxa"/>
            <w:tcBorders>
              <w:top w:val="single" w:sz="4" w:space="0" w:color="auto"/>
              <w:left w:val="single" w:sz="4" w:space="0" w:color="auto"/>
              <w:bottom w:val="single" w:sz="12" w:space="0" w:color="000000"/>
              <w:right w:val="single" w:sz="4" w:space="0" w:color="000000"/>
            </w:tcBorders>
          </w:tcPr>
          <w:p w:rsidR="00AE7E13" w:rsidRPr="00F75DDE" w:rsidRDefault="00AE7E13" w:rsidP="00E32D14">
            <w:pPr>
              <w:rPr>
                <w:rFonts w:eastAsia="Calibri"/>
                <w:noProof/>
                <w:sz w:val="18"/>
                <w:szCs w:val="18"/>
                <w:lang w:val="en-GB"/>
              </w:rPr>
            </w:pPr>
            <w:r w:rsidRPr="00C2494E">
              <w:rPr>
                <w:rFonts w:eastAsia="Calibri"/>
                <w:noProof/>
                <w:sz w:val="18"/>
                <w:szCs w:val="18"/>
                <w:lang w:val="en-GB"/>
              </w:rPr>
              <w:t>N/A</w:t>
            </w:r>
          </w:p>
        </w:tc>
      </w:tr>
      <w:tr w:rsidR="00AE7E13" w:rsidRPr="00F75DDE" w:rsidTr="0032293A">
        <w:tc>
          <w:tcPr>
            <w:tcW w:w="1270" w:type="dxa"/>
            <w:tcBorders>
              <w:top w:val="single" w:sz="4" w:space="0" w:color="auto"/>
              <w:bottom w:val="single" w:sz="12" w:space="0" w:color="000000"/>
            </w:tcBorders>
          </w:tcPr>
          <w:p w:rsidR="00AE7E13" w:rsidRPr="00F75DDE" w:rsidRDefault="00AE7E13" w:rsidP="00E32D14">
            <w:pPr>
              <w:rPr>
                <w:rFonts w:eastAsia="Calibri"/>
                <w:b/>
                <w:noProof/>
                <w:sz w:val="18"/>
                <w:szCs w:val="18"/>
                <w:lang w:val="en-GB"/>
              </w:rPr>
            </w:pPr>
            <w:r w:rsidRPr="00332058">
              <w:rPr>
                <w:rFonts w:eastAsia="Calibri"/>
                <w:b/>
                <w:noProof/>
                <w:sz w:val="18"/>
                <w:szCs w:val="18"/>
                <w:lang w:val="en-GB"/>
              </w:rPr>
              <w:t>Tatochenko et al. (2006)</w:t>
            </w:r>
            <w:r>
              <w:rPr>
                <w:rFonts w:eastAsia="Calibri"/>
                <w:b/>
                <w:noProof/>
                <w:sz w:val="18"/>
                <w:szCs w:val="18"/>
                <w:lang w:val="en-GB"/>
              </w:rPr>
              <w:t xml:space="preserve"> [31]</w:t>
            </w:r>
          </w:p>
        </w:tc>
        <w:tc>
          <w:tcPr>
            <w:tcW w:w="3548" w:type="dxa"/>
            <w:gridSpan w:val="2"/>
            <w:tcBorders>
              <w:top w:val="single" w:sz="4" w:space="0" w:color="auto"/>
              <w:bottom w:val="single" w:sz="12" w:space="0" w:color="000000"/>
            </w:tcBorders>
          </w:tcPr>
          <w:p w:rsidR="00AE7E13" w:rsidRPr="00F75DDE" w:rsidRDefault="00AE7E13" w:rsidP="00E32D14">
            <w:pPr>
              <w:rPr>
                <w:rFonts w:eastAsia="Calibri"/>
                <w:noProof/>
                <w:sz w:val="18"/>
                <w:szCs w:val="18"/>
                <w:lang w:val="en-GB"/>
              </w:rPr>
            </w:pPr>
            <w:r w:rsidRPr="00332058">
              <w:rPr>
                <w:rFonts w:eastAsia="Calibri"/>
                <w:noProof/>
                <w:sz w:val="18"/>
                <w:szCs w:val="18"/>
                <w:lang w:val="en-GB"/>
              </w:rPr>
              <w:t>Infants attending outpatient clinics in Moscow, Russian Federation</w:t>
            </w:r>
          </w:p>
        </w:tc>
        <w:tc>
          <w:tcPr>
            <w:tcW w:w="2469" w:type="dxa"/>
            <w:tcBorders>
              <w:top w:val="single" w:sz="4" w:space="0" w:color="auto"/>
              <w:bottom w:val="single" w:sz="12" w:space="0" w:color="000000"/>
            </w:tcBorders>
          </w:tcPr>
          <w:p w:rsidR="00AE7E13" w:rsidRPr="00F75DDE" w:rsidRDefault="00AE7E13" w:rsidP="00E32D14">
            <w:pPr>
              <w:rPr>
                <w:rFonts w:eastAsia="Calibri"/>
                <w:noProof/>
                <w:sz w:val="18"/>
                <w:szCs w:val="18"/>
                <w:lang w:val="en-GB"/>
              </w:rPr>
            </w:pPr>
            <w:r w:rsidRPr="003C4CE0">
              <w:rPr>
                <w:rFonts w:eastAsia="Calibri"/>
                <w:noProof/>
                <w:sz w:val="18"/>
                <w:szCs w:val="18"/>
                <w:lang w:val="en-GB"/>
              </w:rPr>
              <w:t xml:space="preserve">Outpatient medical record review </w:t>
            </w:r>
          </w:p>
        </w:tc>
        <w:tc>
          <w:tcPr>
            <w:tcW w:w="2248" w:type="dxa"/>
            <w:tcBorders>
              <w:top w:val="single" w:sz="4" w:space="0" w:color="auto"/>
              <w:bottom w:val="single" w:sz="12" w:space="0" w:color="000000"/>
            </w:tcBorders>
          </w:tcPr>
          <w:p w:rsidR="00AE7E13" w:rsidRPr="003C4CE0" w:rsidRDefault="00AE7E13" w:rsidP="00E32D14">
            <w:pPr>
              <w:rPr>
                <w:rFonts w:eastAsia="Calibri"/>
                <w:noProof/>
                <w:sz w:val="18"/>
                <w:szCs w:val="18"/>
                <w:lang w:val="en-GB"/>
              </w:rPr>
            </w:pPr>
            <w:r w:rsidRPr="003C4CE0">
              <w:rPr>
                <w:rFonts w:eastAsia="Calibri"/>
                <w:noProof/>
                <w:sz w:val="18"/>
                <w:szCs w:val="18"/>
                <w:lang w:val="en-GB"/>
              </w:rPr>
              <w:t>Perinatal encephalopathy</w:t>
            </w:r>
          </w:p>
          <w:p w:rsidR="00AE7E13" w:rsidRPr="00F75DDE" w:rsidRDefault="00AE7E13" w:rsidP="00E32D14">
            <w:pPr>
              <w:rPr>
                <w:rFonts w:eastAsia="Calibri"/>
                <w:noProof/>
                <w:sz w:val="18"/>
                <w:szCs w:val="18"/>
                <w:lang w:val="en-GB"/>
              </w:rPr>
            </w:pPr>
          </w:p>
        </w:tc>
        <w:tc>
          <w:tcPr>
            <w:tcW w:w="2160" w:type="dxa"/>
            <w:tcBorders>
              <w:top w:val="single" w:sz="4" w:space="0" w:color="auto"/>
              <w:bottom w:val="single" w:sz="12" w:space="0" w:color="000000"/>
              <w:right w:val="single" w:sz="4" w:space="0" w:color="auto"/>
            </w:tcBorders>
          </w:tcPr>
          <w:p w:rsidR="00AE7E13" w:rsidRPr="00F75DDE" w:rsidRDefault="00AE7E13" w:rsidP="00E32D14">
            <w:pPr>
              <w:rPr>
                <w:rFonts w:eastAsia="Calibri"/>
                <w:noProof/>
                <w:sz w:val="18"/>
                <w:szCs w:val="18"/>
                <w:lang w:val="en-GB"/>
              </w:rPr>
            </w:pPr>
            <w:r w:rsidRPr="00332058">
              <w:rPr>
                <w:rFonts w:eastAsia="Calibri"/>
                <w:noProof/>
                <w:sz w:val="18"/>
                <w:szCs w:val="18"/>
                <w:lang w:val="en-GB"/>
              </w:rPr>
              <w:t>87.6 (82.8-92.3)</w:t>
            </w:r>
            <w:r w:rsidRPr="00332058" w:rsidDel="00A1009A">
              <w:rPr>
                <w:rFonts w:eastAsia="Calibri"/>
                <w:noProof/>
                <w:sz w:val="18"/>
                <w:szCs w:val="18"/>
                <w:lang w:val="en-GB"/>
              </w:rPr>
              <w:t xml:space="preserve"> </w:t>
            </w:r>
          </w:p>
        </w:tc>
        <w:tc>
          <w:tcPr>
            <w:tcW w:w="1483" w:type="dxa"/>
            <w:tcBorders>
              <w:top w:val="single" w:sz="4" w:space="0" w:color="auto"/>
              <w:bottom w:val="single" w:sz="12" w:space="0" w:color="000000"/>
              <w:right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162/185</w:t>
            </w:r>
          </w:p>
          <w:p w:rsidR="00AE7E13" w:rsidRPr="00F75DDE" w:rsidRDefault="00AE7E13" w:rsidP="00E32D14">
            <w:pPr>
              <w:rPr>
                <w:rFonts w:eastAsia="Calibri"/>
                <w:noProof/>
                <w:sz w:val="18"/>
                <w:szCs w:val="18"/>
                <w:lang w:val="en-GB"/>
              </w:rPr>
            </w:pPr>
          </w:p>
        </w:tc>
        <w:tc>
          <w:tcPr>
            <w:tcW w:w="2126" w:type="dxa"/>
            <w:tcBorders>
              <w:top w:val="single" w:sz="4" w:space="0" w:color="auto"/>
              <w:left w:val="single" w:sz="4" w:space="0" w:color="auto"/>
              <w:bottom w:val="single" w:sz="12" w:space="0" w:color="000000"/>
              <w:right w:val="single" w:sz="4" w:space="0" w:color="000000"/>
            </w:tcBorders>
          </w:tcPr>
          <w:p w:rsidR="00AE7E13" w:rsidRPr="00F75DDE" w:rsidRDefault="00AE7E13" w:rsidP="003A61AD">
            <w:pPr>
              <w:rPr>
                <w:rFonts w:eastAsia="Calibri"/>
                <w:noProof/>
                <w:sz w:val="18"/>
                <w:szCs w:val="18"/>
                <w:lang w:val="en-GB"/>
              </w:rPr>
            </w:pPr>
            <w:r w:rsidRPr="00332058">
              <w:rPr>
                <w:rFonts w:eastAsia="Calibri"/>
                <w:noProof/>
                <w:sz w:val="18"/>
                <w:szCs w:val="18"/>
                <w:lang w:val="en-GB"/>
              </w:rPr>
              <w:t xml:space="preserve">149 out of 162 (92.0%) diagnosed had no neurological pathology, 13 (8.0%) were diagnosed with disorders including </w:t>
            </w:r>
            <w:r w:rsidRPr="00332058">
              <w:rPr>
                <w:sz w:val="18"/>
                <w:lang w:val="en-GB"/>
              </w:rPr>
              <w:t>cerebral palsy,</w:t>
            </w:r>
            <w:r w:rsidRPr="00332058">
              <w:rPr>
                <w:spacing w:val="-18"/>
                <w:sz w:val="18"/>
                <w:lang w:val="en-GB"/>
              </w:rPr>
              <w:t xml:space="preserve"> </w:t>
            </w:r>
            <w:r w:rsidRPr="00332058">
              <w:rPr>
                <w:sz w:val="18"/>
                <w:lang w:val="en-GB"/>
              </w:rPr>
              <w:t>developmental delay kernicterus, hydrocephalus, microcephaly</w:t>
            </w:r>
            <w:r>
              <w:rPr>
                <w:sz w:val="18"/>
                <w:lang w:val="en-GB"/>
              </w:rPr>
              <w:t xml:space="preserve"> and vegetative-visceral syndrome</w:t>
            </w:r>
          </w:p>
        </w:tc>
      </w:tr>
      <w:tr w:rsidR="00AE7E13" w:rsidRPr="00F75DDE" w:rsidTr="0032293A">
        <w:trPr>
          <w:trHeight w:val="170"/>
        </w:trPr>
        <w:tc>
          <w:tcPr>
            <w:tcW w:w="1270" w:type="dxa"/>
            <w:tcBorders>
              <w:top w:val="single" w:sz="12" w:space="0" w:color="000000"/>
              <w:bottom w:val="single" w:sz="12" w:space="0" w:color="auto"/>
            </w:tcBorders>
          </w:tcPr>
          <w:p w:rsidR="00AE7E13" w:rsidRPr="003C4CE0" w:rsidRDefault="00AE7E13" w:rsidP="00C20BA4">
            <w:pPr>
              <w:rPr>
                <w:rFonts w:eastAsia="Calibri"/>
                <w:b/>
                <w:noProof/>
                <w:sz w:val="18"/>
                <w:szCs w:val="18"/>
                <w:lang w:val="en-GB"/>
              </w:rPr>
            </w:pPr>
            <w:r w:rsidRPr="00C2494E">
              <w:rPr>
                <w:rFonts w:eastAsia="Calibri"/>
                <w:b/>
                <w:noProof/>
                <w:sz w:val="18"/>
                <w:szCs w:val="18"/>
                <w:lang w:val="en-GB"/>
              </w:rPr>
              <w:t>Davydov BI et al (2006)</w:t>
            </w:r>
            <w:r>
              <w:rPr>
                <w:rFonts w:eastAsia="Calibri"/>
                <w:b/>
                <w:noProof/>
                <w:sz w:val="18"/>
                <w:szCs w:val="18"/>
                <w:lang w:val="en-GB"/>
              </w:rPr>
              <w:t xml:space="preserve"> [27]</w:t>
            </w:r>
          </w:p>
        </w:tc>
        <w:tc>
          <w:tcPr>
            <w:tcW w:w="3548" w:type="dxa"/>
            <w:gridSpan w:val="2"/>
            <w:tcBorders>
              <w:top w:val="single" w:sz="12" w:space="0" w:color="000000"/>
              <w:bottom w:val="single" w:sz="12" w:space="0" w:color="auto"/>
            </w:tcBorders>
          </w:tcPr>
          <w:p w:rsidR="00AE7E13" w:rsidRPr="003C4CE0" w:rsidRDefault="00AE7E13" w:rsidP="00C20BA4">
            <w:pPr>
              <w:rPr>
                <w:rFonts w:eastAsia="Calibri"/>
                <w:noProof/>
                <w:sz w:val="18"/>
                <w:szCs w:val="18"/>
                <w:lang w:val="en-GB"/>
              </w:rPr>
            </w:pPr>
            <w:r w:rsidRPr="00C2494E">
              <w:rPr>
                <w:rFonts w:eastAsia="Calibri"/>
                <w:noProof/>
                <w:sz w:val="18"/>
                <w:szCs w:val="18"/>
                <w:lang w:val="en-GB"/>
              </w:rPr>
              <w:t>Infants born 2002-2004 who had health supervision visits at a single primary health care cenre in Kemerovo, Russian Federation</w:t>
            </w:r>
          </w:p>
        </w:tc>
        <w:tc>
          <w:tcPr>
            <w:tcW w:w="2469" w:type="dxa"/>
            <w:tcBorders>
              <w:top w:val="single" w:sz="12" w:space="0" w:color="000000"/>
              <w:bottom w:val="single" w:sz="12" w:space="0" w:color="auto"/>
            </w:tcBorders>
          </w:tcPr>
          <w:p w:rsidR="00AE7E13" w:rsidRPr="003C4CE0" w:rsidRDefault="00AE7E13" w:rsidP="00C20BA4">
            <w:pPr>
              <w:rPr>
                <w:rFonts w:eastAsia="Calibri"/>
                <w:noProof/>
                <w:sz w:val="18"/>
                <w:szCs w:val="18"/>
                <w:lang w:val="en-GB"/>
              </w:rPr>
            </w:pPr>
            <w:r w:rsidRPr="00C2494E">
              <w:rPr>
                <w:rFonts w:eastAsia="Calibri"/>
                <w:noProof/>
                <w:sz w:val="18"/>
                <w:szCs w:val="18"/>
                <w:lang w:val="en-GB"/>
              </w:rPr>
              <w:t>Not specified</w:t>
            </w:r>
          </w:p>
        </w:tc>
        <w:tc>
          <w:tcPr>
            <w:tcW w:w="2248" w:type="dxa"/>
            <w:tcBorders>
              <w:top w:val="single" w:sz="12" w:space="0" w:color="000000"/>
              <w:bottom w:val="single" w:sz="12" w:space="0" w:color="auto"/>
            </w:tcBorders>
          </w:tcPr>
          <w:p w:rsidR="00AE7E13" w:rsidRPr="003C4CE0" w:rsidRDefault="00AE7E13" w:rsidP="00C20BA4">
            <w:pPr>
              <w:rPr>
                <w:rFonts w:eastAsia="Calibri"/>
                <w:noProof/>
                <w:sz w:val="18"/>
                <w:szCs w:val="18"/>
                <w:lang w:val="en-GB"/>
              </w:rPr>
            </w:pPr>
            <w:r w:rsidRPr="00C2494E">
              <w:rPr>
                <w:rFonts w:eastAsia="Calibri"/>
                <w:noProof/>
                <w:sz w:val="18"/>
                <w:szCs w:val="18"/>
                <w:lang w:val="en-GB"/>
              </w:rPr>
              <w:t>Perinatal encephalopathy</w:t>
            </w:r>
          </w:p>
        </w:tc>
        <w:tc>
          <w:tcPr>
            <w:tcW w:w="2160" w:type="dxa"/>
            <w:tcBorders>
              <w:top w:val="single" w:sz="12" w:space="0" w:color="000000"/>
              <w:bottom w:val="single" w:sz="12" w:space="0" w:color="auto"/>
            </w:tcBorders>
          </w:tcPr>
          <w:p w:rsidR="00AE7E13" w:rsidRPr="003C4CE0" w:rsidRDefault="00AE7E13" w:rsidP="00C20BA4">
            <w:pPr>
              <w:rPr>
                <w:rFonts w:eastAsia="Calibri"/>
                <w:noProof/>
                <w:sz w:val="18"/>
                <w:szCs w:val="18"/>
                <w:lang w:val="en-GB"/>
              </w:rPr>
            </w:pPr>
            <w:r w:rsidRPr="00C2494E">
              <w:rPr>
                <w:rFonts w:eastAsia="Calibri"/>
                <w:noProof/>
                <w:sz w:val="18"/>
                <w:szCs w:val="18"/>
                <w:lang w:val="en-GB"/>
              </w:rPr>
              <w:t xml:space="preserve">98.5 (98.2-98.8) </w:t>
            </w:r>
          </w:p>
        </w:tc>
        <w:tc>
          <w:tcPr>
            <w:tcW w:w="1483" w:type="dxa"/>
            <w:tcBorders>
              <w:top w:val="single" w:sz="12" w:space="0" w:color="000000"/>
              <w:bottom w:val="single" w:sz="12" w:space="0" w:color="auto"/>
            </w:tcBorders>
          </w:tcPr>
          <w:p w:rsidR="00AE7E13" w:rsidRPr="003C4CE0" w:rsidRDefault="00AE7E13" w:rsidP="00C20BA4">
            <w:pPr>
              <w:rPr>
                <w:rFonts w:eastAsia="Calibri"/>
                <w:noProof/>
                <w:sz w:val="18"/>
                <w:szCs w:val="18"/>
                <w:lang w:val="en-GB"/>
              </w:rPr>
            </w:pPr>
            <w:r w:rsidRPr="00C2494E">
              <w:rPr>
                <w:rFonts w:eastAsia="Calibri"/>
                <w:noProof/>
                <w:sz w:val="18"/>
                <w:szCs w:val="18"/>
                <w:lang w:val="en-GB"/>
              </w:rPr>
              <w:t>3684/3739</w:t>
            </w:r>
          </w:p>
        </w:tc>
        <w:tc>
          <w:tcPr>
            <w:tcW w:w="2126" w:type="dxa"/>
            <w:tcBorders>
              <w:top w:val="single" w:sz="12" w:space="0" w:color="000000"/>
              <w:bottom w:val="single" w:sz="12" w:space="0" w:color="auto"/>
            </w:tcBorders>
          </w:tcPr>
          <w:p w:rsidR="00AE7E13" w:rsidRPr="003C4CE0" w:rsidRDefault="00AE7E13" w:rsidP="00C20BA4">
            <w:pPr>
              <w:rPr>
                <w:rFonts w:eastAsia="Calibri"/>
                <w:noProof/>
                <w:sz w:val="18"/>
                <w:szCs w:val="18"/>
                <w:lang w:val="en-GB"/>
              </w:rPr>
            </w:pPr>
            <w:r w:rsidRPr="00C2494E">
              <w:rPr>
                <w:rFonts w:eastAsia="Calibri"/>
                <w:noProof/>
                <w:sz w:val="18"/>
                <w:szCs w:val="18"/>
                <w:lang w:val="en-GB"/>
              </w:rPr>
              <w:t>N/A</w:t>
            </w:r>
          </w:p>
        </w:tc>
      </w:tr>
      <w:tr w:rsidR="00AE7E13" w:rsidRPr="00F75DDE" w:rsidTr="0032293A">
        <w:trPr>
          <w:trHeight w:val="396"/>
        </w:trPr>
        <w:tc>
          <w:tcPr>
            <w:tcW w:w="1270" w:type="dxa"/>
            <w:vMerge w:val="restart"/>
            <w:tcBorders>
              <w:top w:val="single" w:sz="12" w:space="0" w:color="auto"/>
            </w:tcBorders>
          </w:tcPr>
          <w:p w:rsidR="00AE7E13" w:rsidRPr="003C4CE0" w:rsidRDefault="00AE7E13" w:rsidP="00E32D14">
            <w:pPr>
              <w:rPr>
                <w:rFonts w:eastAsia="Calibri"/>
                <w:b/>
                <w:noProof/>
                <w:sz w:val="18"/>
                <w:szCs w:val="18"/>
                <w:lang w:val="en-GB"/>
              </w:rPr>
            </w:pPr>
            <w:r w:rsidRPr="003C4CE0">
              <w:rPr>
                <w:rFonts w:eastAsia="Calibri"/>
                <w:b/>
                <w:noProof/>
                <w:sz w:val="18"/>
                <w:szCs w:val="18"/>
                <w:lang w:val="en-GB"/>
              </w:rPr>
              <w:t>Fedorov and Salomova (2009)</w:t>
            </w:r>
            <w:r>
              <w:rPr>
                <w:rFonts w:eastAsia="Calibri"/>
                <w:b/>
                <w:noProof/>
                <w:sz w:val="18"/>
                <w:szCs w:val="18"/>
                <w:lang w:val="en-GB"/>
              </w:rPr>
              <w:t xml:space="preserve"> [30]</w:t>
            </w:r>
          </w:p>
        </w:tc>
        <w:tc>
          <w:tcPr>
            <w:tcW w:w="3548" w:type="dxa"/>
            <w:gridSpan w:val="2"/>
            <w:tcBorders>
              <w:top w:val="single" w:sz="12" w:space="0" w:color="auto"/>
              <w:bottom w:val="single" w:sz="4" w:space="0" w:color="auto"/>
            </w:tcBorders>
          </w:tcPr>
          <w:p w:rsidR="00AE7E13" w:rsidRPr="003C4CE0" w:rsidRDefault="00AE7E13" w:rsidP="00E32D14">
            <w:pPr>
              <w:rPr>
                <w:rFonts w:eastAsia="Calibri"/>
                <w:noProof/>
                <w:sz w:val="18"/>
                <w:szCs w:val="18"/>
                <w:lang w:val="en-GB"/>
              </w:rPr>
            </w:pPr>
            <w:r w:rsidRPr="003C4CE0">
              <w:rPr>
                <w:rFonts w:eastAsia="Calibri"/>
                <w:noProof/>
                <w:sz w:val="18"/>
                <w:szCs w:val="18"/>
                <w:lang w:val="en-GB"/>
              </w:rPr>
              <w:t xml:space="preserve">Infants attending district outpatient clinics in Moscow, Russian Federation </w:t>
            </w:r>
          </w:p>
        </w:tc>
        <w:tc>
          <w:tcPr>
            <w:tcW w:w="2469" w:type="dxa"/>
            <w:vMerge w:val="restart"/>
            <w:tcBorders>
              <w:top w:val="single" w:sz="12" w:space="0" w:color="auto"/>
            </w:tcBorders>
          </w:tcPr>
          <w:p w:rsidR="00AE7E13" w:rsidRPr="00EF1423" w:rsidRDefault="00AE7E13" w:rsidP="00E32D14">
            <w:pPr>
              <w:rPr>
                <w:rFonts w:eastAsia="Calibri"/>
                <w:noProof/>
                <w:sz w:val="18"/>
                <w:szCs w:val="18"/>
                <w:lang w:val="en-GB"/>
              </w:rPr>
            </w:pPr>
            <w:r w:rsidRPr="00EF1423">
              <w:rPr>
                <w:rFonts w:eastAsia="Calibri"/>
                <w:noProof/>
                <w:sz w:val="18"/>
                <w:szCs w:val="18"/>
                <w:lang w:val="en-GB"/>
              </w:rPr>
              <w:t xml:space="preserve">Outpatient medical record review </w:t>
            </w:r>
          </w:p>
        </w:tc>
        <w:tc>
          <w:tcPr>
            <w:tcW w:w="2248" w:type="dxa"/>
            <w:vMerge w:val="restart"/>
            <w:tcBorders>
              <w:top w:val="single" w:sz="12"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Perinatal encephalopathy</w:t>
            </w:r>
          </w:p>
        </w:tc>
        <w:tc>
          <w:tcPr>
            <w:tcW w:w="2160" w:type="dxa"/>
            <w:tcBorders>
              <w:top w:val="single" w:sz="12" w:space="0" w:color="auto"/>
              <w:right w:val="single" w:sz="4" w:space="0" w:color="auto"/>
            </w:tcBorders>
          </w:tcPr>
          <w:p w:rsidR="00AE7E13" w:rsidRPr="00332058" w:rsidRDefault="00AE7E13" w:rsidP="00E32D14">
            <w:pPr>
              <w:rPr>
                <w:rFonts w:eastAsia="Calibri"/>
                <w:noProof/>
                <w:sz w:val="18"/>
                <w:szCs w:val="18"/>
                <w:lang w:val="en-GB"/>
              </w:rPr>
            </w:pPr>
          </w:p>
        </w:tc>
        <w:tc>
          <w:tcPr>
            <w:tcW w:w="1483" w:type="dxa"/>
            <w:tcBorders>
              <w:top w:val="single" w:sz="12" w:space="0" w:color="auto"/>
              <w:right w:val="single" w:sz="4" w:space="0" w:color="auto"/>
            </w:tcBorders>
          </w:tcPr>
          <w:p w:rsidR="00AE7E13" w:rsidRPr="00332058" w:rsidRDefault="00AE7E13" w:rsidP="00E32D14">
            <w:pPr>
              <w:rPr>
                <w:rFonts w:eastAsia="Calibri"/>
                <w:noProof/>
                <w:sz w:val="18"/>
                <w:szCs w:val="18"/>
                <w:lang w:val="en-GB"/>
              </w:rPr>
            </w:pPr>
          </w:p>
        </w:tc>
        <w:tc>
          <w:tcPr>
            <w:tcW w:w="2126" w:type="dxa"/>
            <w:vMerge w:val="restart"/>
            <w:tcBorders>
              <w:top w:val="single" w:sz="12" w:space="0" w:color="auto"/>
              <w:left w:val="single" w:sz="4" w:space="0" w:color="auto"/>
              <w:right w:val="single" w:sz="4" w:space="0" w:color="000000"/>
            </w:tcBorders>
          </w:tcPr>
          <w:p w:rsidR="00AE7E13" w:rsidRPr="00332058" w:rsidRDefault="00AE7E13" w:rsidP="00E32D14">
            <w:pPr>
              <w:rPr>
                <w:rFonts w:eastAsia="Calibri"/>
                <w:noProof/>
                <w:sz w:val="18"/>
                <w:szCs w:val="18"/>
                <w:lang w:val="en-GB"/>
              </w:rPr>
            </w:pPr>
          </w:p>
          <w:p w:rsidR="00AE7E13" w:rsidRPr="00332058" w:rsidRDefault="00AE7E13" w:rsidP="00E32D14">
            <w:pPr>
              <w:rPr>
                <w:rFonts w:eastAsia="Calibri"/>
                <w:noProof/>
                <w:sz w:val="18"/>
                <w:szCs w:val="18"/>
                <w:lang w:val="en-GB"/>
              </w:rPr>
            </w:pPr>
            <w:r w:rsidRPr="00332058">
              <w:rPr>
                <w:rFonts w:eastAsia="Calibri"/>
                <w:noProof/>
                <w:sz w:val="18"/>
                <w:szCs w:val="18"/>
                <w:lang w:val="en-GB"/>
              </w:rPr>
              <w:t>N/A</w:t>
            </w:r>
          </w:p>
        </w:tc>
      </w:tr>
      <w:tr w:rsidR="00AE7E13" w:rsidRPr="00F75DDE" w:rsidTr="00C2494E">
        <w:trPr>
          <w:trHeight w:val="225"/>
        </w:trPr>
        <w:tc>
          <w:tcPr>
            <w:tcW w:w="1270" w:type="dxa"/>
            <w:vMerge/>
          </w:tcPr>
          <w:p w:rsidR="00AE7E13" w:rsidRPr="00332058" w:rsidRDefault="00AE7E13" w:rsidP="00E32D14">
            <w:pPr>
              <w:rPr>
                <w:rFonts w:eastAsia="Calibri"/>
                <w:b/>
                <w:noProof/>
                <w:sz w:val="18"/>
                <w:szCs w:val="18"/>
                <w:lang w:val="en-GB"/>
              </w:rPr>
            </w:pPr>
          </w:p>
        </w:tc>
        <w:tc>
          <w:tcPr>
            <w:tcW w:w="1989" w:type="dxa"/>
            <w:tcBorders>
              <w:top w:val="single" w:sz="4" w:space="0" w:color="auto"/>
              <w:bottom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Born 1995</w:t>
            </w:r>
          </w:p>
        </w:tc>
        <w:tc>
          <w:tcPr>
            <w:tcW w:w="1559" w:type="dxa"/>
            <w:tcBorders>
              <w:top w:val="single" w:sz="4" w:space="0" w:color="auto"/>
              <w:bottom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Zelenograd</w:t>
            </w:r>
          </w:p>
        </w:tc>
        <w:tc>
          <w:tcPr>
            <w:tcW w:w="2469" w:type="dxa"/>
            <w:vMerge/>
          </w:tcPr>
          <w:p w:rsidR="00AE7E13" w:rsidRPr="00332058" w:rsidRDefault="00AE7E13" w:rsidP="00E32D14">
            <w:pPr>
              <w:rPr>
                <w:rFonts w:eastAsia="Calibri"/>
                <w:noProof/>
                <w:sz w:val="18"/>
                <w:szCs w:val="18"/>
                <w:lang w:val="en-GB"/>
              </w:rPr>
            </w:pPr>
          </w:p>
        </w:tc>
        <w:tc>
          <w:tcPr>
            <w:tcW w:w="2248" w:type="dxa"/>
            <w:vMerge/>
          </w:tcPr>
          <w:p w:rsidR="00AE7E13" w:rsidRPr="00332058" w:rsidRDefault="00AE7E13" w:rsidP="00E32D14">
            <w:pPr>
              <w:rPr>
                <w:rFonts w:eastAsia="Calibri"/>
                <w:noProof/>
                <w:sz w:val="18"/>
                <w:szCs w:val="18"/>
                <w:lang w:val="en-GB"/>
              </w:rPr>
            </w:pPr>
          </w:p>
        </w:tc>
        <w:tc>
          <w:tcPr>
            <w:tcW w:w="2160" w:type="dxa"/>
            <w:tcBorders>
              <w:right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 xml:space="preserve">67.4 (57.9-76.8) </w:t>
            </w:r>
          </w:p>
        </w:tc>
        <w:tc>
          <w:tcPr>
            <w:tcW w:w="1483" w:type="dxa"/>
            <w:tcBorders>
              <w:right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188/237</w:t>
            </w:r>
          </w:p>
        </w:tc>
        <w:tc>
          <w:tcPr>
            <w:tcW w:w="2126" w:type="dxa"/>
            <w:vMerge/>
            <w:tcBorders>
              <w:left w:val="single" w:sz="4" w:space="0" w:color="auto"/>
              <w:right w:val="single" w:sz="4" w:space="0" w:color="000000"/>
            </w:tcBorders>
          </w:tcPr>
          <w:p w:rsidR="00AE7E13" w:rsidRPr="00332058" w:rsidRDefault="00AE7E13" w:rsidP="00E32D14">
            <w:pPr>
              <w:rPr>
                <w:rFonts w:eastAsia="Calibri"/>
                <w:noProof/>
                <w:sz w:val="18"/>
                <w:szCs w:val="18"/>
                <w:lang w:val="en-GB"/>
              </w:rPr>
            </w:pPr>
          </w:p>
        </w:tc>
      </w:tr>
      <w:tr w:rsidR="00AE7E13" w:rsidRPr="00F75DDE" w:rsidTr="00C2494E">
        <w:trPr>
          <w:trHeight w:val="181"/>
        </w:trPr>
        <w:tc>
          <w:tcPr>
            <w:tcW w:w="1270" w:type="dxa"/>
            <w:vMerge/>
          </w:tcPr>
          <w:p w:rsidR="00AE7E13" w:rsidRPr="00332058" w:rsidRDefault="00AE7E13" w:rsidP="00E32D14">
            <w:pPr>
              <w:rPr>
                <w:rFonts w:eastAsia="Calibri"/>
                <w:b/>
                <w:noProof/>
                <w:sz w:val="18"/>
                <w:szCs w:val="18"/>
                <w:lang w:val="en-GB"/>
              </w:rPr>
            </w:pPr>
          </w:p>
        </w:tc>
        <w:tc>
          <w:tcPr>
            <w:tcW w:w="1989" w:type="dxa"/>
            <w:tcBorders>
              <w:top w:val="single" w:sz="4" w:space="0" w:color="auto"/>
              <w:bottom w:val="single" w:sz="4" w:space="0" w:color="auto"/>
            </w:tcBorders>
          </w:tcPr>
          <w:p w:rsidR="00AE7E13" w:rsidRPr="00332058" w:rsidRDefault="00AE7E13" w:rsidP="00E32D14">
            <w:pPr>
              <w:rPr>
                <w:rFonts w:eastAsia="Calibri"/>
                <w:noProof/>
                <w:sz w:val="18"/>
                <w:szCs w:val="18"/>
                <w:lang w:val="en-GB"/>
              </w:rPr>
            </w:pPr>
          </w:p>
        </w:tc>
        <w:tc>
          <w:tcPr>
            <w:tcW w:w="1559" w:type="dxa"/>
            <w:tcBorders>
              <w:top w:val="single" w:sz="4" w:space="0" w:color="auto"/>
              <w:bottom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South West</w:t>
            </w:r>
          </w:p>
        </w:tc>
        <w:tc>
          <w:tcPr>
            <w:tcW w:w="2469" w:type="dxa"/>
            <w:vMerge/>
          </w:tcPr>
          <w:p w:rsidR="00AE7E13" w:rsidRPr="00332058" w:rsidRDefault="00AE7E13" w:rsidP="00E32D14">
            <w:pPr>
              <w:rPr>
                <w:rFonts w:eastAsia="Calibri"/>
                <w:noProof/>
                <w:sz w:val="18"/>
                <w:szCs w:val="18"/>
                <w:lang w:val="en-GB"/>
              </w:rPr>
            </w:pPr>
          </w:p>
        </w:tc>
        <w:tc>
          <w:tcPr>
            <w:tcW w:w="2248" w:type="dxa"/>
            <w:vMerge/>
          </w:tcPr>
          <w:p w:rsidR="00AE7E13" w:rsidRPr="00332058" w:rsidRDefault="00AE7E13" w:rsidP="00E32D14">
            <w:pPr>
              <w:rPr>
                <w:rFonts w:eastAsia="Calibri"/>
                <w:noProof/>
                <w:sz w:val="18"/>
                <w:szCs w:val="18"/>
                <w:lang w:val="en-GB"/>
              </w:rPr>
            </w:pPr>
          </w:p>
        </w:tc>
        <w:tc>
          <w:tcPr>
            <w:tcW w:w="2160" w:type="dxa"/>
            <w:tcBorders>
              <w:right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84.5 (77.8-91.3)</w:t>
            </w:r>
          </w:p>
        </w:tc>
        <w:tc>
          <w:tcPr>
            <w:tcW w:w="1483" w:type="dxa"/>
            <w:tcBorders>
              <w:right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93/110</w:t>
            </w:r>
          </w:p>
        </w:tc>
        <w:tc>
          <w:tcPr>
            <w:tcW w:w="2126" w:type="dxa"/>
            <w:vMerge/>
            <w:tcBorders>
              <w:left w:val="single" w:sz="4" w:space="0" w:color="auto"/>
              <w:right w:val="single" w:sz="4" w:space="0" w:color="000000"/>
            </w:tcBorders>
          </w:tcPr>
          <w:p w:rsidR="00AE7E13" w:rsidRPr="00332058" w:rsidRDefault="00AE7E13" w:rsidP="00E32D14">
            <w:pPr>
              <w:rPr>
                <w:rFonts w:eastAsia="Calibri"/>
                <w:noProof/>
                <w:sz w:val="18"/>
                <w:szCs w:val="18"/>
                <w:lang w:val="en-GB"/>
              </w:rPr>
            </w:pPr>
          </w:p>
        </w:tc>
      </w:tr>
      <w:tr w:rsidR="00AE7E13" w:rsidRPr="00F75DDE" w:rsidTr="00C2494E">
        <w:trPr>
          <w:trHeight w:val="213"/>
        </w:trPr>
        <w:tc>
          <w:tcPr>
            <w:tcW w:w="1270" w:type="dxa"/>
            <w:vMerge/>
          </w:tcPr>
          <w:p w:rsidR="00AE7E13" w:rsidRPr="00332058" w:rsidRDefault="00AE7E13" w:rsidP="00E32D14">
            <w:pPr>
              <w:rPr>
                <w:rFonts w:eastAsia="Calibri"/>
                <w:b/>
                <w:noProof/>
                <w:sz w:val="18"/>
                <w:szCs w:val="18"/>
                <w:lang w:val="en-GB"/>
              </w:rPr>
            </w:pPr>
          </w:p>
        </w:tc>
        <w:tc>
          <w:tcPr>
            <w:tcW w:w="1989" w:type="dxa"/>
            <w:vMerge w:val="restart"/>
            <w:tcBorders>
              <w:top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Born 1999 or 2000</w:t>
            </w:r>
          </w:p>
        </w:tc>
        <w:tc>
          <w:tcPr>
            <w:tcW w:w="1559" w:type="dxa"/>
            <w:tcBorders>
              <w:top w:val="single" w:sz="4" w:space="0" w:color="auto"/>
              <w:bottom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Zelenograd</w:t>
            </w:r>
          </w:p>
        </w:tc>
        <w:tc>
          <w:tcPr>
            <w:tcW w:w="2469" w:type="dxa"/>
            <w:vMerge/>
          </w:tcPr>
          <w:p w:rsidR="00AE7E13" w:rsidRPr="00332058" w:rsidRDefault="00AE7E13" w:rsidP="00E32D14">
            <w:pPr>
              <w:rPr>
                <w:rFonts w:eastAsia="Calibri"/>
                <w:noProof/>
                <w:sz w:val="18"/>
                <w:szCs w:val="18"/>
                <w:lang w:val="en-GB"/>
              </w:rPr>
            </w:pPr>
          </w:p>
        </w:tc>
        <w:tc>
          <w:tcPr>
            <w:tcW w:w="2248" w:type="dxa"/>
            <w:vMerge/>
          </w:tcPr>
          <w:p w:rsidR="00AE7E13" w:rsidRPr="00332058" w:rsidRDefault="00AE7E13" w:rsidP="00E32D14">
            <w:pPr>
              <w:rPr>
                <w:rFonts w:eastAsia="Calibri"/>
                <w:noProof/>
                <w:sz w:val="18"/>
                <w:szCs w:val="18"/>
                <w:lang w:val="en-GB"/>
              </w:rPr>
            </w:pPr>
          </w:p>
        </w:tc>
        <w:tc>
          <w:tcPr>
            <w:tcW w:w="2160" w:type="dxa"/>
            <w:tcBorders>
              <w:right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89.4 (83.1-95.6)</w:t>
            </w:r>
          </w:p>
        </w:tc>
        <w:tc>
          <w:tcPr>
            <w:tcW w:w="1483" w:type="dxa"/>
            <w:tcBorders>
              <w:right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84/94</w:t>
            </w:r>
          </w:p>
        </w:tc>
        <w:tc>
          <w:tcPr>
            <w:tcW w:w="2126" w:type="dxa"/>
            <w:vMerge/>
            <w:tcBorders>
              <w:left w:val="single" w:sz="4" w:space="0" w:color="auto"/>
              <w:right w:val="single" w:sz="4" w:space="0" w:color="000000"/>
            </w:tcBorders>
          </w:tcPr>
          <w:p w:rsidR="00AE7E13" w:rsidRPr="00332058" w:rsidRDefault="00AE7E13" w:rsidP="00E32D14">
            <w:pPr>
              <w:rPr>
                <w:rFonts w:eastAsia="Calibri"/>
                <w:noProof/>
                <w:sz w:val="18"/>
                <w:szCs w:val="18"/>
                <w:lang w:val="en-GB"/>
              </w:rPr>
            </w:pPr>
          </w:p>
        </w:tc>
      </w:tr>
      <w:tr w:rsidR="00AE7E13" w:rsidRPr="00F75DDE" w:rsidTr="00C2494E">
        <w:trPr>
          <w:trHeight w:val="217"/>
        </w:trPr>
        <w:tc>
          <w:tcPr>
            <w:tcW w:w="1270" w:type="dxa"/>
            <w:vMerge/>
          </w:tcPr>
          <w:p w:rsidR="00AE7E13" w:rsidRPr="00332058" w:rsidRDefault="00AE7E13" w:rsidP="00E32D14">
            <w:pPr>
              <w:rPr>
                <w:rFonts w:eastAsia="Calibri"/>
                <w:b/>
                <w:noProof/>
                <w:sz w:val="18"/>
                <w:szCs w:val="18"/>
                <w:lang w:val="en-GB"/>
              </w:rPr>
            </w:pPr>
          </w:p>
        </w:tc>
        <w:tc>
          <w:tcPr>
            <w:tcW w:w="1989" w:type="dxa"/>
            <w:vMerge/>
          </w:tcPr>
          <w:p w:rsidR="00AE7E13" w:rsidRPr="00332058" w:rsidRDefault="00AE7E13" w:rsidP="00E32D14">
            <w:pPr>
              <w:rPr>
                <w:rFonts w:eastAsia="Calibri"/>
                <w:noProof/>
                <w:sz w:val="18"/>
                <w:szCs w:val="18"/>
                <w:lang w:val="en-GB"/>
              </w:rPr>
            </w:pPr>
          </w:p>
        </w:tc>
        <w:tc>
          <w:tcPr>
            <w:tcW w:w="1559" w:type="dxa"/>
            <w:tcBorders>
              <w:top w:val="single" w:sz="4" w:space="0" w:color="auto"/>
              <w:bottom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South West</w:t>
            </w:r>
          </w:p>
        </w:tc>
        <w:tc>
          <w:tcPr>
            <w:tcW w:w="2469" w:type="dxa"/>
            <w:vMerge/>
          </w:tcPr>
          <w:p w:rsidR="00AE7E13" w:rsidRPr="00332058" w:rsidRDefault="00AE7E13" w:rsidP="00E32D14">
            <w:pPr>
              <w:rPr>
                <w:rFonts w:eastAsia="Calibri"/>
                <w:noProof/>
                <w:sz w:val="18"/>
                <w:szCs w:val="18"/>
                <w:lang w:val="en-GB"/>
              </w:rPr>
            </w:pPr>
          </w:p>
        </w:tc>
        <w:tc>
          <w:tcPr>
            <w:tcW w:w="2248" w:type="dxa"/>
            <w:vMerge/>
          </w:tcPr>
          <w:p w:rsidR="00AE7E13" w:rsidRPr="00332058" w:rsidRDefault="00AE7E13" w:rsidP="00E32D14">
            <w:pPr>
              <w:rPr>
                <w:rFonts w:eastAsia="Calibri"/>
                <w:noProof/>
                <w:sz w:val="18"/>
                <w:szCs w:val="18"/>
                <w:lang w:val="en-GB"/>
              </w:rPr>
            </w:pPr>
          </w:p>
        </w:tc>
        <w:tc>
          <w:tcPr>
            <w:tcW w:w="2160" w:type="dxa"/>
            <w:tcBorders>
              <w:bottom w:val="single" w:sz="4" w:space="0" w:color="auto"/>
              <w:right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 xml:space="preserve">79.3 (74.2-84.5) </w:t>
            </w:r>
          </w:p>
        </w:tc>
        <w:tc>
          <w:tcPr>
            <w:tcW w:w="1483" w:type="dxa"/>
            <w:tcBorders>
              <w:right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64/95</w:t>
            </w:r>
          </w:p>
        </w:tc>
        <w:tc>
          <w:tcPr>
            <w:tcW w:w="2126" w:type="dxa"/>
            <w:vMerge/>
            <w:tcBorders>
              <w:left w:val="single" w:sz="4" w:space="0" w:color="auto"/>
              <w:right w:val="single" w:sz="4" w:space="0" w:color="000000"/>
            </w:tcBorders>
          </w:tcPr>
          <w:p w:rsidR="00AE7E13" w:rsidRPr="00332058" w:rsidRDefault="00AE7E13" w:rsidP="00E32D14">
            <w:pPr>
              <w:rPr>
                <w:rFonts w:eastAsia="Calibri"/>
                <w:noProof/>
                <w:sz w:val="18"/>
                <w:szCs w:val="18"/>
                <w:lang w:val="en-GB"/>
              </w:rPr>
            </w:pPr>
          </w:p>
        </w:tc>
      </w:tr>
      <w:tr w:rsidR="00AE7E13" w:rsidRPr="00F75DDE" w:rsidTr="00C2494E">
        <w:trPr>
          <w:trHeight w:val="207"/>
        </w:trPr>
        <w:tc>
          <w:tcPr>
            <w:tcW w:w="1270" w:type="dxa"/>
            <w:vMerge/>
            <w:tcBorders>
              <w:bottom w:val="single" w:sz="12" w:space="0" w:color="000000"/>
            </w:tcBorders>
          </w:tcPr>
          <w:p w:rsidR="00AE7E13" w:rsidRPr="00332058" w:rsidRDefault="00AE7E13" w:rsidP="00E32D14">
            <w:pPr>
              <w:rPr>
                <w:rFonts w:eastAsia="Calibri"/>
                <w:b/>
                <w:noProof/>
                <w:sz w:val="18"/>
                <w:szCs w:val="18"/>
                <w:lang w:val="en-GB"/>
              </w:rPr>
            </w:pPr>
          </w:p>
        </w:tc>
        <w:tc>
          <w:tcPr>
            <w:tcW w:w="1989" w:type="dxa"/>
            <w:vMerge/>
            <w:tcBorders>
              <w:bottom w:val="single" w:sz="12" w:space="0" w:color="000000"/>
            </w:tcBorders>
          </w:tcPr>
          <w:p w:rsidR="00AE7E13" w:rsidRPr="00332058" w:rsidRDefault="00AE7E13" w:rsidP="00E32D14">
            <w:pPr>
              <w:rPr>
                <w:rFonts w:eastAsia="Calibri"/>
                <w:noProof/>
                <w:sz w:val="18"/>
                <w:szCs w:val="18"/>
                <w:lang w:val="en-GB"/>
              </w:rPr>
            </w:pPr>
          </w:p>
        </w:tc>
        <w:tc>
          <w:tcPr>
            <w:tcW w:w="1559" w:type="dxa"/>
            <w:tcBorders>
              <w:top w:val="single" w:sz="4" w:space="0" w:color="auto"/>
              <w:bottom w:val="single" w:sz="12" w:space="0" w:color="000000"/>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Butovo</w:t>
            </w:r>
          </w:p>
        </w:tc>
        <w:tc>
          <w:tcPr>
            <w:tcW w:w="2469" w:type="dxa"/>
            <w:vMerge/>
            <w:tcBorders>
              <w:bottom w:val="single" w:sz="12" w:space="0" w:color="000000"/>
            </w:tcBorders>
          </w:tcPr>
          <w:p w:rsidR="00AE7E13" w:rsidRPr="00332058" w:rsidRDefault="00AE7E13" w:rsidP="00E32D14">
            <w:pPr>
              <w:rPr>
                <w:rFonts w:eastAsia="Calibri"/>
                <w:noProof/>
                <w:sz w:val="18"/>
                <w:szCs w:val="18"/>
                <w:lang w:val="en-GB"/>
              </w:rPr>
            </w:pPr>
          </w:p>
        </w:tc>
        <w:tc>
          <w:tcPr>
            <w:tcW w:w="2248" w:type="dxa"/>
            <w:vMerge/>
            <w:tcBorders>
              <w:bottom w:val="single" w:sz="12" w:space="0" w:color="000000"/>
            </w:tcBorders>
          </w:tcPr>
          <w:p w:rsidR="00AE7E13" w:rsidRPr="00332058" w:rsidRDefault="00AE7E13" w:rsidP="00E32D14">
            <w:pPr>
              <w:rPr>
                <w:rFonts w:eastAsia="Calibri"/>
                <w:noProof/>
                <w:sz w:val="18"/>
                <w:szCs w:val="18"/>
                <w:lang w:val="en-GB"/>
              </w:rPr>
            </w:pPr>
          </w:p>
        </w:tc>
        <w:tc>
          <w:tcPr>
            <w:tcW w:w="2160" w:type="dxa"/>
            <w:tcBorders>
              <w:top w:val="single" w:sz="4" w:space="0" w:color="auto"/>
              <w:bottom w:val="single" w:sz="12" w:space="0" w:color="000000"/>
              <w:right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 xml:space="preserve">32.5 (29.1-36.0) </w:t>
            </w:r>
          </w:p>
        </w:tc>
        <w:tc>
          <w:tcPr>
            <w:tcW w:w="1483" w:type="dxa"/>
            <w:tcBorders>
              <w:bottom w:val="single" w:sz="12" w:space="0" w:color="000000"/>
              <w:right w:val="single" w:sz="4" w:space="0" w:color="auto"/>
            </w:tcBorders>
          </w:tcPr>
          <w:p w:rsidR="00AE7E13" w:rsidRPr="00332058" w:rsidRDefault="00AE7E13" w:rsidP="00E32D14">
            <w:pPr>
              <w:rPr>
                <w:rFonts w:eastAsia="Calibri"/>
                <w:noProof/>
                <w:sz w:val="18"/>
                <w:szCs w:val="18"/>
                <w:lang w:val="en-GB"/>
              </w:rPr>
            </w:pPr>
            <w:r w:rsidRPr="00332058">
              <w:rPr>
                <w:rFonts w:eastAsia="Calibri"/>
                <w:noProof/>
                <w:sz w:val="18"/>
                <w:szCs w:val="18"/>
                <w:lang w:val="en-GB"/>
              </w:rPr>
              <w:t>234/719</w:t>
            </w:r>
          </w:p>
        </w:tc>
        <w:tc>
          <w:tcPr>
            <w:tcW w:w="2126" w:type="dxa"/>
            <w:vMerge/>
            <w:tcBorders>
              <w:left w:val="single" w:sz="4" w:space="0" w:color="auto"/>
              <w:bottom w:val="single" w:sz="12" w:space="0" w:color="000000"/>
              <w:right w:val="single" w:sz="4" w:space="0" w:color="000000"/>
            </w:tcBorders>
          </w:tcPr>
          <w:p w:rsidR="00AE7E13" w:rsidRPr="00332058" w:rsidRDefault="00AE7E13" w:rsidP="00E32D14">
            <w:pPr>
              <w:rPr>
                <w:rFonts w:eastAsia="Calibri"/>
                <w:noProof/>
                <w:sz w:val="18"/>
                <w:szCs w:val="18"/>
                <w:lang w:val="en-GB"/>
              </w:rPr>
            </w:pPr>
          </w:p>
        </w:tc>
      </w:tr>
      <w:tr w:rsidR="00AE7E13" w:rsidRPr="00F75DDE" w:rsidTr="0032293A">
        <w:trPr>
          <w:trHeight w:val="170"/>
        </w:trPr>
        <w:tc>
          <w:tcPr>
            <w:tcW w:w="15304" w:type="dxa"/>
            <w:gridSpan w:val="8"/>
            <w:tcBorders>
              <w:top w:val="single" w:sz="12" w:space="0" w:color="000000"/>
              <w:bottom w:val="single" w:sz="12" w:space="0" w:color="000000"/>
            </w:tcBorders>
          </w:tcPr>
          <w:p w:rsidR="00AE7E13" w:rsidRPr="00A373C7" w:rsidRDefault="00AE7E13" w:rsidP="00E32D14">
            <w:pPr>
              <w:rPr>
                <w:rFonts w:eastAsia="Calibri"/>
                <w:b/>
                <w:bCs/>
                <w:noProof/>
                <w:sz w:val="18"/>
                <w:szCs w:val="18"/>
                <w:lang w:val="en-GB"/>
              </w:rPr>
            </w:pPr>
            <w:r w:rsidRPr="00A373C7">
              <w:rPr>
                <w:rFonts w:eastAsia="Calibri"/>
                <w:b/>
                <w:bCs/>
                <w:noProof/>
                <w:sz w:val="18"/>
                <w:szCs w:val="18"/>
                <w:lang w:val="en-GB"/>
              </w:rPr>
              <w:t>Special populations</w:t>
            </w:r>
          </w:p>
        </w:tc>
      </w:tr>
      <w:tr w:rsidR="00AE7E13" w:rsidRPr="00F75DDE" w:rsidTr="0032293A">
        <w:trPr>
          <w:trHeight w:val="170"/>
        </w:trPr>
        <w:tc>
          <w:tcPr>
            <w:tcW w:w="1270" w:type="dxa"/>
            <w:tcBorders>
              <w:top w:val="single" w:sz="12" w:space="0" w:color="000000"/>
              <w:bottom w:val="single" w:sz="12" w:space="0" w:color="auto"/>
            </w:tcBorders>
          </w:tcPr>
          <w:p w:rsidR="00AE7E13" w:rsidRPr="00C41DA7" w:rsidRDefault="00AE7E13" w:rsidP="00E32D14">
            <w:pPr>
              <w:rPr>
                <w:rFonts w:eastAsia="Calibri"/>
                <w:b/>
                <w:noProof/>
                <w:sz w:val="18"/>
                <w:szCs w:val="18"/>
                <w:lang w:val="en-GB"/>
              </w:rPr>
            </w:pPr>
            <w:r w:rsidRPr="00F75DDE">
              <w:rPr>
                <w:rFonts w:eastAsia="Calibri"/>
                <w:b/>
                <w:noProof/>
                <w:sz w:val="18"/>
                <w:szCs w:val="18"/>
                <w:lang w:val="en-GB"/>
              </w:rPr>
              <w:t>Miller et al. (2007)</w:t>
            </w:r>
            <w:r>
              <w:rPr>
                <w:rFonts w:eastAsia="Calibri"/>
                <w:b/>
                <w:noProof/>
                <w:sz w:val="18"/>
                <w:szCs w:val="18"/>
                <w:lang w:val="en-GB"/>
              </w:rPr>
              <w:t xml:space="preserve"> [14]</w:t>
            </w:r>
          </w:p>
        </w:tc>
        <w:tc>
          <w:tcPr>
            <w:tcW w:w="3548" w:type="dxa"/>
            <w:gridSpan w:val="2"/>
            <w:tcBorders>
              <w:top w:val="single" w:sz="12" w:space="0" w:color="000000"/>
              <w:bottom w:val="single" w:sz="12" w:space="0" w:color="auto"/>
            </w:tcBorders>
          </w:tcPr>
          <w:p w:rsidR="00AE7E13" w:rsidRPr="00C2494E" w:rsidRDefault="00AE7E13" w:rsidP="00E32D14">
            <w:pPr>
              <w:rPr>
                <w:rFonts w:eastAsia="Calibri"/>
                <w:noProof/>
                <w:sz w:val="18"/>
                <w:szCs w:val="18"/>
                <w:lang w:val="en-GB"/>
              </w:rPr>
            </w:pPr>
            <w:r w:rsidRPr="00F75DDE">
              <w:rPr>
                <w:rFonts w:eastAsia="Calibri"/>
                <w:noProof/>
                <w:sz w:val="18"/>
                <w:szCs w:val="18"/>
                <w:lang w:val="en-GB"/>
              </w:rPr>
              <w:t>Children in Murmansk orphanages, Russian Federation</w:t>
            </w:r>
          </w:p>
        </w:tc>
        <w:tc>
          <w:tcPr>
            <w:tcW w:w="2469" w:type="dxa"/>
            <w:tcBorders>
              <w:top w:val="single" w:sz="12" w:space="0" w:color="000000"/>
              <w:bottom w:val="single" w:sz="12" w:space="0" w:color="auto"/>
            </w:tcBorders>
          </w:tcPr>
          <w:p w:rsidR="00AE7E13" w:rsidRPr="00C2494E" w:rsidRDefault="00AE7E13" w:rsidP="00E32D14">
            <w:pPr>
              <w:rPr>
                <w:rFonts w:eastAsia="Calibri"/>
                <w:noProof/>
                <w:sz w:val="18"/>
                <w:szCs w:val="18"/>
                <w:lang w:val="en-GB"/>
              </w:rPr>
            </w:pPr>
            <w:r w:rsidRPr="00F75DDE">
              <w:rPr>
                <w:rFonts w:eastAsia="Calibri"/>
                <w:noProof/>
                <w:sz w:val="18"/>
                <w:szCs w:val="18"/>
                <w:lang w:val="en-GB"/>
              </w:rPr>
              <w:t xml:space="preserve">Medical record review </w:t>
            </w:r>
          </w:p>
        </w:tc>
        <w:tc>
          <w:tcPr>
            <w:tcW w:w="2248" w:type="dxa"/>
            <w:tcBorders>
              <w:top w:val="single" w:sz="12" w:space="0" w:color="000000"/>
              <w:bottom w:val="single" w:sz="12" w:space="0" w:color="auto"/>
            </w:tcBorders>
          </w:tcPr>
          <w:p w:rsidR="00AE7E13" w:rsidRPr="00C2494E" w:rsidRDefault="00AE7E13" w:rsidP="00E32D14">
            <w:pPr>
              <w:rPr>
                <w:rFonts w:eastAsia="Calibri"/>
                <w:noProof/>
                <w:sz w:val="18"/>
                <w:szCs w:val="18"/>
                <w:lang w:val="en-GB"/>
              </w:rPr>
            </w:pPr>
            <w:r w:rsidRPr="00F75DDE">
              <w:rPr>
                <w:rFonts w:eastAsia="Calibri"/>
                <w:noProof/>
                <w:sz w:val="18"/>
                <w:szCs w:val="18"/>
                <w:lang w:val="en-GB"/>
              </w:rPr>
              <w:t>Perinatal encephalopathy</w:t>
            </w:r>
          </w:p>
        </w:tc>
        <w:tc>
          <w:tcPr>
            <w:tcW w:w="2160" w:type="dxa"/>
            <w:tcBorders>
              <w:top w:val="single" w:sz="12" w:space="0" w:color="000000"/>
              <w:bottom w:val="single" w:sz="12" w:space="0" w:color="auto"/>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 xml:space="preserve">46% of infants and </w:t>
            </w:r>
          </w:p>
          <w:p w:rsidR="00AE7E13" w:rsidRPr="00C2494E" w:rsidRDefault="00AE7E13" w:rsidP="00E32D14">
            <w:pPr>
              <w:rPr>
                <w:rFonts w:eastAsia="Calibri"/>
                <w:noProof/>
                <w:sz w:val="18"/>
                <w:szCs w:val="18"/>
                <w:lang w:val="en-GB"/>
              </w:rPr>
            </w:pPr>
            <w:r w:rsidRPr="00F75DDE">
              <w:rPr>
                <w:rFonts w:eastAsia="Calibri"/>
                <w:noProof/>
                <w:sz w:val="18"/>
                <w:szCs w:val="18"/>
                <w:lang w:val="en-GB"/>
              </w:rPr>
              <w:t>31% of older children in a sample of 193 children</w:t>
            </w:r>
          </w:p>
        </w:tc>
        <w:tc>
          <w:tcPr>
            <w:tcW w:w="1483" w:type="dxa"/>
            <w:tcBorders>
              <w:top w:val="single" w:sz="12" w:space="0" w:color="000000"/>
              <w:bottom w:val="single" w:sz="12" w:space="0" w:color="auto"/>
            </w:tcBorders>
          </w:tcPr>
          <w:p w:rsidR="00AE7E13" w:rsidRPr="00C2494E" w:rsidRDefault="00AE7E13" w:rsidP="00E32D14">
            <w:pPr>
              <w:rPr>
                <w:rFonts w:eastAsia="Calibri"/>
                <w:noProof/>
                <w:sz w:val="18"/>
                <w:szCs w:val="18"/>
                <w:lang w:val="en-GB"/>
              </w:rPr>
            </w:pPr>
            <w:r w:rsidRPr="00F75DDE">
              <w:rPr>
                <w:rFonts w:eastAsia="Calibri"/>
                <w:noProof/>
                <w:sz w:val="18"/>
                <w:szCs w:val="18"/>
                <w:lang w:val="en-GB"/>
              </w:rPr>
              <w:t>N/A</w:t>
            </w:r>
          </w:p>
        </w:tc>
        <w:tc>
          <w:tcPr>
            <w:tcW w:w="2126" w:type="dxa"/>
            <w:tcBorders>
              <w:top w:val="single" w:sz="12" w:space="0" w:color="000000"/>
              <w:bottom w:val="single" w:sz="12" w:space="0" w:color="auto"/>
            </w:tcBorders>
          </w:tcPr>
          <w:p w:rsidR="00AE7E13" w:rsidRDefault="00AE7E13" w:rsidP="00E32D14">
            <w:pPr>
              <w:rPr>
                <w:rFonts w:eastAsia="Calibri"/>
                <w:noProof/>
                <w:sz w:val="18"/>
                <w:szCs w:val="18"/>
                <w:lang w:val="en-GB"/>
              </w:rPr>
            </w:pPr>
            <w:r w:rsidRPr="00F75DDE">
              <w:rPr>
                <w:rFonts w:eastAsia="Calibri"/>
                <w:noProof/>
                <w:sz w:val="18"/>
                <w:szCs w:val="18"/>
                <w:lang w:val="en-GB"/>
              </w:rPr>
              <w:t>N/A</w:t>
            </w:r>
          </w:p>
          <w:p w:rsidR="00AE7E13" w:rsidRDefault="00AE7E13" w:rsidP="00E32D14">
            <w:pPr>
              <w:rPr>
                <w:rFonts w:eastAsia="Calibri"/>
                <w:noProof/>
                <w:sz w:val="18"/>
                <w:szCs w:val="18"/>
                <w:lang w:val="en-GB"/>
              </w:rPr>
            </w:pPr>
          </w:p>
          <w:p w:rsidR="00AE7E13" w:rsidRDefault="00AE7E13" w:rsidP="00E32D14">
            <w:pPr>
              <w:rPr>
                <w:rFonts w:eastAsia="Calibri"/>
                <w:noProof/>
                <w:sz w:val="18"/>
                <w:szCs w:val="18"/>
                <w:lang w:val="en-GB"/>
              </w:rPr>
            </w:pPr>
          </w:p>
          <w:p w:rsidR="00AE7E13" w:rsidRPr="00C2494E" w:rsidRDefault="00AE7E13" w:rsidP="00E32D14">
            <w:pPr>
              <w:rPr>
                <w:rFonts w:eastAsia="Calibri"/>
                <w:noProof/>
                <w:sz w:val="18"/>
                <w:szCs w:val="18"/>
                <w:lang w:val="en-GB"/>
              </w:rPr>
            </w:pPr>
          </w:p>
        </w:tc>
      </w:tr>
      <w:tr w:rsidR="00AE7E13" w:rsidRPr="00F75DDE" w:rsidTr="0032293A">
        <w:trPr>
          <w:trHeight w:val="60"/>
        </w:trPr>
        <w:tc>
          <w:tcPr>
            <w:tcW w:w="1270" w:type="dxa"/>
            <w:vMerge w:val="restart"/>
            <w:tcBorders>
              <w:top w:val="single" w:sz="12" w:space="0" w:color="auto"/>
            </w:tcBorders>
          </w:tcPr>
          <w:p w:rsidR="00AE7E13" w:rsidRPr="00F75DDE" w:rsidRDefault="00AE7E13" w:rsidP="00C20BA4">
            <w:pPr>
              <w:rPr>
                <w:rFonts w:eastAsia="Calibri"/>
                <w:b/>
                <w:sz w:val="18"/>
                <w:lang w:val="en-GB"/>
              </w:rPr>
            </w:pPr>
            <w:r w:rsidRPr="00F75DDE">
              <w:rPr>
                <w:rFonts w:eastAsia="Calibri"/>
                <w:b/>
                <w:noProof/>
                <w:sz w:val="18"/>
                <w:szCs w:val="18"/>
                <w:lang w:val="en-GB"/>
              </w:rPr>
              <w:t>Miller LC (2005)</w:t>
            </w:r>
            <w:r>
              <w:rPr>
                <w:rFonts w:eastAsia="Calibri"/>
                <w:b/>
                <w:noProof/>
                <w:sz w:val="18"/>
                <w:szCs w:val="18"/>
                <w:lang w:val="en-GB"/>
              </w:rPr>
              <w:t xml:space="preserve"> [21]</w:t>
            </w:r>
          </w:p>
        </w:tc>
        <w:tc>
          <w:tcPr>
            <w:tcW w:w="3548" w:type="dxa"/>
            <w:gridSpan w:val="2"/>
            <w:vMerge w:val="restart"/>
            <w:tcBorders>
              <w:top w:val="single" w:sz="12" w:space="0" w:color="auto"/>
            </w:tcBorders>
          </w:tcPr>
          <w:p w:rsidR="00AE7E13" w:rsidRPr="00F75DDE" w:rsidRDefault="00AE7E13" w:rsidP="00C20BA4">
            <w:pPr>
              <w:rPr>
                <w:rFonts w:eastAsia="Calibri"/>
                <w:sz w:val="18"/>
                <w:lang w:val="en-GB"/>
              </w:rPr>
            </w:pPr>
            <w:r w:rsidRPr="00F75DDE">
              <w:rPr>
                <w:rFonts w:eastAsia="Calibri"/>
                <w:noProof/>
                <w:sz w:val="18"/>
                <w:szCs w:val="18"/>
                <w:lang w:val="en-GB"/>
              </w:rPr>
              <w:t>Children being the considered for international adoption from the CIS countries and Eastern Europe</w:t>
            </w:r>
          </w:p>
        </w:tc>
        <w:tc>
          <w:tcPr>
            <w:tcW w:w="2469" w:type="dxa"/>
            <w:vMerge w:val="restart"/>
            <w:tcBorders>
              <w:top w:val="single" w:sz="12" w:space="0" w:color="auto"/>
            </w:tcBorders>
          </w:tcPr>
          <w:p w:rsidR="00AE7E13" w:rsidRPr="00F75DDE" w:rsidRDefault="00AE7E13" w:rsidP="00C20BA4">
            <w:pPr>
              <w:rPr>
                <w:rFonts w:eastAsia="Calibri"/>
                <w:sz w:val="18"/>
                <w:lang w:val="en-GB"/>
              </w:rPr>
            </w:pPr>
            <w:r w:rsidRPr="00F75DDE">
              <w:rPr>
                <w:rFonts w:eastAsia="Calibri"/>
                <w:noProof/>
                <w:sz w:val="18"/>
                <w:szCs w:val="18"/>
                <w:lang w:val="en-GB"/>
              </w:rPr>
              <w:t>Medical record review conducted by International Adoption Clinic in the United States</w:t>
            </w:r>
          </w:p>
        </w:tc>
        <w:tc>
          <w:tcPr>
            <w:tcW w:w="2248" w:type="dxa"/>
            <w:tcBorders>
              <w:top w:val="single" w:sz="12" w:space="0" w:color="auto"/>
            </w:tcBorders>
          </w:tcPr>
          <w:p w:rsidR="00AE7E13" w:rsidRPr="00F75DDE" w:rsidRDefault="00AE7E13" w:rsidP="00C20BA4">
            <w:pPr>
              <w:rPr>
                <w:rFonts w:eastAsia="Calibri"/>
                <w:noProof/>
                <w:sz w:val="18"/>
                <w:szCs w:val="18"/>
                <w:lang w:val="en-GB"/>
              </w:rPr>
            </w:pPr>
            <w:r w:rsidRPr="00F75DDE">
              <w:rPr>
                <w:rFonts w:eastAsia="Calibri"/>
                <w:noProof/>
                <w:sz w:val="18"/>
                <w:szCs w:val="18"/>
                <w:lang w:val="en-GB"/>
              </w:rPr>
              <w:t>Perinatal encephalopathy</w:t>
            </w:r>
          </w:p>
        </w:tc>
        <w:tc>
          <w:tcPr>
            <w:tcW w:w="2160" w:type="dxa"/>
            <w:tcBorders>
              <w:top w:val="single" w:sz="12" w:space="0" w:color="auto"/>
            </w:tcBorders>
          </w:tcPr>
          <w:p w:rsidR="00AE7E13" w:rsidRPr="00F75DDE" w:rsidRDefault="00AE7E13" w:rsidP="00C20BA4">
            <w:pPr>
              <w:rPr>
                <w:rFonts w:eastAsia="Calibri"/>
                <w:noProof/>
                <w:sz w:val="18"/>
                <w:szCs w:val="18"/>
                <w:lang w:val="en-GB"/>
              </w:rPr>
            </w:pPr>
            <w:r>
              <w:rPr>
                <w:rFonts w:eastAsia="Calibri"/>
                <w:noProof/>
                <w:sz w:val="18"/>
                <w:szCs w:val="18"/>
                <w:lang w:val="en-GB"/>
              </w:rPr>
              <w:t>69.2</w:t>
            </w:r>
            <w:r w:rsidRPr="00F75DDE">
              <w:rPr>
                <w:rFonts w:eastAsia="Calibri"/>
                <w:noProof/>
                <w:sz w:val="18"/>
                <w:szCs w:val="18"/>
                <w:lang w:val="en-GB"/>
              </w:rPr>
              <w:t xml:space="preserve"> (</w:t>
            </w:r>
            <w:r>
              <w:rPr>
                <w:rFonts w:eastAsia="Calibri"/>
                <w:noProof/>
                <w:sz w:val="18"/>
                <w:szCs w:val="18"/>
                <w:lang w:val="en-GB"/>
              </w:rPr>
              <w:t>59.5</w:t>
            </w:r>
            <w:r w:rsidRPr="00F75DDE">
              <w:rPr>
                <w:rFonts w:eastAsia="Calibri"/>
                <w:noProof/>
                <w:sz w:val="18"/>
                <w:szCs w:val="18"/>
                <w:lang w:val="en-GB"/>
              </w:rPr>
              <w:t>-</w:t>
            </w:r>
            <w:r>
              <w:rPr>
                <w:rFonts w:eastAsia="Calibri"/>
                <w:noProof/>
                <w:sz w:val="18"/>
                <w:szCs w:val="18"/>
                <w:lang w:val="en-GB"/>
              </w:rPr>
              <w:t>77.7</w:t>
            </w:r>
            <w:r w:rsidRPr="00F75DDE">
              <w:rPr>
                <w:rFonts w:eastAsia="Calibri"/>
                <w:noProof/>
                <w:sz w:val="18"/>
                <w:szCs w:val="18"/>
                <w:lang w:val="en-GB"/>
              </w:rPr>
              <w:t>)</w:t>
            </w:r>
          </w:p>
        </w:tc>
        <w:tc>
          <w:tcPr>
            <w:tcW w:w="1483" w:type="dxa"/>
            <w:tcBorders>
              <w:top w:val="single" w:sz="12" w:space="0" w:color="auto"/>
            </w:tcBorders>
          </w:tcPr>
          <w:p w:rsidR="00AE7E13" w:rsidRPr="00F75DDE" w:rsidRDefault="00AE7E13" w:rsidP="00C20BA4">
            <w:pPr>
              <w:rPr>
                <w:rFonts w:eastAsia="Calibri"/>
                <w:noProof/>
                <w:sz w:val="18"/>
                <w:szCs w:val="18"/>
                <w:lang w:val="en-GB"/>
              </w:rPr>
            </w:pPr>
            <w:r>
              <w:rPr>
                <w:sz w:val="18"/>
                <w:szCs w:val="16"/>
                <w:lang w:val="en-GB"/>
              </w:rPr>
              <w:t>74</w:t>
            </w:r>
            <w:r w:rsidRPr="00F75DDE">
              <w:rPr>
                <w:sz w:val="18"/>
                <w:szCs w:val="16"/>
                <w:lang w:val="en-GB"/>
              </w:rPr>
              <w:t>/107</w:t>
            </w:r>
          </w:p>
        </w:tc>
        <w:tc>
          <w:tcPr>
            <w:tcW w:w="2126" w:type="dxa"/>
            <w:vMerge w:val="restart"/>
            <w:tcBorders>
              <w:top w:val="single" w:sz="12" w:space="0" w:color="auto"/>
            </w:tcBorders>
          </w:tcPr>
          <w:p w:rsidR="00AE7E13" w:rsidRPr="00F75DDE" w:rsidRDefault="00AE7E13" w:rsidP="00C20BA4">
            <w:pPr>
              <w:pStyle w:val="NormalWeb"/>
              <w:rPr>
                <w:sz w:val="28"/>
                <w:lang w:val="en-GB"/>
              </w:rPr>
            </w:pPr>
            <w:r w:rsidRPr="00F75DDE">
              <w:rPr>
                <w:sz w:val="18"/>
                <w:szCs w:val="16"/>
                <w:lang w:val="en-GB"/>
              </w:rPr>
              <w:t>Except for developmental delay, hypotonia and microcephaly, no other condition has been identified</w:t>
            </w:r>
          </w:p>
          <w:p w:rsidR="00AE7E13" w:rsidRPr="00F75DDE" w:rsidRDefault="00AE7E13" w:rsidP="00C20BA4">
            <w:pPr>
              <w:rPr>
                <w:rFonts w:eastAsia="Calibri"/>
                <w:noProof/>
                <w:sz w:val="18"/>
                <w:szCs w:val="18"/>
                <w:lang w:val="en-GB"/>
              </w:rPr>
            </w:pPr>
          </w:p>
        </w:tc>
      </w:tr>
      <w:tr w:rsidR="00AE7E13" w:rsidRPr="00F75DDE" w:rsidTr="00C20BA4">
        <w:trPr>
          <w:trHeight w:val="60"/>
        </w:trPr>
        <w:tc>
          <w:tcPr>
            <w:tcW w:w="1270" w:type="dxa"/>
            <w:vMerge/>
          </w:tcPr>
          <w:p w:rsidR="00AE7E13" w:rsidRPr="00F75DDE" w:rsidRDefault="00AE7E13" w:rsidP="00C20BA4">
            <w:pPr>
              <w:rPr>
                <w:rFonts w:eastAsia="Calibri"/>
                <w:b/>
                <w:sz w:val="18"/>
                <w:lang w:val="en-GB"/>
              </w:rPr>
            </w:pPr>
          </w:p>
        </w:tc>
        <w:tc>
          <w:tcPr>
            <w:tcW w:w="3548" w:type="dxa"/>
            <w:gridSpan w:val="2"/>
            <w:vMerge/>
          </w:tcPr>
          <w:p w:rsidR="00AE7E13" w:rsidRPr="00F75DDE" w:rsidRDefault="00AE7E13" w:rsidP="00C20BA4">
            <w:pPr>
              <w:rPr>
                <w:rFonts w:eastAsia="Calibri"/>
                <w:sz w:val="18"/>
                <w:lang w:val="en-GB"/>
              </w:rPr>
            </w:pPr>
          </w:p>
        </w:tc>
        <w:tc>
          <w:tcPr>
            <w:tcW w:w="2469" w:type="dxa"/>
            <w:vMerge/>
          </w:tcPr>
          <w:p w:rsidR="00AE7E13" w:rsidRPr="00F75DDE" w:rsidRDefault="00AE7E13" w:rsidP="00C20BA4">
            <w:pPr>
              <w:rPr>
                <w:rFonts w:eastAsia="Calibri"/>
                <w:sz w:val="18"/>
                <w:lang w:val="en-GB"/>
              </w:rPr>
            </w:pPr>
          </w:p>
        </w:tc>
        <w:tc>
          <w:tcPr>
            <w:tcW w:w="2248"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Intracranial hypertension syndrome</w:t>
            </w:r>
          </w:p>
        </w:tc>
        <w:tc>
          <w:tcPr>
            <w:tcW w:w="2160"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7.5 (2.5-12.6)</w:t>
            </w:r>
          </w:p>
        </w:tc>
        <w:tc>
          <w:tcPr>
            <w:tcW w:w="1483"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8/107</w:t>
            </w:r>
          </w:p>
        </w:tc>
        <w:tc>
          <w:tcPr>
            <w:tcW w:w="2126" w:type="dxa"/>
            <w:vMerge/>
          </w:tcPr>
          <w:p w:rsidR="00AE7E13" w:rsidRPr="00F75DDE" w:rsidRDefault="00AE7E13" w:rsidP="00C20BA4">
            <w:pPr>
              <w:rPr>
                <w:rFonts w:eastAsia="Calibri"/>
                <w:noProof/>
                <w:sz w:val="18"/>
                <w:szCs w:val="18"/>
                <w:lang w:val="en-GB"/>
              </w:rPr>
            </w:pPr>
          </w:p>
        </w:tc>
      </w:tr>
      <w:tr w:rsidR="00AE7E13" w:rsidRPr="00F75DDE" w:rsidTr="00C20BA4">
        <w:trPr>
          <w:trHeight w:val="60"/>
        </w:trPr>
        <w:tc>
          <w:tcPr>
            <w:tcW w:w="1270" w:type="dxa"/>
            <w:vMerge/>
          </w:tcPr>
          <w:p w:rsidR="00AE7E13" w:rsidRPr="00F75DDE" w:rsidRDefault="00AE7E13" w:rsidP="00C20BA4">
            <w:pPr>
              <w:rPr>
                <w:rFonts w:eastAsia="Calibri"/>
                <w:b/>
                <w:sz w:val="18"/>
                <w:lang w:val="en-GB"/>
              </w:rPr>
            </w:pPr>
          </w:p>
        </w:tc>
        <w:tc>
          <w:tcPr>
            <w:tcW w:w="3548" w:type="dxa"/>
            <w:gridSpan w:val="2"/>
            <w:vMerge/>
          </w:tcPr>
          <w:p w:rsidR="00AE7E13" w:rsidRPr="00F75DDE" w:rsidRDefault="00AE7E13" w:rsidP="00C20BA4">
            <w:pPr>
              <w:rPr>
                <w:rFonts w:eastAsia="Calibri"/>
                <w:sz w:val="18"/>
                <w:lang w:val="en-GB"/>
              </w:rPr>
            </w:pPr>
          </w:p>
        </w:tc>
        <w:tc>
          <w:tcPr>
            <w:tcW w:w="2469" w:type="dxa"/>
            <w:vMerge/>
          </w:tcPr>
          <w:p w:rsidR="00AE7E13" w:rsidRPr="00F75DDE" w:rsidRDefault="00AE7E13" w:rsidP="00C20BA4">
            <w:pPr>
              <w:rPr>
                <w:rFonts w:eastAsia="Calibri"/>
                <w:sz w:val="18"/>
                <w:lang w:val="en-GB"/>
              </w:rPr>
            </w:pPr>
          </w:p>
        </w:tc>
        <w:tc>
          <w:tcPr>
            <w:tcW w:w="2248"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Hydrocephalic-hypertension syndrome</w:t>
            </w:r>
          </w:p>
        </w:tc>
        <w:tc>
          <w:tcPr>
            <w:tcW w:w="2160"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7.5 (2.5-12.6)</w:t>
            </w:r>
          </w:p>
        </w:tc>
        <w:tc>
          <w:tcPr>
            <w:tcW w:w="1483"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8/107</w:t>
            </w:r>
          </w:p>
        </w:tc>
        <w:tc>
          <w:tcPr>
            <w:tcW w:w="2126" w:type="dxa"/>
            <w:vMerge/>
          </w:tcPr>
          <w:p w:rsidR="00AE7E13" w:rsidRPr="00F75DDE" w:rsidRDefault="00AE7E13" w:rsidP="00C20BA4">
            <w:pPr>
              <w:rPr>
                <w:rFonts w:eastAsia="Calibri"/>
                <w:noProof/>
                <w:sz w:val="18"/>
                <w:szCs w:val="18"/>
                <w:lang w:val="en-GB"/>
              </w:rPr>
            </w:pPr>
          </w:p>
        </w:tc>
      </w:tr>
      <w:tr w:rsidR="00AE7E13" w:rsidRPr="00F75DDE" w:rsidTr="00C20BA4">
        <w:trPr>
          <w:trHeight w:val="60"/>
        </w:trPr>
        <w:tc>
          <w:tcPr>
            <w:tcW w:w="1270" w:type="dxa"/>
            <w:vMerge/>
          </w:tcPr>
          <w:p w:rsidR="00AE7E13" w:rsidRPr="00F75DDE" w:rsidRDefault="00AE7E13" w:rsidP="00C20BA4">
            <w:pPr>
              <w:rPr>
                <w:rFonts w:eastAsia="Calibri"/>
                <w:b/>
                <w:sz w:val="18"/>
                <w:lang w:val="en-GB"/>
              </w:rPr>
            </w:pPr>
          </w:p>
        </w:tc>
        <w:tc>
          <w:tcPr>
            <w:tcW w:w="3548" w:type="dxa"/>
            <w:gridSpan w:val="2"/>
            <w:vMerge/>
          </w:tcPr>
          <w:p w:rsidR="00AE7E13" w:rsidRPr="00F75DDE" w:rsidRDefault="00AE7E13" w:rsidP="00C20BA4">
            <w:pPr>
              <w:rPr>
                <w:rFonts w:eastAsia="Calibri"/>
                <w:sz w:val="18"/>
                <w:lang w:val="en-GB"/>
              </w:rPr>
            </w:pPr>
          </w:p>
        </w:tc>
        <w:tc>
          <w:tcPr>
            <w:tcW w:w="2469" w:type="dxa"/>
            <w:vMerge/>
          </w:tcPr>
          <w:p w:rsidR="00AE7E13" w:rsidRPr="00F75DDE" w:rsidRDefault="00AE7E13" w:rsidP="00C20BA4">
            <w:pPr>
              <w:rPr>
                <w:rFonts w:eastAsia="Calibri"/>
                <w:sz w:val="18"/>
                <w:lang w:val="en-GB"/>
              </w:rPr>
            </w:pPr>
          </w:p>
        </w:tc>
        <w:tc>
          <w:tcPr>
            <w:tcW w:w="2248"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Hydrocephalus syndrome</w:t>
            </w:r>
          </w:p>
        </w:tc>
        <w:tc>
          <w:tcPr>
            <w:tcW w:w="2160"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4.7 (1.5-10.6)</w:t>
            </w:r>
          </w:p>
        </w:tc>
        <w:tc>
          <w:tcPr>
            <w:tcW w:w="1483"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5/107</w:t>
            </w:r>
          </w:p>
        </w:tc>
        <w:tc>
          <w:tcPr>
            <w:tcW w:w="2126" w:type="dxa"/>
            <w:vMerge/>
          </w:tcPr>
          <w:p w:rsidR="00AE7E13" w:rsidRPr="00F75DDE" w:rsidRDefault="00AE7E13" w:rsidP="00C20BA4">
            <w:pPr>
              <w:rPr>
                <w:rFonts w:eastAsia="Calibri"/>
                <w:noProof/>
                <w:sz w:val="18"/>
                <w:szCs w:val="18"/>
                <w:lang w:val="en-GB"/>
              </w:rPr>
            </w:pPr>
          </w:p>
        </w:tc>
      </w:tr>
      <w:tr w:rsidR="00AE7E13" w:rsidRPr="00F75DDE" w:rsidTr="00C20BA4">
        <w:trPr>
          <w:trHeight w:val="60"/>
        </w:trPr>
        <w:tc>
          <w:tcPr>
            <w:tcW w:w="1270" w:type="dxa"/>
            <w:vMerge/>
          </w:tcPr>
          <w:p w:rsidR="00AE7E13" w:rsidRPr="00F75DDE" w:rsidRDefault="00AE7E13" w:rsidP="00C20BA4">
            <w:pPr>
              <w:rPr>
                <w:rFonts w:eastAsia="Calibri"/>
                <w:b/>
                <w:sz w:val="18"/>
                <w:lang w:val="en-GB"/>
              </w:rPr>
            </w:pPr>
          </w:p>
        </w:tc>
        <w:tc>
          <w:tcPr>
            <w:tcW w:w="3548" w:type="dxa"/>
            <w:gridSpan w:val="2"/>
            <w:vMerge/>
          </w:tcPr>
          <w:p w:rsidR="00AE7E13" w:rsidRPr="00F75DDE" w:rsidRDefault="00AE7E13" w:rsidP="00C20BA4">
            <w:pPr>
              <w:rPr>
                <w:rFonts w:eastAsia="Calibri"/>
                <w:sz w:val="18"/>
                <w:lang w:val="en-GB"/>
              </w:rPr>
            </w:pPr>
          </w:p>
        </w:tc>
        <w:tc>
          <w:tcPr>
            <w:tcW w:w="2469" w:type="dxa"/>
            <w:vMerge/>
          </w:tcPr>
          <w:p w:rsidR="00AE7E13" w:rsidRPr="00F75DDE" w:rsidRDefault="00AE7E13" w:rsidP="00C20BA4">
            <w:pPr>
              <w:rPr>
                <w:rFonts w:eastAsia="Calibri"/>
                <w:sz w:val="18"/>
                <w:lang w:val="en-GB"/>
              </w:rPr>
            </w:pPr>
          </w:p>
        </w:tc>
        <w:tc>
          <w:tcPr>
            <w:tcW w:w="2248"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Hyperneuroreflectory activity, hyperexcitability, hyperirritability, neuroreflector syndrome, syndrome of heightened neuroreflexical agitation</w:t>
            </w:r>
            <w:r w:rsidRPr="00F75DDE">
              <w:rPr>
                <w:noProof/>
                <w:sz w:val="18"/>
                <w:szCs w:val="16"/>
                <w:vertAlign w:val="superscript"/>
                <w:lang w:val="en-GB"/>
              </w:rPr>
              <w:t>†</w:t>
            </w:r>
          </w:p>
        </w:tc>
        <w:tc>
          <w:tcPr>
            <w:tcW w:w="2160"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20.6 (12.9-28.2)</w:t>
            </w:r>
          </w:p>
        </w:tc>
        <w:tc>
          <w:tcPr>
            <w:tcW w:w="1483" w:type="dxa"/>
          </w:tcPr>
          <w:p w:rsidR="00AE7E13" w:rsidRPr="00F75DDE" w:rsidRDefault="00AE7E13" w:rsidP="00C20BA4">
            <w:pPr>
              <w:rPr>
                <w:rFonts w:eastAsia="Calibri"/>
                <w:noProof/>
                <w:sz w:val="18"/>
                <w:szCs w:val="18"/>
                <w:lang w:val="en-GB"/>
              </w:rPr>
            </w:pPr>
            <w:r w:rsidRPr="00F75DDE">
              <w:rPr>
                <w:rFonts w:eastAsia="Calibri"/>
                <w:noProof/>
                <w:sz w:val="18"/>
                <w:szCs w:val="18"/>
                <w:lang w:val="en-GB"/>
              </w:rPr>
              <w:t>22/107</w:t>
            </w:r>
          </w:p>
        </w:tc>
        <w:tc>
          <w:tcPr>
            <w:tcW w:w="2126" w:type="dxa"/>
            <w:vMerge/>
          </w:tcPr>
          <w:p w:rsidR="00AE7E13" w:rsidRPr="00F75DDE" w:rsidRDefault="00AE7E13" w:rsidP="00C20BA4">
            <w:pPr>
              <w:rPr>
                <w:rFonts w:eastAsia="Calibri"/>
                <w:noProof/>
                <w:sz w:val="18"/>
                <w:szCs w:val="18"/>
                <w:lang w:val="en-GB"/>
              </w:rPr>
            </w:pPr>
          </w:p>
        </w:tc>
      </w:tr>
      <w:tr w:rsidR="00AE7E13" w:rsidRPr="00F75DDE" w:rsidTr="0032293A">
        <w:trPr>
          <w:trHeight w:val="60"/>
        </w:trPr>
        <w:tc>
          <w:tcPr>
            <w:tcW w:w="1270" w:type="dxa"/>
            <w:vMerge/>
            <w:tcBorders>
              <w:bottom w:val="single" w:sz="12" w:space="0" w:color="auto"/>
            </w:tcBorders>
          </w:tcPr>
          <w:p w:rsidR="00AE7E13" w:rsidRPr="00F75DDE" w:rsidRDefault="00AE7E13" w:rsidP="00C20BA4">
            <w:pPr>
              <w:rPr>
                <w:rFonts w:eastAsia="Calibri"/>
                <w:b/>
                <w:sz w:val="18"/>
                <w:lang w:val="en-GB"/>
              </w:rPr>
            </w:pPr>
          </w:p>
        </w:tc>
        <w:tc>
          <w:tcPr>
            <w:tcW w:w="3548" w:type="dxa"/>
            <w:gridSpan w:val="2"/>
            <w:vMerge/>
            <w:tcBorders>
              <w:bottom w:val="single" w:sz="12" w:space="0" w:color="auto"/>
            </w:tcBorders>
          </w:tcPr>
          <w:p w:rsidR="00AE7E13" w:rsidRPr="00F75DDE" w:rsidRDefault="00AE7E13" w:rsidP="00C20BA4">
            <w:pPr>
              <w:rPr>
                <w:rFonts w:eastAsia="Calibri"/>
                <w:sz w:val="18"/>
                <w:lang w:val="en-GB"/>
              </w:rPr>
            </w:pPr>
          </w:p>
        </w:tc>
        <w:tc>
          <w:tcPr>
            <w:tcW w:w="2469" w:type="dxa"/>
            <w:vMerge/>
            <w:tcBorders>
              <w:bottom w:val="single" w:sz="12" w:space="0" w:color="auto"/>
            </w:tcBorders>
          </w:tcPr>
          <w:p w:rsidR="00AE7E13" w:rsidRPr="00F75DDE" w:rsidRDefault="00AE7E13" w:rsidP="00C20BA4">
            <w:pPr>
              <w:rPr>
                <w:rFonts w:eastAsia="Calibri"/>
                <w:sz w:val="18"/>
                <w:lang w:val="en-GB"/>
              </w:rPr>
            </w:pPr>
          </w:p>
        </w:tc>
        <w:tc>
          <w:tcPr>
            <w:tcW w:w="2248" w:type="dxa"/>
            <w:tcBorders>
              <w:bottom w:val="single" w:sz="12" w:space="0" w:color="auto"/>
            </w:tcBorders>
          </w:tcPr>
          <w:p w:rsidR="00AE7E13" w:rsidRPr="00F75DDE" w:rsidRDefault="00AE7E13" w:rsidP="00C20BA4">
            <w:pPr>
              <w:rPr>
                <w:rFonts w:eastAsia="Calibri"/>
                <w:noProof/>
                <w:sz w:val="18"/>
                <w:szCs w:val="18"/>
                <w:lang w:val="en-GB"/>
              </w:rPr>
            </w:pPr>
            <w:r w:rsidRPr="00F75DDE">
              <w:rPr>
                <w:rFonts w:eastAsia="Calibri"/>
                <w:noProof/>
                <w:sz w:val="18"/>
                <w:szCs w:val="18"/>
                <w:lang w:val="en-GB"/>
              </w:rPr>
              <w:t>Vegetative visceral syndrome</w:t>
            </w:r>
          </w:p>
        </w:tc>
        <w:tc>
          <w:tcPr>
            <w:tcW w:w="2160" w:type="dxa"/>
            <w:tcBorders>
              <w:bottom w:val="single" w:sz="12" w:space="0" w:color="auto"/>
            </w:tcBorders>
          </w:tcPr>
          <w:p w:rsidR="00AE7E13" w:rsidRPr="00F75DDE" w:rsidRDefault="00AE7E13" w:rsidP="00C20BA4">
            <w:pPr>
              <w:rPr>
                <w:rFonts w:eastAsia="Calibri"/>
                <w:noProof/>
                <w:sz w:val="18"/>
                <w:szCs w:val="18"/>
                <w:lang w:val="en-GB"/>
              </w:rPr>
            </w:pPr>
            <w:r w:rsidRPr="00F75DDE">
              <w:rPr>
                <w:rFonts w:eastAsia="Calibri"/>
                <w:noProof/>
                <w:sz w:val="18"/>
                <w:szCs w:val="18"/>
                <w:lang w:val="en-GB"/>
              </w:rPr>
              <w:t>1.9 (0.2-6.6)</w:t>
            </w:r>
          </w:p>
        </w:tc>
        <w:tc>
          <w:tcPr>
            <w:tcW w:w="1483" w:type="dxa"/>
            <w:tcBorders>
              <w:bottom w:val="single" w:sz="12" w:space="0" w:color="auto"/>
            </w:tcBorders>
          </w:tcPr>
          <w:p w:rsidR="00AE7E13" w:rsidRPr="00F75DDE" w:rsidRDefault="00AE7E13" w:rsidP="00C20BA4">
            <w:pPr>
              <w:rPr>
                <w:rFonts w:eastAsia="Calibri"/>
                <w:noProof/>
                <w:sz w:val="18"/>
                <w:szCs w:val="18"/>
                <w:lang w:val="en-GB"/>
              </w:rPr>
            </w:pPr>
            <w:r w:rsidRPr="00F75DDE">
              <w:rPr>
                <w:rFonts w:eastAsia="Calibri"/>
                <w:noProof/>
                <w:sz w:val="18"/>
                <w:szCs w:val="18"/>
                <w:lang w:val="en-GB"/>
              </w:rPr>
              <w:t>2/107</w:t>
            </w:r>
          </w:p>
        </w:tc>
        <w:tc>
          <w:tcPr>
            <w:tcW w:w="2126" w:type="dxa"/>
            <w:vMerge/>
            <w:tcBorders>
              <w:bottom w:val="single" w:sz="12" w:space="0" w:color="auto"/>
            </w:tcBorders>
          </w:tcPr>
          <w:p w:rsidR="00AE7E13" w:rsidRPr="00F75DDE" w:rsidRDefault="00AE7E13" w:rsidP="00C20BA4">
            <w:pPr>
              <w:rPr>
                <w:rFonts w:eastAsia="Calibri"/>
                <w:noProof/>
                <w:sz w:val="18"/>
                <w:szCs w:val="18"/>
                <w:lang w:val="en-GB"/>
              </w:rPr>
            </w:pPr>
          </w:p>
        </w:tc>
      </w:tr>
      <w:tr w:rsidR="00AE7E13" w:rsidRPr="00F75DDE" w:rsidTr="0032293A">
        <w:trPr>
          <w:trHeight w:val="170"/>
        </w:trPr>
        <w:tc>
          <w:tcPr>
            <w:tcW w:w="1270" w:type="dxa"/>
            <w:tcBorders>
              <w:top w:val="single" w:sz="12" w:space="0" w:color="auto"/>
              <w:bottom w:val="single" w:sz="12" w:space="0" w:color="000000"/>
            </w:tcBorders>
          </w:tcPr>
          <w:p w:rsidR="00AE7E13" w:rsidRPr="00C2494E" w:rsidRDefault="00AE7E13" w:rsidP="00E32D14">
            <w:pPr>
              <w:rPr>
                <w:rFonts w:eastAsia="Calibri"/>
                <w:b/>
                <w:noProof/>
                <w:sz w:val="18"/>
                <w:szCs w:val="18"/>
                <w:lang w:val="en-GB"/>
              </w:rPr>
            </w:pPr>
            <w:r w:rsidRPr="00C2494E">
              <w:rPr>
                <w:rFonts w:eastAsia="Calibri"/>
                <w:b/>
                <w:noProof/>
                <w:sz w:val="18"/>
                <w:szCs w:val="18"/>
                <w:lang w:val="en-GB"/>
              </w:rPr>
              <w:t>Yulish EI et al (2010)</w:t>
            </w:r>
            <w:r>
              <w:rPr>
                <w:rFonts w:eastAsia="Calibri"/>
                <w:b/>
                <w:noProof/>
                <w:sz w:val="18"/>
                <w:szCs w:val="18"/>
                <w:lang w:val="en-GB"/>
              </w:rPr>
              <w:t xml:space="preserve"> [32]</w:t>
            </w:r>
          </w:p>
        </w:tc>
        <w:tc>
          <w:tcPr>
            <w:tcW w:w="3548" w:type="dxa"/>
            <w:gridSpan w:val="2"/>
            <w:tcBorders>
              <w:top w:val="single" w:sz="12" w:space="0" w:color="auto"/>
              <w:bottom w:val="single" w:sz="12" w:space="0" w:color="000000"/>
            </w:tcBorders>
          </w:tcPr>
          <w:p w:rsidR="00AE7E13" w:rsidRPr="00C2494E" w:rsidRDefault="00AE7E13" w:rsidP="00E32D14">
            <w:pPr>
              <w:rPr>
                <w:rFonts w:eastAsia="Calibri"/>
                <w:noProof/>
                <w:sz w:val="18"/>
                <w:szCs w:val="18"/>
                <w:lang w:val="en-GB"/>
              </w:rPr>
            </w:pPr>
            <w:r w:rsidRPr="00C2494E">
              <w:rPr>
                <w:rFonts w:eastAsia="Calibri"/>
                <w:noProof/>
                <w:sz w:val="18"/>
                <w:szCs w:val="18"/>
                <w:lang w:val="en-GB"/>
              </w:rPr>
              <w:t xml:space="preserve">Comparitive study of three groups of childrem under five years of age from Donetsk, Ukraine, method of sampling is not reported. </w:t>
            </w:r>
          </w:p>
          <w:p w:rsidR="00AE7E13" w:rsidRPr="00C2494E" w:rsidRDefault="00AE7E13" w:rsidP="00E32D14">
            <w:pPr>
              <w:rPr>
                <w:rFonts w:eastAsia="Calibri"/>
                <w:noProof/>
                <w:sz w:val="18"/>
                <w:szCs w:val="18"/>
                <w:lang w:val="en-GB"/>
              </w:rPr>
            </w:pPr>
            <w:r w:rsidRPr="00C2494E">
              <w:rPr>
                <w:rFonts w:eastAsia="Calibri"/>
                <w:noProof/>
                <w:sz w:val="18"/>
                <w:szCs w:val="18"/>
                <w:lang w:val="en-GB"/>
              </w:rPr>
              <w:t>Group 1: From orphanages</w:t>
            </w:r>
          </w:p>
          <w:p w:rsidR="00AE7E13" w:rsidRPr="00C2494E" w:rsidRDefault="00AE7E13" w:rsidP="00E32D14">
            <w:pPr>
              <w:rPr>
                <w:rFonts w:eastAsia="Calibri"/>
                <w:noProof/>
                <w:sz w:val="18"/>
                <w:szCs w:val="18"/>
                <w:lang w:val="en-GB"/>
              </w:rPr>
            </w:pPr>
            <w:r w:rsidRPr="00C2494E">
              <w:rPr>
                <w:rFonts w:eastAsia="Calibri"/>
                <w:noProof/>
                <w:sz w:val="18"/>
                <w:szCs w:val="18"/>
                <w:lang w:val="en-GB"/>
              </w:rPr>
              <w:t xml:space="preserve">Group 2: Children with frequent upper respiratory tract infections </w:t>
            </w:r>
          </w:p>
          <w:p w:rsidR="00AE7E13" w:rsidRPr="00C2494E" w:rsidRDefault="00AE7E13" w:rsidP="00E32D14">
            <w:pPr>
              <w:rPr>
                <w:rFonts w:eastAsia="Calibri"/>
                <w:noProof/>
                <w:sz w:val="18"/>
                <w:szCs w:val="18"/>
                <w:lang w:val="en-GB"/>
              </w:rPr>
            </w:pPr>
            <w:r w:rsidRPr="00C2494E">
              <w:rPr>
                <w:rFonts w:eastAsia="Calibri"/>
                <w:noProof/>
                <w:sz w:val="18"/>
                <w:szCs w:val="18"/>
                <w:lang w:val="en-GB"/>
              </w:rPr>
              <w:t>Group 3: Children considered healthy</w:t>
            </w:r>
          </w:p>
        </w:tc>
        <w:tc>
          <w:tcPr>
            <w:tcW w:w="2469" w:type="dxa"/>
            <w:tcBorders>
              <w:top w:val="single" w:sz="12" w:space="0" w:color="auto"/>
              <w:bottom w:val="single" w:sz="12" w:space="0" w:color="000000"/>
            </w:tcBorders>
          </w:tcPr>
          <w:p w:rsidR="00AE7E13" w:rsidRPr="00C2494E" w:rsidRDefault="00AE7E13" w:rsidP="00E32D14">
            <w:pPr>
              <w:rPr>
                <w:rFonts w:eastAsia="Calibri"/>
                <w:noProof/>
                <w:sz w:val="18"/>
                <w:szCs w:val="18"/>
                <w:lang w:val="en-GB"/>
              </w:rPr>
            </w:pPr>
            <w:r w:rsidRPr="00C2494E">
              <w:rPr>
                <w:rFonts w:eastAsia="Calibri"/>
                <w:noProof/>
                <w:sz w:val="18"/>
                <w:szCs w:val="18"/>
                <w:lang w:val="en-GB"/>
              </w:rPr>
              <w:t xml:space="preserve">Retrospective medical record review </w:t>
            </w:r>
          </w:p>
        </w:tc>
        <w:tc>
          <w:tcPr>
            <w:tcW w:w="2248" w:type="dxa"/>
            <w:tcBorders>
              <w:top w:val="single" w:sz="12" w:space="0" w:color="auto"/>
              <w:bottom w:val="single" w:sz="12" w:space="0" w:color="000000"/>
            </w:tcBorders>
          </w:tcPr>
          <w:p w:rsidR="00AE7E13" w:rsidRPr="00C2494E" w:rsidRDefault="00AE7E13" w:rsidP="00E32D14">
            <w:pPr>
              <w:rPr>
                <w:rFonts w:eastAsia="Calibri"/>
                <w:noProof/>
                <w:sz w:val="18"/>
                <w:szCs w:val="18"/>
                <w:lang w:val="en-GB"/>
              </w:rPr>
            </w:pPr>
            <w:r w:rsidRPr="00C2494E">
              <w:rPr>
                <w:rFonts w:eastAsia="Calibri"/>
                <w:noProof/>
                <w:sz w:val="18"/>
                <w:szCs w:val="18"/>
                <w:lang w:val="en-GB"/>
              </w:rPr>
              <w:t>Perinatal encephalopathy</w:t>
            </w:r>
          </w:p>
        </w:tc>
        <w:tc>
          <w:tcPr>
            <w:tcW w:w="2160" w:type="dxa"/>
            <w:tcBorders>
              <w:top w:val="single" w:sz="12" w:space="0" w:color="auto"/>
              <w:bottom w:val="single" w:sz="12" w:space="0" w:color="000000"/>
            </w:tcBorders>
          </w:tcPr>
          <w:p w:rsidR="00AE7E13" w:rsidRPr="00C2494E" w:rsidRDefault="00AE7E13" w:rsidP="00E32D14">
            <w:pPr>
              <w:rPr>
                <w:rFonts w:eastAsia="Calibri"/>
                <w:noProof/>
                <w:sz w:val="18"/>
                <w:szCs w:val="18"/>
                <w:lang w:val="en-GB"/>
              </w:rPr>
            </w:pPr>
          </w:p>
          <w:p w:rsidR="00AE7E13" w:rsidRPr="00C2494E" w:rsidRDefault="00AE7E13" w:rsidP="00E32D14">
            <w:pPr>
              <w:rPr>
                <w:rFonts w:eastAsia="Calibri"/>
                <w:noProof/>
                <w:sz w:val="18"/>
                <w:szCs w:val="18"/>
                <w:lang w:val="en-GB"/>
              </w:rPr>
            </w:pPr>
          </w:p>
          <w:p w:rsidR="00AE7E13" w:rsidRPr="00C2494E" w:rsidRDefault="00AE7E13" w:rsidP="00E32D14">
            <w:pPr>
              <w:rPr>
                <w:rFonts w:eastAsia="Calibri"/>
                <w:noProof/>
                <w:sz w:val="18"/>
                <w:szCs w:val="18"/>
                <w:lang w:val="en-GB"/>
              </w:rPr>
            </w:pPr>
          </w:p>
          <w:p w:rsidR="00AE7E13" w:rsidRPr="00C2494E" w:rsidRDefault="00AE7E13" w:rsidP="00E32D14">
            <w:pPr>
              <w:rPr>
                <w:rFonts w:eastAsia="Calibri"/>
                <w:noProof/>
                <w:sz w:val="18"/>
                <w:szCs w:val="18"/>
                <w:lang w:val="en-GB"/>
              </w:rPr>
            </w:pPr>
          </w:p>
          <w:p w:rsidR="00AE7E13" w:rsidRPr="00C2494E" w:rsidRDefault="00AE7E13" w:rsidP="00E32D14">
            <w:pPr>
              <w:rPr>
                <w:rFonts w:eastAsia="Calibri"/>
                <w:noProof/>
                <w:sz w:val="18"/>
                <w:szCs w:val="18"/>
                <w:lang w:val="en-GB"/>
              </w:rPr>
            </w:pPr>
            <w:r w:rsidRPr="00C2494E">
              <w:rPr>
                <w:rFonts w:eastAsia="Calibri"/>
                <w:noProof/>
                <w:sz w:val="18"/>
                <w:szCs w:val="18"/>
                <w:lang w:val="en-GB"/>
              </w:rPr>
              <w:t>Group1: 100.0</w:t>
            </w:r>
          </w:p>
          <w:p w:rsidR="00AE7E13" w:rsidRPr="00C2494E" w:rsidRDefault="00AE7E13" w:rsidP="00E32D14">
            <w:pPr>
              <w:rPr>
                <w:rFonts w:eastAsia="Calibri"/>
                <w:noProof/>
                <w:sz w:val="18"/>
                <w:szCs w:val="18"/>
                <w:lang w:val="en-GB"/>
              </w:rPr>
            </w:pPr>
            <w:r w:rsidRPr="00C2494E">
              <w:rPr>
                <w:rFonts w:eastAsia="Calibri"/>
                <w:noProof/>
                <w:sz w:val="18"/>
                <w:szCs w:val="18"/>
                <w:lang w:val="en-GB"/>
              </w:rPr>
              <w:t>Group 2: 42.7 (35.9-58.9)</w:t>
            </w:r>
          </w:p>
          <w:p w:rsidR="00AE7E13" w:rsidRPr="00C2494E" w:rsidRDefault="00AE7E13" w:rsidP="00E32D14">
            <w:pPr>
              <w:rPr>
                <w:rFonts w:eastAsia="Calibri"/>
                <w:noProof/>
                <w:sz w:val="18"/>
                <w:szCs w:val="18"/>
                <w:lang w:val="en-GB"/>
              </w:rPr>
            </w:pPr>
          </w:p>
          <w:p w:rsidR="00AE7E13" w:rsidRPr="00C2494E" w:rsidRDefault="00AE7E13" w:rsidP="00E32D14">
            <w:pPr>
              <w:rPr>
                <w:rFonts w:eastAsia="Calibri"/>
                <w:noProof/>
                <w:sz w:val="18"/>
                <w:szCs w:val="18"/>
                <w:lang w:val="en-GB"/>
              </w:rPr>
            </w:pPr>
            <w:r w:rsidRPr="00C2494E">
              <w:rPr>
                <w:rFonts w:eastAsia="Calibri"/>
                <w:noProof/>
                <w:sz w:val="18"/>
                <w:szCs w:val="18"/>
                <w:lang w:val="en-GB"/>
              </w:rPr>
              <w:t>Group 3: 14.3 (2.7-25.9)</w:t>
            </w:r>
          </w:p>
        </w:tc>
        <w:tc>
          <w:tcPr>
            <w:tcW w:w="1483" w:type="dxa"/>
            <w:tcBorders>
              <w:top w:val="single" w:sz="12" w:space="0" w:color="auto"/>
              <w:bottom w:val="single" w:sz="12" w:space="0" w:color="000000"/>
            </w:tcBorders>
          </w:tcPr>
          <w:p w:rsidR="00AE7E13" w:rsidRPr="00C2494E" w:rsidRDefault="00AE7E13" w:rsidP="00E32D14">
            <w:pPr>
              <w:rPr>
                <w:rFonts w:eastAsia="Calibri"/>
                <w:noProof/>
                <w:sz w:val="18"/>
                <w:szCs w:val="18"/>
                <w:lang w:val="en-GB"/>
              </w:rPr>
            </w:pPr>
          </w:p>
          <w:p w:rsidR="00AE7E13" w:rsidRPr="00C2494E" w:rsidRDefault="00AE7E13" w:rsidP="00E32D14">
            <w:pPr>
              <w:rPr>
                <w:rFonts w:eastAsia="Calibri"/>
                <w:noProof/>
                <w:sz w:val="18"/>
                <w:szCs w:val="18"/>
                <w:lang w:val="en-GB"/>
              </w:rPr>
            </w:pPr>
          </w:p>
          <w:p w:rsidR="00AE7E13" w:rsidRPr="00C2494E" w:rsidRDefault="00AE7E13" w:rsidP="00E32D14">
            <w:pPr>
              <w:rPr>
                <w:rFonts w:eastAsia="Calibri"/>
                <w:noProof/>
                <w:sz w:val="18"/>
                <w:szCs w:val="18"/>
                <w:lang w:val="en-GB"/>
              </w:rPr>
            </w:pPr>
          </w:p>
          <w:p w:rsidR="00AE7E13" w:rsidRPr="00C2494E" w:rsidRDefault="00AE7E13" w:rsidP="00E32D14">
            <w:pPr>
              <w:rPr>
                <w:rFonts w:eastAsia="Calibri"/>
                <w:noProof/>
                <w:sz w:val="18"/>
                <w:szCs w:val="18"/>
                <w:lang w:val="en-GB"/>
              </w:rPr>
            </w:pPr>
          </w:p>
          <w:p w:rsidR="00AE7E13" w:rsidRPr="00C2494E" w:rsidRDefault="00AE7E13" w:rsidP="00E32D14">
            <w:pPr>
              <w:rPr>
                <w:rFonts w:eastAsia="Calibri"/>
                <w:noProof/>
                <w:sz w:val="18"/>
                <w:szCs w:val="18"/>
                <w:lang w:val="en-GB"/>
              </w:rPr>
            </w:pPr>
            <w:r w:rsidRPr="00C2494E">
              <w:rPr>
                <w:rFonts w:eastAsia="Calibri"/>
                <w:noProof/>
                <w:sz w:val="18"/>
                <w:szCs w:val="18"/>
                <w:lang w:val="en-GB"/>
              </w:rPr>
              <w:t>Group 1: 89/89</w:t>
            </w:r>
          </w:p>
          <w:p w:rsidR="00AE7E13" w:rsidRPr="00C2494E" w:rsidRDefault="00AE7E13" w:rsidP="00E32D14">
            <w:pPr>
              <w:rPr>
                <w:rFonts w:eastAsia="Calibri"/>
                <w:noProof/>
                <w:sz w:val="18"/>
                <w:szCs w:val="18"/>
                <w:lang w:val="en-GB"/>
              </w:rPr>
            </w:pPr>
            <w:r w:rsidRPr="00C2494E">
              <w:rPr>
                <w:rFonts w:eastAsia="Calibri"/>
                <w:noProof/>
                <w:sz w:val="18"/>
                <w:szCs w:val="18"/>
                <w:lang w:val="en-GB"/>
              </w:rPr>
              <w:t>Group 2: 32/75</w:t>
            </w:r>
          </w:p>
          <w:p w:rsidR="00AE7E13" w:rsidRPr="00C2494E" w:rsidRDefault="00AE7E13" w:rsidP="00E32D14">
            <w:pPr>
              <w:rPr>
                <w:rFonts w:eastAsia="Calibri"/>
                <w:noProof/>
                <w:sz w:val="18"/>
                <w:szCs w:val="18"/>
                <w:lang w:val="en-GB"/>
              </w:rPr>
            </w:pPr>
          </w:p>
          <w:p w:rsidR="00AE7E13" w:rsidRPr="00C2494E" w:rsidRDefault="00AE7E13" w:rsidP="00E32D14">
            <w:pPr>
              <w:rPr>
                <w:rFonts w:eastAsia="Calibri"/>
                <w:noProof/>
                <w:sz w:val="18"/>
                <w:szCs w:val="18"/>
                <w:lang w:val="en-GB"/>
              </w:rPr>
            </w:pPr>
            <w:r w:rsidRPr="00C2494E">
              <w:rPr>
                <w:rFonts w:eastAsia="Calibri"/>
                <w:noProof/>
                <w:sz w:val="18"/>
                <w:szCs w:val="18"/>
                <w:lang w:val="en-GB"/>
              </w:rPr>
              <w:t>Group 3: 5/35</w:t>
            </w:r>
          </w:p>
        </w:tc>
        <w:tc>
          <w:tcPr>
            <w:tcW w:w="2126" w:type="dxa"/>
            <w:tcBorders>
              <w:top w:val="single" w:sz="12" w:space="0" w:color="auto"/>
              <w:bottom w:val="single" w:sz="12" w:space="0" w:color="000000"/>
            </w:tcBorders>
          </w:tcPr>
          <w:p w:rsidR="00AE7E13" w:rsidRPr="00C2494E" w:rsidRDefault="00AE7E13" w:rsidP="00E32D14">
            <w:pPr>
              <w:rPr>
                <w:rFonts w:eastAsia="Calibri"/>
                <w:noProof/>
                <w:sz w:val="18"/>
                <w:szCs w:val="18"/>
                <w:lang w:val="en-GB"/>
              </w:rPr>
            </w:pPr>
            <w:r w:rsidRPr="00C2494E">
              <w:rPr>
                <w:rFonts w:eastAsia="Calibri"/>
                <w:noProof/>
                <w:sz w:val="18"/>
                <w:szCs w:val="18"/>
                <w:lang w:val="en-GB"/>
              </w:rPr>
              <w:t>N/A</w:t>
            </w:r>
          </w:p>
        </w:tc>
      </w:tr>
      <w:tr w:rsidR="00AE7E13" w:rsidRPr="00F75DDE" w:rsidTr="0032293A">
        <w:trPr>
          <w:trHeight w:val="170"/>
        </w:trPr>
        <w:tc>
          <w:tcPr>
            <w:tcW w:w="1270" w:type="dxa"/>
            <w:vMerge w:val="restart"/>
            <w:tcBorders>
              <w:top w:val="single" w:sz="12" w:space="0" w:color="000000"/>
            </w:tcBorders>
          </w:tcPr>
          <w:p w:rsidR="00AE7E13" w:rsidRPr="00F75DDE" w:rsidRDefault="00AE7E13" w:rsidP="00E32D14">
            <w:pPr>
              <w:rPr>
                <w:rFonts w:eastAsia="Calibri"/>
                <w:b/>
                <w:noProof/>
                <w:sz w:val="18"/>
                <w:szCs w:val="18"/>
                <w:lang w:val="en-GB"/>
              </w:rPr>
            </w:pPr>
            <w:r w:rsidRPr="00F75DDE">
              <w:rPr>
                <w:rFonts w:eastAsia="Calibri"/>
                <w:b/>
                <w:noProof/>
                <w:sz w:val="18"/>
                <w:szCs w:val="18"/>
                <w:lang w:val="en-GB"/>
              </w:rPr>
              <w:t>Jenista JA(2000)</w:t>
            </w:r>
            <w:r>
              <w:rPr>
                <w:rFonts w:eastAsia="Calibri"/>
                <w:b/>
                <w:noProof/>
                <w:sz w:val="18"/>
                <w:szCs w:val="18"/>
                <w:lang w:val="en-GB"/>
              </w:rPr>
              <w:t xml:space="preserve"> [28]</w:t>
            </w:r>
          </w:p>
        </w:tc>
        <w:tc>
          <w:tcPr>
            <w:tcW w:w="3548" w:type="dxa"/>
            <w:gridSpan w:val="2"/>
            <w:vMerge w:val="restart"/>
            <w:tcBorders>
              <w:top w:val="single" w:sz="12" w:space="0" w:color="000000"/>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Children being considered for international adoption</w:t>
            </w:r>
            <w:r>
              <w:rPr>
                <w:rFonts w:eastAsia="Calibri"/>
                <w:noProof/>
                <w:sz w:val="18"/>
                <w:szCs w:val="18"/>
                <w:lang w:val="en-GB"/>
              </w:rPr>
              <w:t>.</w:t>
            </w:r>
            <w:r w:rsidRPr="00F75DDE">
              <w:rPr>
                <w:rFonts w:eastAsia="Calibri"/>
                <w:noProof/>
                <w:sz w:val="18"/>
                <w:szCs w:val="18"/>
                <w:lang w:val="en-GB"/>
              </w:rPr>
              <w:t xml:space="preserve"> 2472 (88% of 2814 records</w:t>
            </w:r>
            <w:r>
              <w:rPr>
                <w:rFonts w:eastAsia="Calibri"/>
                <w:noProof/>
                <w:sz w:val="18"/>
                <w:szCs w:val="18"/>
                <w:lang w:val="en-GB"/>
              </w:rPr>
              <w:t>)</w:t>
            </w:r>
            <w:r w:rsidRPr="00F75DDE">
              <w:rPr>
                <w:rFonts w:eastAsia="Calibri"/>
                <w:noProof/>
                <w:sz w:val="18"/>
                <w:szCs w:val="18"/>
                <w:lang w:val="en-GB"/>
              </w:rPr>
              <w:t xml:space="preserve"> were from Eastern Europe and  Russian Federation</w:t>
            </w:r>
            <w:r>
              <w:rPr>
                <w:rFonts w:eastAsia="Calibri"/>
                <w:noProof/>
                <w:sz w:val="18"/>
                <w:szCs w:val="18"/>
                <w:lang w:val="en-GB"/>
              </w:rPr>
              <w:t>.</w:t>
            </w:r>
          </w:p>
        </w:tc>
        <w:tc>
          <w:tcPr>
            <w:tcW w:w="2469" w:type="dxa"/>
            <w:vMerge w:val="restart"/>
            <w:tcBorders>
              <w:top w:val="single" w:sz="12" w:space="0" w:color="000000"/>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Medical record review conducted by the author (JAJ)</w:t>
            </w:r>
          </w:p>
        </w:tc>
        <w:tc>
          <w:tcPr>
            <w:tcW w:w="2248" w:type="dxa"/>
            <w:tcBorders>
              <w:top w:val="single" w:sz="12" w:space="0" w:color="000000"/>
              <w:bottom w:val="nil"/>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Perinatal encephalopathy</w:t>
            </w:r>
          </w:p>
        </w:tc>
        <w:tc>
          <w:tcPr>
            <w:tcW w:w="2160" w:type="dxa"/>
            <w:tcBorders>
              <w:top w:val="single" w:sz="12" w:space="0" w:color="000000"/>
              <w:bottom w:val="nil"/>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60</w:t>
            </w:r>
          </w:p>
        </w:tc>
        <w:tc>
          <w:tcPr>
            <w:tcW w:w="1483" w:type="dxa"/>
            <w:tcBorders>
              <w:top w:val="single" w:sz="12" w:space="0" w:color="000000"/>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N/A</w:t>
            </w:r>
          </w:p>
        </w:tc>
        <w:tc>
          <w:tcPr>
            <w:tcW w:w="2126" w:type="dxa"/>
            <w:vMerge w:val="restart"/>
            <w:tcBorders>
              <w:top w:val="single" w:sz="12" w:space="0" w:color="000000"/>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 xml:space="preserve">Neurological diagnosis confirmed in 6% patients. Developmental and behavioral problems, as well as several other serious medical conditions diagnosed in 30% </w:t>
            </w:r>
          </w:p>
        </w:tc>
      </w:tr>
      <w:tr w:rsidR="00AE7E13" w:rsidRPr="00F75DDE" w:rsidTr="00C2494E">
        <w:trPr>
          <w:trHeight w:val="170"/>
        </w:trPr>
        <w:tc>
          <w:tcPr>
            <w:tcW w:w="1270" w:type="dxa"/>
            <w:vMerge/>
          </w:tcPr>
          <w:p w:rsidR="00AE7E13" w:rsidRPr="00F75DDE" w:rsidRDefault="00AE7E13" w:rsidP="00E32D14">
            <w:pPr>
              <w:rPr>
                <w:rFonts w:eastAsia="Calibri"/>
                <w:b/>
                <w:noProof/>
                <w:sz w:val="18"/>
                <w:szCs w:val="18"/>
                <w:lang w:val="en-GB"/>
              </w:rPr>
            </w:pPr>
          </w:p>
        </w:tc>
        <w:tc>
          <w:tcPr>
            <w:tcW w:w="3548" w:type="dxa"/>
            <w:gridSpan w:val="2"/>
            <w:vMerge/>
          </w:tcPr>
          <w:p w:rsidR="00AE7E13" w:rsidRPr="00F75DDE" w:rsidRDefault="00AE7E13" w:rsidP="00E32D14">
            <w:pPr>
              <w:rPr>
                <w:rFonts w:eastAsia="Calibri"/>
                <w:noProof/>
                <w:sz w:val="18"/>
                <w:szCs w:val="18"/>
                <w:lang w:val="en-GB"/>
              </w:rPr>
            </w:pPr>
          </w:p>
        </w:tc>
        <w:tc>
          <w:tcPr>
            <w:tcW w:w="2469" w:type="dxa"/>
            <w:vMerge/>
          </w:tcPr>
          <w:p w:rsidR="00AE7E13" w:rsidRPr="00F75DDE" w:rsidRDefault="00AE7E13" w:rsidP="00E32D14">
            <w:pPr>
              <w:rPr>
                <w:rFonts w:eastAsia="Calibri"/>
                <w:noProof/>
                <w:sz w:val="18"/>
                <w:szCs w:val="18"/>
                <w:lang w:val="en-GB"/>
              </w:rPr>
            </w:pPr>
          </w:p>
        </w:tc>
        <w:tc>
          <w:tcPr>
            <w:tcW w:w="2248" w:type="dxa"/>
            <w:tcBorders>
              <w:top w:val="single" w:sz="4" w:space="0" w:color="auto"/>
              <w:bottom w:val="nil"/>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Hydrocephalic syndrome</w:t>
            </w:r>
          </w:p>
        </w:tc>
        <w:tc>
          <w:tcPr>
            <w:tcW w:w="2160" w:type="dxa"/>
            <w:tcBorders>
              <w:bottom w:val="nil"/>
            </w:tcBorders>
          </w:tcPr>
          <w:p w:rsidR="00AE7E13" w:rsidRPr="00F75DDE" w:rsidRDefault="00AE7E13" w:rsidP="00E32D14">
            <w:pPr>
              <w:rPr>
                <w:rFonts w:eastAsia="Calibri"/>
                <w:sz w:val="18"/>
                <w:szCs w:val="18"/>
                <w:lang w:val="en-GB"/>
              </w:rPr>
            </w:pPr>
            <w:r w:rsidRPr="00F75DDE">
              <w:rPr>
                <w:rFonts w:eastAsia="Calibri"/>
                <w:noProof/>
                <w:sz w:val="18"/>
                <w:szCs w:val="18"/>
                <w:lang w:val="en-GB"/>
              </w:rPr>
              <w:t>33</w:t>
            </w:r>
          </w:p>
        </w:tc>
        <w:tc>
          <w:tcPr>
            <w:tcW w:w="1483" w:type="dxa"/>
          </w:tcPr>
          <w:p w:rsidR="00AE7E13" w:rsidRPr="00F75DDE" w:rsidRDefault="00AE7E13" w:rsidP="00E32D14">
            <w:pPr>
              <w:rPr>
                <w:rFonts w:eastAsia="Calibri"/>
                <w:sz w:val="18"/>
                <w:szCs w:val="18"/>
                <w:lang w:val="en-GB"/>
              </w:rPr>
            </w:pPr>
            <w:r w:rsidRPr="00F75DDE">
              <w:rPr>
                <w:rFonts w:eastAsia="Calibri"/>
                <w:noProof/>
                <w:sz w:val="18"/>
                <w:szCs w:val="18"/>
                <w:lang w:val="en-GB"/>
              </w:rPr>
              <w:t>N/A</w:t>
            </w:r>
          </w:p>
        </w:tc>
        <w:tc>
          <w:tcPr>
            <w:tcW w:w="2126" w:type="dxa"/>
            <w:vMerge/>
          </w:tcPr>
          <w:p w:rsidR="00AE7E13" w:rsidRPr="00F75DDE" w:rsidRDefault="00AE7E13" w:rsidP="00E32D14">
            <w:pPr>
              <w:rPr>
                <w:rFonts w:eastAsia="Calibri"/>
                <w:sz w:val="18"/>
                <w:szCs w:val="18"/>
                <w:lang w:val="en-GB"/>
              </w:rPr>
            </w:pPr>
          </w:p>
        </w:tc>
      </w:tr>
      <w:tr w:rsidR="00AE7E13" w:rsidRPr="00F75DDE" w:rsidTr="00C2494E">
        <w:trPr>
          <w:trHeight w:val="170"/>
        </w:trPr>
        <w:tc>
          <w:tcPr>
            <w:tcW w:w="1270" w:type="dxa"/>
            <w:vMerge/>
          </w:tcPr>
          <w:p w:rsidR="00AE7E13" w:rsidRPr="00F75DDE" w:rsidRDefault="00AE7E13" w:rsidP="00E32D14">
            <w:pPr>
              <w:rPr>
                <w:rFonts w:eastAsia="Calibri"/>
                <w:b/>
                <w:noProof/>
                <w:sz w:val="18"/>
                <w:szCs w:val="18"/>
                <w:lang w:val="en-GB"/>
              </w:rPr>
            </w:pPr>
          </w:p>
        </w:tc>
        <w:tc>
          <w:tcPr>
            <w:tcW w:w="3548" w:type="dxa"/>
            <w:gridSpan w:val="2"/>
            <w:vMerge/>
          </w:tcPr>
          <w:p w:rsidR="00AE7E13" w:rsidRPr="00F75DDE" w:rsidRDefault="00AE7E13" w:rsidP="00E32D14">
            <w:pPr>
              <w:rPr>
                <w:rFonts w:eastAsia="Calibri"/>
                <w:noProof/>
                <w:sz w:val="18"/>
                <w:szCs w:val="18"/>
                <w:lang w:val="en-GB"/>
              </w:rPr>
            </w:pPr>
          </w:p>
        </w:tc>
        <w:tc>
          <w:tcPr>
            <w:tcW w:w="2469" w:type="dxa"/>
            <w:vMerge/>
          </w:tcPr>
          <w:p w:rsidR="00AE7E13" w:rsidRPr="00F75DDE" w:rsidRDefault="00AE7E13" w:rsidP="00E32D14">
            <w:pPr>
              <w:rPr>
                <w:rFonts w:eastAsia="Calibri"/>
                <w:noProof/>
                <w:sz w:val="18"/>
                <w:szCs w:val="18"/>
                <w:lang w:val="en-GB"/>
              </w:rPr>
            </w:pPr>
          </w:p>
        </w:tc>
        <w:tc>
          <w:tcPr>
            <w:tcW w:w="2248" w:type="dxa"/>
            <w:tcBorders>
              <w:top w:val="single" w:sz="4" w:space="0" w:color="auto"/>
              <w:bottom w:val="nil"/>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 xml:space="preserve">Perinatal affectation of the central nervous system </w:t>
            </w:r>
          </w:p>
        </w:tc>
        <w:tc>
          <w:tcPr>
            <w:tcW w:w="2160" w:type="dxa"/>
            <w:tcBorders>
              <w:bottom w:val="nil"/>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32</w:t>
            </w:r>
          </w:p>
        </w:tc>
        <w:tc>
          <w:tcPr>
            <w:tcW w:w="1483" w:type="dxa"/>
          </w:tcPr>
          <w:p w:rsidR="00AE7E13" w:rsidRPr="00F75DDE" w:rsidRDefault="00AE7E13" w:rsidP="00E32D14">
            <w:pPr>
              <w:rPr>
                <w:rFonts w:eastAsia="Calibri"/>
                <w:noProof/>
                <w:sz w:val="18"/>
                <w:szCs w:val="18"/>
                <w:lang w:val="en-GB"/>
              </w:rPr>
            </w:pPr>
            <w:r w:rsidRPr="00F75DDE">
              <w:rPr>
                <w:rFonts w:eastAsia="Calibri"/>
                <w:noProof/>
                <w:sz w:val="18"/>
                <w:szCs w:val="18"/>
                <w:lang w:val="en-GB"/>
              </w:rPr>
              <w:t>N/A</w:t>
            </w:r>
          </w:p>
        </w:tc>
        <w:tc>
          <w:tcPr>
            <w:tcW w:w="2126" w:type="dxa"/>
            <w:vMerge/>
          </w:tcPr>
          <w:p w:rsidR="00AE7E13" w:rsidRPr="00F75DDE" w:rsidRDefault="00AE7E13" w:rsidP="00E32D14">
            <w:pPr>
              <w:rPr>
                <w:rFonts w:eastAsia="Calibri"/>
                <w:noProof/>
                <w:sz w:val="18"/>
                <w:szCs w:val="18"/>
                <w:lang w:val="en-GB"/>
              </w:rPr>
            </w:pPr>
          </w:p>
        </w:tc>
      </w:tr>
      <w:tr w:rsidR="00AE7E13" w:rsidRPr="00F75DDE" w:rsidTr="00C2494E">
        <w:trPr>
          <w:trHeight w:val="235"/>
        </w:trPr>
        <w:tc>
          <w:tcPr>
            <w:tcW w:w="1270" w:type="dxa"/>
            <w:vMerge/>
          </w:tcPr>
          <w:p w:rsidR="00AE7E13" w:rsidRPr="00F75DDE" w:rsidRDefault="00AE7E13" w:rsidP="00E32D14">
            <w:pPr>
              <w:rPr>
                <w:rFonts w:eastAsia="Calibri"/>
                <w:b/>
                <w:noProof/>
                <w:sz w:val="18"/>
                <w:szCs w:val="18"/>
                <w:lang w:val="en-GB"/>
              </w:rPr>
            </w:pPr>
          </w:p>
        </w:tc>
        <w:tc>
          <w:tcPr>
            <w:tcW w:w="3548" w:type="dxa"/>
            <w:gridSpan w:val="2"/>
            <w:vMerge/>
          </w:tcPr>
          <w:p w:rsidR="00AE7E13" w:rsidRPr="00F75DDE" w:rsidRDefault="00AE7E13" w:rsidP="00E32D14">
            <w:pPr>
              <w:rPr>
                <w:rFonts w:eastAsia="Calibri"/>
                <w:noProof/>
                <w:sz w:val="18"/>
                <w:szCs w:val="18"/>
                <w:lang w:val="en-GB"/>
              </w:rPr>
            </w:pPr>
          </w:p>
        </w:tc>
        <w:tc>
          <w:tcPr>
            <w:tcW w:w="2469" w:type="dxa"/>
            <w:vMerge/>
          </w:tcPr>
          <w:p w:rsidR="00AE7E13" w:rsidRPr="00F75DDE" w:rsidRDefault="00AE7E13" w:rsidP="00E32D14">
            <w:pPr>
              <w:rPr>
                <w:rFonts w:eastAsia="Calibri"/>
                <w:noProof/>
                <w:sz w:val="18"/>
                <w:szCs w:val="18"/>
                <w:lang w:val="en-GB"/>
              </w:rPr>
            </w:pPr>
          </w:p>
        </w:tc>
        <w:tc>
          <w:tcPr>
            <w:tcW w:w="2248" w:type="dxa"/>
            <w:tcBorders>
              <w:top w:val="single" w:sz="4" w:space="0" w:color="auto"/>
              <w:bottom w:val="nil"/>
            </w:tcBorders>
          </w:tcPr>
          <w:p w:rsidR="00AE7E13" w:rsidRPr="00F75DDE" w:rsidRDefault="00AE7E13" w:rsidP="00E32D14">
            <w:pPr>
              <w:rPr>
                <w:rFonts w:eastAsia="Calibri"/>
                <w:sz w:val="18"/>
                <w:lang w:val="en-GB"/>
              </w:rPr>
            </w:pPr>
            <w:r w:rsidRPr="00F75DDE">
              <w:rPr>
                <w:rFonts w:eastAsia="Calibri"/>
                <w:sz w:val="18"/>
                <w:lang w:val="en-GB"/>
              </w:rPr>
              <w:t>Spastic tetraparesis or paraparesis</w:t>
            </w:r>
          </w:p>
        </w:tc>
        <w:tc>
          <w:tcPr>
            <w:tcW w:w="2160" w:type="dxa"/>
            <w:tcBorders>
              <w:bottom w:val="nil"/>
            </w:tcBorders>
          </w:tcPr>
          <w:p w:rsidR="00AE7E13" w:rsidRPr="00F75DDE" w:rsidRDefault="00AE7E13" w:rsidP="00E32D14">
            <w:pPr>
              <w:rPr>
                <w:rFonts w:eastAsia="Calibri"/>
                <w:sz w:val="18"/>
                <w:lang w:val="en-GB"/>
              </w:rPr>
            </w:pPr>
            <w:r w:rsidRPr="00F75DDE">
              <w:rPr>
                <w:rFonts w:eastAsia="Calibri"/>
                <w:sz w:val="18"/>
                <w:lang w:val="en-GB"/>
              </w:rPr>
              <w:t>29</w:t>
            </w:r>
          </w:p>
        </w:tc>
        <w:tc>
          <w:tcPr>
            <w:tcW w:w="1483" w:type="dxa"/>
          </w:tcPr>
          <w:p w:rsidR="00AE7E13" w:rsidRPr="00F75DDE" w:rsidRDefault="00AE7E13" w:rsidP="00E32D14">
            <w:pPr>
              <w:rPr>
                <w:rFonts w:eastAsia="Calibri"/>
                <w:sz w:val="18"/>
                <w:lang w:val="en-GB"/>
              </w:rPr>
            </w:pPr>
            <w:r w:rsidRPr="00F75DDE">
              <w:rPr>
                <w:rFonts w:eastAsia="Calibri"/>
                <w:noProof/>
                <w:sz w:val="18"/>
                <w:szCs w:val="18"/>
                <w:lang w:val="en-GB"/>
              </w:rPr>
              <w:t>N/A</w:t>
            </w:r>
          </w:p>
        </w:tc>
        <w:tc>
          <w:tcPr>
            <w:tcW w:w="2126" w:type="dxa"/>
            <w:vMerge/>
          </w:tcPr>
          <w:p w:rsidR="00AE7E13" w:rsidRPr="00F75DDE" w:rsidRDefault="00AE7E13" w:rsidP="00E32D14">
            <w:pPr>
              <w:rPr>
                <w:rFonts w:eastAsia="Calibri"/>
                <w:sz w:val="18"/>
                <w:lang w:val="en-GB"/>
              </w:rPr>
            </w:pPr>
          </w:p>
        </w:tc>
      </w:tr>
      <w:tr w:rsidR="00AE7E13" w:rsidRPr="00F75DDE" w:rsidTr="00C2494E">
        <w:trPr>
          <w:trHeight w:val="235"/>
        </w:trPr>
        <w:tc>
          <w:tcPr>
            <w:tcW w:w="1270" w:type="dxa"/>
            <w:vMerge/>
          </w:tcPr>
          <w:p w:rsidR="00AE7E13" w:rsidRPr="00F75DDE" w:rsidRDefault="00AE7E13" w:rsidP="00E32D14">
            <w:pPr>
              <w:rPr>
                <w:rFonts w:eastAsia="Calibri"/>
                <w:b/>
                <w:noProof/>
                <w:sz w:val="18"/>
                <w:szCs w:val="18"/>
                <w:lang w:val="en-GB"/>
              </w:rPr>
            </w:pPr>
          </w:p>
        </w:tc>
        <w:tc>
          <w:tcPr>
            <w:tcW w:w="3548" w:type="dxa"/>
            <w:gridSpan w:val="2"/>
            <w:vMerge/>
          </w:tcPr>
          <w:p w:rsidR="00AE7E13" w:rsidRPr="00F75DDE" w:rsidRDefault="00AE7E13" w:rsidP="00E32D14">
            <w:pPr>
              <w:rPr>
                <w:rFonts w:eastAsia="Calibri"/>
                <w:noProof/>
                <w:sz w:val="18"/>
                <w:szCs w:val="18"/>
                <w:lang w:val="en-GB"/>
              </w:rPr>
            </w:pPr>
          </w:p>
        </w:tc>
        <w:tc>
          <w:tcPr>
            <w:tcW w:w="2469" w:type="dxa"/>
            <w:vMerge/>
          </w:tcPr>
          <w:p w:rsidR="00AE7E13" w:rsidRPr="00F75DDE" w:rsidRDefault="00AE7E13" w:rsidP="00E32D14">
            <w:pPr>
              <w:rPr>
                <w:rFonts w:eastAsia="Calibri"/>
                <w:noProof/>
                <w:sz w:val="18"/>
                <w:szCs w:val="18"/>
                <w:lang w:val="en-GB"/>
              </w:rPr>
            </w:pPr>
          </w:p>
        </w:tc>
        <w:tc>
          <w:tcPr>
            <w:tcW w:w="2248" w:type="dxa"/>
            <w:tcBorders>
              <w:top w:val="single" w:sz="4" w:space="0" w:color="auto"/>
              <w:bottom w:val="nil"/>
            </w:tcBorders>
          </w:tcPr>
          <w:p w:rsidR="00AE7E13" w:rsidRPr="00F75DDE" w:rsidRDefault="00AE7E13" w:rsidP="00E32D14">
            <w:pPr>
              <w:rPr>
                <w:rFonts w:eastAsia="Calibri"/>
                <w:sz w:val="18"/>
                <w:lang w:val="en-GB"/>
              </w:rPr>
            </w:pPr>
            <w:r w:rsidRPr="00F75DDE">
              <w:rPr>
                <w:rFonts w:eastAsia="Calibri"/>
                <w:sz w:val="18"/>
                <w:lang w:val="en-GB"/>
              </w:rPr>
              <w:t>Hypertension syndrome</w:t>
            </w:r>
          </w:p>
        </w:tc>
        <w:tc>
          <w:tcPr>
            <w:tcW w:w="2160" w:type="dxa"/>
            <w:tcBorders>
              <w:bottom w:val="nil"/>
            </w:tcBorders>
          </w:tcPr>
          <w:p w:rsidR="00AE7E13" w:rsidRPr="00F75DDE" w:rsidRDefault="00AE7E13" w:rsidP="00E32D14">
            <w:pPr>
              <w:rPr>
                <w:rFonts w:eastAsia="Calibri"/>
                <w:sz w:val="18"/>
                <w:lang w:val="en-GB"/>
              </w:rPr>
            </w:pPr>
            <w:r w:rsidRPr="00F75DDE">
              <w:rPr>
                <w:rFonts w:eastAsia="Calibri"/>
                <w:sz w:val="18"/>
                <w:lang w:val="en-GB"/>
              </w:rPr>
              <w:t>22</w:t>
            </w:r>
          </w:p>
        </w:tc>
        <w:tc>
          <w:tcPr>
            <w:tcW w:w="1483" w:type="dxa"/>
          </w:tcPr>
          <w:p w:rsidR="00AE7E13" w:rsidRPr="00F75DDE" w:rsidRDefault="00AE7E13" w:rsidP="00E32D14">
            <w:pPr>
              <w:rPr>
                <w:rFonts w:eastAsia="Calibri"/>
                <w:sz w:val="18"/>
                <w:lang w:val="en-GB"/>
              </w:rPr>
            </w:pPr>
            <w:r w:rsidRPr="00F75DDE">
              <w:rPr>
                <w:rFonts w:eastAsia="Calibri"/>
                <w:noProof/>
                <w:sz w:val="18"/>
                <w:szCs w:val="18"/>
                <w:lang w:val="en-GB"/>
              </w:rPr>
              <w:t>N/A</w:t>
            </w:r>
          </w:p>
        </w:tc>
        <w:tc>
          <w:tcPr>
            <w:tcW w:w="2126" w:type="dxa"/>
            <w:vMerge/>
          </w:tcPr>
          <w:p w:rsidR="00AE7E13" w:rsidRPr="00F75DDE" w:rsidRDefault="00AE7E13" w:rsidP="00E32D14">
            <w:pPr>
              <w:rPr>
                <w:rFonts w:eastAsia="Calibri"/>
                <w:sz w:val="18"/>
                <w:lang w:val="en-GB"/>
              </w:rPr>
            </w:pPr>
          </w:p>
        </w:tc>
      </w:tr>
      <w:tr w:rsidR="00AE7E13" w:rsidRPr="00F75DDE" w:rsidTr="00C2494E">
        <w:trPr>
          <w:trHeight w:val="170"/>
        </w:trPr>
        <w:tc>
          <w:tcPr>
            <w:tcW w:w="1270" w:type="dxa"/>
            <w:vMerge/>
          </w:tcPr>
          <w:p w:rsidR="00AE7E13" w:rsidRPr="00F75DDE" w:rsidRDefault="00AE7E13" w:rsidP="00E32D14">
            <w:pPr>
              <w:rPr>
                <w:rFonts w:eastAsia="Calibri"/>
                <w:b/>
                <w:noProof/>
                <w:sz w:val="18"/>
                <w:szCs w:val="18"/>
                <w:lang w:val="en-GB"/>
              </w:rPr>
            </w:pPr>
          </w:p>
        </w:tc>
        <w:tc>
          <w:tcPr>
            <w:tcW w:w="3548" w:type="dxa"/>
            <w:gridSpan w:val="2"/>
            <w:vMerge/>
          </w:tcPr>
          <w:p w:rsidR="00AE7E13" w:rsidRPr="00F75DDE" w:rsidRDefault="00AE7E13" w:rsidP="00E32D14">
            <w:pPr>
              <w:rPr>
                <w:rFonts w:eastAsia="Calibri"/>
                <w:noProof/>
                <w:sz w:val="18"/>
                <w:szCs w:val="18"/>
                <w:lang w:val="en-GB"/>
              </w:rPr>
            </w:pPr>
          </w:p>
        </w:tc>
        <w:tc>
          <w:tcPr>
            <w:tcW w:w="2469" w:type="dxa"/>
            <w:vMerge/>
          </w:tcPr>
          <w:p w:rsidR="00AE7E13" w:rsidRPr="00F75DDE" w:rsidRDefault="00AE7E13" w:rsidP="00E32D14">
            <w:pPr>
              <w:rPr>
                <w:rFonts w:eastAsia="Calibri"/>
                <w:noProof/>
                <w:sz w:val="18"/>
                <w:szCs w:val="18"/>
                <w:lang w:val="en-GB"/>
              </w:rPr>
            </w:pPr>
          </w:p>
        </w:tc>
        <w:tc>
          <w:tcPr>
            <w:tcW w:w="2248" w:type="dxa"/>
            <w:tcBorders>
              <w:top w:val="single" w:sz="4" w:space="0" w:color="auto"/>
              <w:bottom w:val="nil"/>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 xml:space="preserve">Natal trauma to the spine </w:t>
            </w:r>
          </w:p>
        </w:tc>
        <w:tc>
          <w:tcPr>
            <w:tcW w:w="2160" w:type="dxa"/>
            <w:tcBorders>
              <w:bottom w:val="nil"/>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18</w:t>
            </w:r>
          </w:p>
        </w:tc>
        <w:tc>
          <w:tcPr>
            <w:tcW w:w="1483" w:type="dxa"/>
          </w:tcPr>
          <w:p w:rsidR="00AE7E13" w:rsidRPr="00F75DDE" w:rsidRDefault="00AE7E13" w:rsidP="00E32D14">
            <w:pPr>
              <w:rPr>
                <w:rFonts w:eastAsia="Calibri"/>
                <w:noProof/>
                <w:sz w:val="18"/>
                <w:szCs w:val="18"/>
                <w:lang w:val="en-GB"/>
              </w:rPr>
            </w:pPr>
            <w:r w:rsidRPr="00F75DDE">
              <w:rPr>
                <w:rFonts w:eastAsia="Calibri"/>
                <w:noProof/>
                <w:sz w:val="18"/>
                <w:szCs w:val="18"/>
                <w:lang w:val="en-GB"/>
              </w:rPr>
              <w:t>N/A</w:t>
            </w:r>
          </w:p>
        </w:tc>
        <w:tc>
          <w:tcPr>
            <w:tcW w:w="2126" w:type="dxa"/>
            <w:vMerge/>
          </w:tcPr>
          <w:p w:rsidR="00AE7E13" w:rsidRPr="00F75DDE" w:rsidRDefault="00AE7E13" w:rsidP="00E32D14">
            <w:pPr>
              <w:rPr>
                <w:rFonts w:eastAsia="Calibri"/>
                <w:noProof/>
                <w:sz w:val="18"/>
                <w:szCs w:val="18"/>
                <w:lang w:val="en-GB"/>
              </w:rPr>
            </w:pPr>
          </w:p>
        </w:tc>
      </w:tr>
      <w:tr w:rsidR="00AE7E13" w:rsidRPr="00F75DDE" w:rsidTr="00C2494E">
        <w:trPr>
          <w:trHeight w:val="243"/>
        </w:trPr>
        <w:tc>
          <w:tcPr>
            <w:tcW w:w="1270" w:type="dxa"/>
            <w:vMerge/>
          </w:tcPr>
          <w:p w:rsidR="00AE7E13" w:rsidRPr="00F75DDE" w:rsidRDefault="00AE7E13" w:rsidP="00E32D14">
            <w:pPr>
              <w:rPr>
                <w:rFonts w:eastAsia="Calibri"/>
                <w:b/>
                <w:noProof/>
                <w:sz w:val="18"/>
                <w:szCs w:val="18"/>
                <w:lang w:val="en-GB"/>
              </w:rPr>
            </w:pPr>
          </w:p>
        </w:tc>
        <w:tc>
          <w:tcPr>
            <w:tcW w:w="3548" w:type="dxa"/>
            <w:gridSpan w:val="2"/>
            <w:vMerge/>
          </w:tcPr>
          <w:p w:rsidR="00AE7E13" w:rsidRPr="00F75DDE" w:rsidRDefault="00AE7E13" w:rsidP="00E32D14">
            <w:pPr>
              <w:rPr>
                <w:rFonts w:eastAsia="Calibri"/>
                <w:noProof/>
                <w:sz w:val="18"/>
                <w:szCs w:val="18"/>
                <w:lang w:val="en-GB"/>
              </w:rPr>
            </w:pPr>
          </w:p>
        </w:tc>
        <w:tc>
          <w:tcPr>
            <w:tcW w:w="2469" w:type="dxa"/>
            <w:vMerge/>
          </w:tcPr>
          <w:p w:rsidR="00AE7E13" w:rsidRPr="00F75DDE" w:rsidRDefault="00AE7E13" w:rsidP="00E32D14">
            <w:pPr>
              <w:rPr>
                <w:rFonts w:eastAsia="Calibri"/>
                <w:noProof/>
                <w:sz w:val="18"/>
                <w:szCs w:val="18"/>
                <w:lang w:val="en-GB"/>
              </w:rPr>
            </w:pPr>
          </w:p>
        </w:tc>
        <w:tc>
          <w:tcPr>
            <w:tcW w:w="2248" w:type="dxa"/>
            <w:tcBorders>
              <w:top w:val="single" w:sz="4" w:space="0" w:color="auto"/>
              <w:bottom w:val="nil"/>
            </w:tcBorders>
          </w:tcPr>
          <w:p w:rsidR="00AE7E13" w:rsidRPr="00F75DDE" w:rsidRDefault="00AE7E13" w:rsidP="00E32D14">
            <w:pPr>
              <w:rPr>
                <w:rFonts w:eastAsia="Calibri"/>
                <w:sz w:val="18"/>
                <w:lang w:val="en-GB"/>
              </w:rPr>
            </w:pPr>
            <w:r w:rsidRPr="00F75DDE">
              <w:rPr>
                <w:rFonts w:eastAsia="Calibri"/>
                <w:sz w:val="18"/>
                <w:lang w:val="en-GB"/>
              </w:rPr>
              <w:t>Pyramidal insufficiency</w:t>
            </w:r>
          </w:p>
        </w:tc>
        <w:tc>
          <w:tcPr>
            <w:tcW w:w="2160" w:type="dxa"/>
            <w:tcBorders>
              <w:bottom w:val="nil"/>
            </w:tcBorders>
          </w:tcPr>
          <w:p w:rsidR="00AE7E13" w:rsidRPr="00F75DDE" w:rsidRDefault="00AE7E13" w:rsidP="00E32D14">
            <w:pPr>
              <w:rPr>
                <w:rFonts w:eastAsia="Calibri"/>
                <w:sz w:val="18"/>
                <w:lang w:val="en-GB"/>
              </w:rPr>
            </w:pPr>
            <w:r w:rsidRPr="00F75DDE">
              <w:rPr>
                <w:rFonts w:eastAsia="Calibri"/>
                <w:sz w:val="18"/>
                <w:lang w:val="en-GB"/>
              </w:rPr>
              <w:t>11</w:t>
            </w:r>
          </w:p>
        </w:tc>
        <w:tc>
          <w:tcPr>
            <w:tcW w:w="1483" w:type="dxa"/>
            <w:tcBorders>
              <w:bottom w:val="nil"/>
            </w:tcBorders>
          </w:tcPr>
          <w:p w:rsidR="00AE7E13" w:rsidRPr="00F75DDE" w:rsidRDefault="00AE7E13" w:rsidP="00E32D14">
            <w:pPr>
              <w:rPr>
                <w:rFonts w:eastAsia="Calibri"/>
                <w:sz w:val="18"/>
                <w:lang w:val="en-GB"/>
              </w:rPr>
            </w:pPr>
            <w:r w:rsidRPr="00F75DDE">
              <w:rPr>
                <w:rFonts w:eastAsia="Calibri"/>
                <w:noProof/>
                <w:sz w:val="18"/>
                <w:szCs w:val="18"/>
                <w:lang w:val="en-GB"/>
              </w:rPr>
              <w:t>N/A</w:t>
            </w:r>
          </w:p>
        </w:tc>
        <w:tc>
          <w:tcPr>
            <w:tcW w:w="2126" w:type="dxa"/>
            <w:vMerge/>
            <w:tcBorders>
              <w:bottom w:val="nil"/>
            </w:tcBorders>
          </w:tcPr>
          <w:p w:rsidR="00AE7E13" w:rsidRPr="00F75DDE" w:rsidRDefault="00AE7E13" w:rsidP="00E32D14">
            <w:pPr>
              <w:rPr>
                <w:rFonts w:eastAsia="Calibri"/>
                <w:sz w:val="18"/>
                <w:lang w:val="en-GB"/>
              </w:rPr>
            </w:pPr>
          </w:p>
        </w:tc>
      </w:tr>
      <w:tr w:rsidR="00AE7E13" w:rsidRPr="00F75DDE" w:rsidTr="00C2494E">
        <w:trPr>
          <w:trHeight w:val="50"/>
        </w:trPr>
        <w:tc>
          <w:tcPr>
            <w:tcW w:w="1270" w:type="dxa"/>
            <w:vMerge w:val="restart"/>
            <w:tcBorders>
              <w:top w:val="single" w:sz="12" w:space="0" w:color="auto"/>
            </w:tcBorders>
          </w:tcPr>
          <w:p w:rsidR="00AE7E13" w:rsidRPr="00F75DDE" w:rsidRDefault="00AE7E13" w:rsidP="00E32D14">
            <w:pPr>
              <w:rPr>
                <w:rFonts w:eastAsia="Calibri"/>
                <w:b/>
                <w:noProof/>
                <w:sz w:val="18"/>
                <w:szCs w:val="18"/>
                <w:lang w:val="en-GB"/>
              </w:rPr>
            </w:pPr>
            <w:r w:rsidRPr="00F75DDE">
              <w:rPr>
                <w:rFonts w:eastAsia="Calibri"/>
                <w:b/>
                <w:noProof/>
                <w:sz w:val="18"/>
                <w:szCs w:val="18"/>
                <w:lang w:val="en-GB"/>
              </w:rPr>
              <w:t>Albers et al. (1997)</w:t>
            </w:r>
            <w:r>
              <w:rPr>
                <w:rFonts w:eastAsia="Calibri"/>
                <w:b/>
                <w:noProof/>
                <w:sz w:val="18"/>
                <w:szCs w:val="18"/>
                <w:lang w:val="en-GB"/>
              </w:rPr>
              <w:t xml:space="preserve"> [29]</w:t>
            </w:r>
          </w:p>
        </w:tc>
        <w:tc>
          <w:tcPr>
            <w:tcW w:w="3548" w:type="dxa"/>
            <w:gridSpan w:val="2"/>
            <w:vMerge w:val="restart"/>
            <w:tcBorders>
              <w:top w:val="single" w:sz="12" w:space="0" w:color="auto"/>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Children being considered for international adoption from the CIS countries and Eastern Europe</w:t>
            </w:r>
          </w:p>
        </w:tc>
        <w:tc>
          <w:tcPr>
            <w:tcW w:w="2469" w:type="dxa"/>
            <w:vMerge w:val="restart"/>
            <w:tcBorders>
              <w:top w:val="single" w:sz="12" w:space="0" w:color="auto"/>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Medical record review conducted by International Adoption Clinic in the United States</w:t>
            </w:r>
          </w:p>
        </w:tc>
        <w:tc>
          <w:tcPr>
            <w:tcW w:w="2248" w:type="dxa"/>
            <w:tcBorders>
              <w:top w:val="single" w:sz="12" w:space="0" w:color="auto"/>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 xml:space="preserve">Perinatal encephalopathy </w:t>
            </w:r>
          </w:p>
        </w:tc>
        <w:tc>
          <w:tcPr>
            <w:tcW w:w="2160" w:type="dxa"/>
            <w:tcBorders>
              <w:top w:val="single" w:sz="12" w:space="0" w:color="auto"/>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53.2 (38.9-67.5)</w:t>
            </w:r>
          </w:p>
        </w:tc>
        <w:tc>
          <w:tcPr>
            <w:tcW w:w="1483" w:type="dxa"/>
            <w:tcBorders>
              <w:top w:val="single" w:sz="12" w:space="0" w:color="auto"/>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25/47</w:t>
            </w:r>
          </w:p>
        </w:tc>
        <w:tc>
          <w:tcPr>
            <w:tcW w:w="2126" w:type="dxa"/>
            <w:vMerge w:val="restart"/>
            <w:tcBorders>
              <w:top w:val="single" w:sz="12" w:space="0" w:color="auto"/>
            </w:tcBorders>
          </w:tcPr>
          <w:p w:rsidR="00AE7E13" w:rsidRPr="00F75DDE" w:rsidRDefault="00AE7E13" w:rsidP="00E32D14">
            <w:pPr>
              <w:rPr>
                <w:rFonts w:eastAsia="Calibri"/>
                <w:noProof/>
                <w:sz w:val="18"/>
                <w:szCs w:val="18"/>
                <w:lang w:val="en-GB"/>
              </w:rPr>
            </w:pPr>
            <w:r w:rsidRPr="00F75DDE">
              <w:rPr>
                <w:rFonts w:eastAsia="Calibri"/>
                <w:noProof/>
                <w:sz w:val="18"/>
                <w:szCs w:val="18"/>
                <w:lang w:val="en-GB"/>
              </w:rPr>
              <w:t xml:space="preserve">No severe neurological condition diagnosed. Brachial plexus injury, chronic hepatitis B, fetal alcohol syndrome, hipospadias, mild spastic diplegia syndrome, nephrolithiasis, optic nerve atrophy, orthopedic problems, polydactyly, strabismus, unilateral hearing loss have been identified. </w:t>
            </w:r>
          </w:p>
        </w:tc>
      </w:tr>
      <w:tr w:rsidR="00AE7E13" w:rsidRPr="00F75DDE" w:rsidTr="00C2494E">
        <w:trPr>
          <w:trHeight w:val="60"/>
        </w:trPr>
        <w:tc>
          <w:tcPr>
            <w:tcW w:w="1270" w:type="dxa"/>
            <w:vMerge/>
          </w:tcPr>
          <w:p w:rsidR="00AE7E13" w:rsidRPr="00F75DDE" w:rsidRDefault="00AE7E13" w:rsidP="00E32D14">
            <w:pPr>
              <w:rPr>
                <w:rFonts w:eastAsia="Calibri"/>
                <w:b/>
                <w:noProof/>
                <w:sz w:val="18"/>
                <w:szCs w:val="18"/>
                <w:lang w:val="en-GB"/>
              </w:rPr>
            </w:pPr>
          </w:p>
        </w:tc>
        <w:tc>
          <w:tcPr>
            <w:tcW w:w="3548" w:type="dxa"/>
            <w:gridSpan w:val="2"/>
            <w:vMerge/>
          </w:tcPr>
          <w:p w:rsidR="00AE7E13" w:rsidRPr="00F75DDE" w:rsidRDefault="00AE7E13" w:rsidP="00E32D14">
            <w:pPr>
              <w:rPr>
                <w:rFonts w:eastAsia="Calibri"/>
                <w:noProof/>
                <w:sz w:val="18"/>
                <w:szCs w:val="18"/>
                <w:lang w:val="en-GB"/>
              </w:rPr>
            </w:pPr>
          </w:p>
        </w:tc>
        <w:tc>
          <w:tcPr>
            <w:tcW w:w="2469" w:type="dxa"/>
            <w:vMerge/>
          </w:tcPr>
          <w:p w:rsidR="00AE7E13" w:rsidRPr="00F75DDE" w:rsidRDefault="00AE7E13" w:rsidP="00E32D14">
            <w:pPr>
              <w:rPr>
                <w:rFonts w:eastAsia="Calibri"/>
                <w:noProof/>
                <w:sz w:val="18"/>
                <w:szCs w:val="18"/>
                <w:lang w:val="en-GB"/>
              </w:rPr>
            </w:pPr>
          </w:p>
        </w:tc>
        <w:tc>
          <w:tcPr>
            <w:tcW w:w="2248" w:type="dxa"/>
          </w:tcPr>
          <w:p w:rsidR="00AE7E13" w:rsidRPr="00F75DDE" w:rsidRDefault="00AE7E13" w:rsidP="00E32D14">
            <w:pPr>
              <w:rPr>
                <w:rFonts w:eastAsia="Calibri"/>
                <w:noProof/>
                <w:sz w:val="18"/>
                <w:szCs w:val="18"/>
                <w:lang w:val="en-GB"/>
              </w:rPr>
            </w:pPr>
            <w:r w:rsidRPr="00F75DDE">
              <w:rPr>
                <w:rFonts w:eastAsia="Calibri"/>
                <w:noProof/>
                <w:sz w:val="18"/>
                <w:szCs w:val="18"/>
                <w:lang w:val="en-GB"/>
              </w:rPr>
              <w:t xml:space="preserve">Hyperexcitability </w:t>
            </w:r>
          </w:p>
        </w:tc>
        <w:tc>
          <w:tcPr>
            <w:tcW w:w="2160" w:type="dxa"/>
          </w:tcPr>
          <w:p w:rsidR="00AE7E13" w:rsidRPr="00F75DDE" w:rsidRDefault="00AE7E13" w:rsidP="00E32D14">
            <w:pPr>
              <w:rPr>
                <w:rFonts w:eastAsia="Calibri"/>
                <w:noProof/>
                <w:sz w:val="18"/>
                <w:szCs w:val="18"/>
                <w:lang w:val="en-GB"/>
              </w:rPr>
            </w:pPr>
            <w:r w:rsidRPr="00F75DDE">
              <w:rPr>
                <w:rFonts w:eastAsia="Calibri"/>
                <w:noProof/>
                <w:sz w:val="18"/>
                <w:szCs w:val="18"/>
                <w:lang w:val="en-GB"/>
              </w:rPr>
              <w:t>8.5 (2.4-20.4)</w:t>
            </w:r>
          </w:p>
        </w:tc>
        <w:tc>
          <w:tcPr>
            <w:tcW w:w="1483" w:type="dxa"/>
          </w:tcPr>
          <w:p w:rsidR="00AE7E13" w:rsidRPr="00F75DDE" w:rsidRDefault="00AE7E13" w:rsidP="00E32D14">
            <w:pPr>
              <w:rPr>
                <w:rFonts w:eastAsia="Calibri"/>
                <w:noProof/>
                <w:sz w:val="18"/>
                <w:szCs w:val="18"/>
                <w:lang w:val="en-GB"/>
              </w:rPr>
            </w:pPr>
            <w:r w:rsidRPr="00F75DDE">
              <w:rPr>
                <w:rFonts w:eastAsia="Calibri"/>
                <w:noProof/>
                <w:sz w:val="18"/>
                <w:szCs w:val="18"/>
                <w:lang w:val="en-GB"/>
              </w:rPr>
              <w:t>4/47</w:t>
            </w:r>
          </w:p>
        </w:tc>
        <w:tc>
          <w:tcPr>
            <w:tcW w:w="2126" w:type="dxa"/>
            <w:vMerge/>
          </w:tcPr>
          <w:p w:rsidR="00AE7E13" w:rsidRPr="00F75DDE" w:rsidRDefault="00AE7E13" w:rsidP="00E32D14">
            <w:pPr>
              <w:rPr>
                <w:rFonts w:eastAsia="Calibri"/>
                <w:noProof/>
                <w:sz w:val="18"/>
                <w:szCs w:val="18"/>
                <w:lang w:val="en-GB"/>
              </w:rPr>
            </w:pPr>
          </w:p>
        </w:tc>
      </w:tr>
      <w:tr w:rsidR="00AE7E13" w:rsidRPr="00F75DDE" w:rsidTr="00C2494E">
        <w:trPr>
          <w:trHeight w:val="285"/>
        </w:trPr>
        <w:tc>
          <w:tcPr>
            <w:tcW w:w="1270" w:type="dxa"/>
            <w:vMerge/>
          </w:tcPr>
          <w:p w:rsidR="00AE7E13" w:rsidRPr="00F75DDE" w:rsidRDefault="00AE7E13" w:rsidP="00E32D14">
            <w:pPr>
              <w:rPr>
                <w:rFonts w:eastAsia="Calibri"/>
                <w:b/>
                <w:noProof/>
                <w:sz w:val="18"/>
                <w:szCs w:val="18"/>
                <w:lang w:val="en-GB"/>
              </w:rPr>
            </w:pPr>
          </w:p>
        </w:tc>
        <w:tc>
          <w:tcPr>
            <w:tcW w:w="3548" w:type="dxa"/>
            <w:gridSpan w:val="2"/>
            <w:vMerge/>
          </w:tcPr>
          <w:p w:rsidR="00AE7E13" w:rsidRPr="00F75DDE" w:rsidRDefault="00AE7E13" w:rsidP="00E32D14">
            <w:pPr>
              <w:rPr>
                <w:rFonts w:eastAsia="Calibri"/>
                <w:noProof/>
                <w:sz w:val="18"/>
                <w:szCs w:val="18"/>
                <w:lang w:val="en-GB"/>
              </w:rPr>
            </w:pPr>
          </w:p>
        </w:tc>
        <w:tc>
          <w:tcPr>
            <w:tcW w:w="2469" w:type="dxa"/>
            <w:vMerge/>
          </w:tcPr>
          <w:p w:rsidR="00AE7E13" w:rsidRPr="00F75DDE" w:rsidRDefault="00AE7E13" w:rsidP="00E32D14">
            <w:pPr>
              <w:rPr>
                <w:rFonts w:eastAsia="Calibri"/>
                <w:noProof/>
                <w:sz w:val="18"/>
                <w:szCs w:val="18"/>
                <w:lang w:val="en-GB"/>
              </w:rPr>
            </w:pPr>
          </w:p>
        </w:tc>
        <w:tc>
          <w:tcPr>
            <w:tcW w:w="2248" w:type="dxa"/>
          </w:tcPr>
          <w:p w:rsidR="00AE7E13" w:rsidRPr="00F75DDE" w:rsidRDefault="00AE7E13" w:rsidP="00E32D14">
            <w:pPr>
              <w:rPr>
                <w:rFonts w:eastAsia="Calibri"/>
                <w:noProof/>
                <w:sz w:val="18"/>
                <w:szCs w:val="18"/>
                <w:lang w:val="en-GB"/>
              </w:rPr>
            </w:pPr>
            <w:r w:rsidRPr="00F75DDE">
              <w:rPr>
                <w:rFonts w:eastAsia="Calibri"/>
                <w:noProof/>
                <w:sz w:val="18"/>
                <w:szCs w:val="18"/>
                <w:lang w:val="en-GB"/>
              </w:rPr>
              <w:t xml:space="preserve">Hydrocephalocele syndrome </w:t>
            </w:r>
          </w:p>
        </w:tc>
        <w:tc>
          <w:tcPr>
            <w:tcW w:w="2160" w:type="dxa"/>
          </w:tcPr>
          <w:p w:rsidR="00AE7E13" w:rsidRPr="00F75DDE" w:rsidRDefault="00AE7E13" w:rsidP="00E32D14">
            <w:pPr>
              <w:rPr>
                <w:rFonts w:eastAsia="Calibri"/>
                <w:noProof/>
                <w:sz w:val="18"/>
                <w:szCs w:val="18"/>
                <w:lang w:val="en-GB"/>
              </w:rPr>
            </w:pPr>
            <w:r w:rsidRPr="00F75DDE">
              <w:rPr>
                <w:rFonts w:eastAsia="Calibri"/>
                <w:noProof/>
                <w:sz w:val="18"/>
                <w:szCs w:val="18"/>
                <w:lang w:val="en-GB"/>
              </w:rPr>
              <w:t>6.4 (1.3-17.5)</w:t>
            </w:r>
          </w:p>
        </w:tc>
        <w:tc>
          <w:tcPr>
            <w:tcW w:w="1483" w:type="dxa"/>
          </w:tcPr>
          <w:p w:rsidR="00AE7E13" w:rsidRPr="00F75DDE" w:rsidRDefault="00AE7E13" w:rsidP="00E32D14">
            <w:pPr>
              <w:rPr>
                <w:rFonts w:eastAsia="Calibri"/>
                <w:noProof/>
                <w:sz w:val="18"/>
                <w:szCs w:val="18"/>
                <w:lang w:val="en-GB"/>
              </w:rPr>
            </w:pPr>
            <w:r w:rsidRPr="00F75DDE">
              <w:rPr>
                <w:rFonts w:eastAsia="Calibri"/>
                <w:noProof/>
                <w:sz w:val="18"/>
                <w:szCs w:val="18"/>
                <w:lang w:val="en-GB"/>
              </w:rPr>
              <w:t>3/47</w:t>
            </w:r>
          </w:p>
        </w:tc>
        <w:tc>
          <w:tcPr>
            <w:tcW w:w="2126" w:type="dxa"/>
            <w:vMerge/>
          </w:tcPr>
          <w:p w:rsidR="00AE7E13" w:rsidRPr="00F75DDE" w:rsidRDefault="00AE7E13" w:rsidP="00E32D14">
            <w:pPr>
              <w:rPr>
                <w:rFonts w:eastAsia="Calibri"/>
                <w:noProof/>
                <w:sz w:val="18"/>
                <w:szCs w:val="18"/>
                <w:lang w:val="en-GB"/>
              </w:rPr>
            </w:pPr>
          </w:p>
        </w:tc>
      </w:tr>
      <w:tr w:rsidR="00AE7E13" w:rsidRPr="00F75DDE" w:rsidTr="00C2494E">
        <w:trPr>
          <w:trHeight w:val="60"/>
        </w:trPr>
        <w:tc>
          <w:tcPr>
            <w:tcW w:w="1270" w:type="dxa"/>
            <w:vMerge/>
          </w:tcPr>
          <w:p w:rsidR="00AE7E13" w:rsidRPr="00F75DDE" w:rsidRDefault="00AE7E13" w:rsidP="00E32D14">
            <w:pPr>
              <w:rPr>
                <w:rFonts w:eastAsia="Calibri"/>
                <w:b/>
                <w:sz w:val="18"/>
                <w:lang w:val="en-GB"/>
              </w:rPr>
            </w:pPr>
          </w:p>
        </w:tc>
        <w:tc>
          <w:tcPr>
            <w:tcW w:w="3548" w:type="dxa"/>
            <w:gridSpan w:val="2"/>
            <w:vMerge/>
          </w:tcPr>
          <w:p w:rsidR="00AE7E13" w:rsidRPr="00F75DDE" w:rsidRDefault="00AE7E13" w:rsidP="00E32D14">
            <w:pPr>
              <w:rPr>
                <w:rFonts w:eastAsia="Calibri"/>
                <w:sz w:val="18"/>
                <w:lang w:val="en-GB"/>
              </w:rPr>
            </w:pPr>
          </w:p>
        </w:tc>
        <w:tc>
          <w:tcPr>
            <w:tcW w:w="2469" w:type="dxa"/>
            <w:vMerge/>
          </w:tcPr>
          <w:p w:rsidR="00AE7E13" w:rsidRPr="00F75DDE" w:rsidRDefault="00AE7E13" w:rsidP="00E32D14">
            <w:pPr>
              <w:rPr>
                <w:rFonts w:eastAsia="Calibri"/>
                <w:sz w:val="18"/>
                <w:lang w:val="en-GB"/>
              </w:rPr>
            </w:pPr>
          </w:p>
        </w:tc>
        <w:tc>
          <w:tcPr>
            <w:tcW w:w="2248" w:type="dxa"/>
          </w:tcPr>
          <w:p w:rsidR="00AE7E13" w:rsidRPr="00F75DDE" w:rsidRDefault="00AE7E13" w:rsidP="00E32D14">
            <w:pPr>
              <w:rPr>
                <w:rFonts w:eastAsia="Calibri"/>
                <w:noProof/>
                <w:sz w:val="18"/>
                <w:szCs w:val="18"/>
                <w:lang w:val="en-GB"/>
              </w:rPr>
            </w:pPr>
            <w:r w:rsidRPr="00F75DDE">
              <w:rPr>
                <w:rFonts w:eastAsia="Calibri"/>
                <w:noProof/>
                <w:sz w:val="18"/>
                <w:szCs w:val="18"/>
                <w:lang w:val="en-GB"/>
              </w:rPr>
              <w:t>Hypertensive syndrome</w:t>
            </w:r>
          </w:p>
        </w:tc>
        <w:tc>
          <w:tcPr>
            <w:tcW w:w="2160" w:type="dxa"/>
          </w:tcPr>
          <w:p w:rsidR="00AE7E13" w:rsidRPr="00F75DDE" w:rsidRDefault="00AE7E13" w:rsidP="00E32D14">
            <w:pPr>
              <w:rPr>
                <w:rFonts w:eastAsia="Calibri"/>
                <w:noProof/>
                <w:sz w:val="18"/>
                <w:szCs w:val="18"/>
                <w:lang w:val="en-GB"/>
              </w:rPr>
            </w:pPr>
            <w:r w:rsidRPr="00F75DDE">
              <w:rPr>
                <w:rFonts w:eastAsia="Calibri"/>
                <w:noProof/>
                <w:sz w:val="18"/>
                <w:szCs w:val="18"/>
                <w:lang w:val="en-GB"/>
              </w:rPr>
              <w:t>4.3 (0.5-14.5)</w:t>
            </w:r>
          </w:p>
        </w:tc>
        <w:tc>
          <w:tcPr>
            <w:tcW w:w="1483" w:type="dxa"/>
          </w:tcPr>
          <w:p w:rsidR="00AE7E13" w:rsidRPr="00F75DDE" w:rsidRDefault="00AE7E13" w:rsidP="00E32D14">
            <w:pPr>
              <w:rPr>
                <w:rFonts w:eastAsia="Calibri"/>
                <w:noProof/>
                <w:sz w:val="18"/>
                <w:szCs w:val="18"/>
                <w:lang w:val="en-GB"/>
              </w:rPr>
            </w:pPr>
            <w:r w:rsidRPr="00F75DDE">
              <w:rPr>
                <w:rFonts w:eastAsia="Calibri"/>
                <w:noProof/>
                <w:sz w:val="18"/>
                <w:szCs w:val="18"/>
                <w:lang w:val="en-GB"/>
              </w:rPr>
              <w:t>2/47</w:t>
            </w:r>
          </w:p>
        </w:tc>
        <w:tc>
          <w:tcPr>
            <w:tcW w:w="2126" w:type="dxa"/>
            <w:vMerge/>
          </w:tcPr>
          <w:p w:rsidR="00AE7E13" w:rsidRPr="00F75DDE" w:rsidRDefault="00AE7E13" w:rsidP="00E32D14">
            <w:pPr>
              <w:rPr>
                <w:rFonts w:eastAsia="Calibri"/>
                <w:noProof/>
                <w:sz w:val="18"/>
                <w:szCs w:val="18"/>
                <w:lang w:val="en-GB"/>
              </w:rPr>
            </w:pPr>
          </w:p>
        </w:tc>
      </w:tr>
      <w:tr w:rsidR="00AE7E13" w:rsidRPr="00F75DDE" w:rsidTr="00C2494E">
        <w:trPr>
          <w:trHeight w:val="438"/>
        </w:trPr>
        <w:tc>
          <w:tcPr>
            <w:tcW w:w="15304" w:type="dxa"/>
            <w:gridSpan w:val="8"/>
            <w:tcBorders>
              <w:top w:val="single" w:sz="12" w:space="0" w:color="000000"/>
              <w:bottom w:val="single" w:sz="2" w:space="0" w:color="auto"/>
            </w:tcBorders>
          </w:tcPr>
          <w:p w:rsidR="00AE7E13" w:rsidRPr="00F75DDE" w:rsidRDefault="00AE7E13" w:rsidP="00E32D14">
            <w:pPr>
              <w:rPr>
                <w:rFonts w:eastAsia="Calibri"/>
                <w:sz w:val="18"/>
                <w:szCs w:val="16"/>
                <w:lang w:val="en-GB"/>
              </w:rPr>
            </w:pPr>
            <w:r w:rsidRPr="00F75DDE">
              <w:rPr>
                <w:rFonts w:eastAsia="Calibri"/>
                <w:sz w:val="18"/>
                <w:szCs w:val="16"/>
                <w:lang w:val="en-GB"/>
              </w:rPr>
              <w:t xml:space="preserve">CI: Confidence interval; CIS: Commonwealth of Independent States; N/A: not available; PE: perinatal encephalopathy, PE-SIH: perinatal encephalopathy and syndrome of intracranial hypertension </w:t>
            </w:r>
          </w:p>
          <w:p w:rsidR="00AE7E13" w:rsidRPr="00F75DDE" w:rsidRDefault="00AE7E13" w:rsidP="00E32D14">
            <w:pPr>
              <w:rPr>
                <w:rFonts w:eastAsia="Calibri"/>
                <w:sz w:val="20"/>
                <w:szCs w:val="20"/>
                <w:lang w:val="en-GB"/>
              </w:rPr>
            </w:pPr>
            <w:r w:rsidRPr="00F75DDE">
              <w:rPr>
                <w:noProof/>
                <w:sz w:val="18"/>
                <w:szCs w:val="16"/>
                <w:lang w:val="en-GB"/>
              </w:rPr>
              <w:t xml:space="preserve">*Confidence interval has been calculated using reported figures where available, </w:t>
            </w:r>
            <w:r w:rsidRPr="00F75DDE">
              <w:rPr>
                <w:noProof/>
                <w:sz w:val="18"/>
                <w:szCs w:val="16"/>
                <w:vertAlign w:val="superscript"/>
                <w:lang w:val="en-GB"/>
              </w:rPr>
              <w:t>†</w:t>
            </w:r>
            <w:r w:rsidRPr="00F75DDE">
              <w:rPr>
                <w:noProof/>
                <w:sz w:val="18"/>
                <w:szCs w:val="16"/>
                <w:lang w:val="en-GB"/>
              </w:rPr>
              <w:t xml:space="preserve"> Although these diagnostic labels have been listed separately, they all refer to the same clinical phenomena[5]</w:t>
            </w:r>
          </w:p>
        </w:tc>
      </w:tr>
    </w:tbl>
    <w:p w:rsidR="00AE7E13" w:rsidRDefault="00AE7E13" w:rsidP="00B13C48">
      <w:pPr>
        <w:spacing w:line="360" w:lineRule="auto"/>
      </w:pPr>
    </w:p>
    <w:p w:rsidR="00AE7E13" w:rsidRPr="00F75DDE" w:rsidRDefault="00AE7E13" w:rsidP="00DC7E04">
      <w:pPr>
        <w:spacing w:line="480" w:lineRule="auto"/>
        <w:rPr>
          <w:lang w:val="en-GB"/>
        </w:rPr>
        <w:sectPr w:rsidR="00AE7E13" w:rsidRPr="00F75DDE">
          <w:pgSz w:w="16850" w:h="11900" w:orient="landscape"/>
          <w:pgMar w:top="1417" w:right="1417" w:bottom="1417" w:left="1417" w:header="0" w:footer="0" w:gutter="0"/>
          <w:cols w:space="720"/>
          <w:docGrid w:linePitch="299"/>
        </w:sectPr>
      </w:pPr>
    </w:p>
    <w:p w:rsidR="00D56D13" w:rsidRDefault="00D56D13"/>
    <w:sectPr w:rsidR="00D56D13" w:rsidSect="00DC7E04">
      <w:pgSz w:w="16850" w:h="11900" w:orient="landscape"/>
      <w:pgMar w:top="1417" w:right="1417" w:bottom="1417" w:left="141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18D" w:rsidRDefault="00FC718D">
      <w:r>
        <w:separator/>
      </w:r>
    </w:p>
  </w:endnote>
  <w:endnote w:type="continuationSeparator" w:id="0">
    <w:p w:rsidR="00FC718D" w:rsidRDefault="00FC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1997020"/>
      <w:docPartObj>
        <w:docPartGallery w:val="Page Numbers (Bottom of Page)"/>
        <w:docPartUnique/>
      </w:docPartObj>
    </w:sdtPr>
    <w:sdtEndPr>
      <w:rPr>
        <w:rStyle w:val="PageNumber"/>
      </w:rPr>
    </w:sdtEndPr>
    <w:sdtContent>
      <w:p w:rsidR="003A61AD" w:rsidRDefault="00AE7E13" w:rsidP="00885B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A61AD" w:rsidRDefault="00D1390E" w:rsidP="00C529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1AD" w:rsidRDefault="00AE7E13">
    <w:pPr>
      <w:spacing w:line="14" w:lineRule="auto"/>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6A1DC320" wp14:editId="1DC80518">
              <wp:simplePos x="0" y="0"/>
              <wp:positionH relativeFrom="page">
                <wp:posOffset>6494145</wp:posOffset>
              </wp:positionH>
              <wp:positionV relativeFrom="page">
                <wp:posOffset>10086975</wp:posOffset>
              </wp:positionV>
              <wp:extent cx="194310" cy="165735"/>
              <wp:effectExtent l="0" t="0" r="1524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ext uri="{91240B29-F687-4f45-9708-019B960494DF}"/>
                      </a:extLst>
                    </wps:spPr>
                    <wps:txbx>
                      <w:txbxContent>
                        <w:p w:rsidR="003A61AD" w:rsidRDefault="00AE7E1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1390E">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DC320" id="_x0000_t202" coordsize="21600,21600" o:spt="202" path="m,l,21600r21600,l21600,xe">
              <v:stroke joinstyle="miter"/>
              <v:path gradientshapeok="t" o:connecttype="rect"/>
            </v:shapetype>
            <v:shape id="Text Box 1" o:spid="_x0000_s1026" type="#_x0000_t202" style="position:absolute;margin-left:511.35pt;margin-top:794.25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" filled="f" stroked="f">
              <v:textbox inset="0,0,0,0">
                <w:txbxContent>
                  <w:p w:rsidR="003A61AD" w:rsidRDefault="00AE7E1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1390E">
                      <w:rPr>
                        <w:rFonts w:ascii="Calibri"/>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99547831"/>
      <w:docPartObj>
        <w:docPartGallery w:val="Page Numbers (Bottom of Page)"/>
        <w:docPartUnique/>
      </w:docPartObj>
    </w:sdtPr>
    <w:sdtEndPr>
      <w:rPr>
        <w:rStyle w:val="PageNumber"/>
      </w:rPr>
    </w:sdtEndPr>
    <w:sdtContent>
      <w:p w:rsidR="003A61AD" w:rsidRDefault="00AE7E13" w:rsidP="00885B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rsidR="003A61AD" w:rsidRDefault="00D1390E" w:rsidP="00C529E9">
    <w:pPr>
      <w:spacing w:line="14" w:lineRule="auto"/>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18D" w:rsidRDefault="00FC718D">
      <w:r>
        <w:separator/>
      </w:r>
    </w:p>
  </w:footnote>
  <w:footnote w:type="continuationSeparator" w:id="0">
    <w:p w:rsidR="00FC718D" w:rsidRDefault="00FC7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1AD" w:rsidRDefault="00D13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571B"/>
    <w:multiLevelType w:val="hybridMultilevel"/>
    <w:tmpl w:val="76D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C113F"/>
    <w:multiLevelType w:val="hybridMultilevel"/>
    <w:tmpl w:val="A650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F5B84"/>
    <w:multiLevelType w:val="hybridMultilevel"/>
    <w:tmpl w:val="48869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 w15:restartNumberingAfterBreak="0">
    <w:nsid w:val="2A7922F1"/>
    <w:multiLevelType w:val="hybridMultilevel"/>
    <w:tmpl w:val="6B7CE886"/>
    <w:lvl w:ilvl="0" w:tplc="A808BCA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9433C"/>
    <w:multiLevelType w:val="hybridMultilevel"/>
    <w:tmpl w:val="4520433C"/>
    <w:lvl w:ilvl="0" w:tplc="D1D09698">
      <w:start w:val="2"/>
      <w:numFmt w:val="decimal"/>
      <w:lvlText w:val="%1."/>
      <w:lvlJc w:val="left"/>
      <w:pPr>
        <w:ind w:left="883" w:hanging="164"/>
      </w:pPr>
      <w:rPr>
        <w:rFonts w:ascii="Times New Roman" w:eastAsia="Times New Roman" w:hAnsi="Times New Roman" w:hint="default"/>
        <w:w w:val="100"/>
        <w:sz w:val="16"/>
        <w:szCs w:val="16"/>
      </w:rPr>
    </w:lvl>
    <w:lvl w:ilvl="1" w:tplc="BF3AA7DC">
      <w:start w:val="1"/>
      <w:numFmt w:val="bullet"/>
      <w:lvlText w:val="•"/>
      <w:lvlJc w:val="left"/>
      <w:pPr>
        <w:ind w:left="2422" w:hanging="164"/>
      </w:pPr>
      <w:rPr>
        <w:rFonts w:hint="default"/>
      </w:rPr>
    </w:lvl>
    <w:lvl w:ilvl="2" w:tplc="57E8CEBC">
      <w:start w:val="1"/>
      <w:numFmt w:val="bullet"/>
      <w:lvlText w:val="•"/>
      <w:lvlJc w:val="left"/>
      <w:pPr>
        <w:ind w:left="3964" w:hanging="164"/>
      </w:pPr>
      <w:rPr>
        <w:rFonts w:hint="default"/>
      </w:rPr>
    </w:lvl>
    <w:lvl w:ilvl="3" w:tplc="B97C50E0">
      <w:start w:val="1"/>
      <w:numFmt w:val="bullet"/>
      <w:lvlText w:val="•"/>
      <w:lvlJc w:val="left"/>
      <w:pPr>
        <w:ind w:left="5506" w:hanging="164"/>
      </w:pPr>
      <w:rPr>
        <w:rFonts w:hint="default"/>
      </w:rPr>
    </w:lvl>
    <w:lvl w:ilvl="4" w:tplc="31B66F72">
      <w:start w:val="1"/>
      <w:numFmt w:val="bullet"/>
      <w:lvlText w:val="•"/>
      <w:lvlJc w:val="left"/>
      <w:pPr>
        <w:ind w:left="7048" w:hanging="164"/>
      </w:pPr>
      <w:rPr>
        <w:rFonts w:hint="default"/>
      </w:rPr>
    </w:lvl>
    <w:lvl w:ilvl="5" w:tplc="FEF0E82C">
      <w:start w:val="1"/>
      <w:numFmt w:val="bullet"/>
      <w:lvlText w:val="•"/>
      <w:lvlJc w:val="left"/>
      <w:pPr>
        <w:ind w:left="8590" w:hanging="164"/>
      </w:pPr>
      <w:rPr>
        <w:rFonts w:hint="default"/>
      </w:rPr>
    </w:lvl>
    <w:lvl w:ilvl="6" w:tplc="75EC5EFC">
      <w:start w:val="1"/>
      <w:numFmt w:val="bullet"/>
      <w:lvlText w:val="•"/>
      <w:lvlJc w:val="left"/>
      <w:pPr>
        <w:ind w:left="10132" w:hanging="164"/>
      </w:pPr>
      <w:rPr>
        <w:rFonts w:hint="default"/>
      </w:rPr>
    </w:lvl>
    <w:lvl w:ilvl="7" w:tplc="78AE1622">
      <w:start w:val="1"/>
      <w:numFmt w:val="bullet"/>
      <w:lvlText w:val="•"/>
      <w:lvlJc w:val="left"/>
      <w:pPr>
        <w:ind w:left="11674" w:hanging="164"/>
      </w:pPr>
      <w:rPr>
        <w:rFonts w:hint="default"/>
      </w:rPr>
    </w:lvl>
    <w:lvl w:ilvl="8" w:tplc="54A84506">
      <w:start w:val="1"/>
      <w:numFmt w:val="bullet"/>
      <w:lvlText w:val="•"/>
      <w:lvlJc w:val="left"/>
      <w:pPr>
        <w:ind w:left="13216" w:hanging="164"/>
      </w:pPr>
      <w:rPr>
        <w:rFonts w:hint="default"/>
      </w:rPr>
    </w:lvl>
  </w:abstractNum>
  <w:abstractNum w:abstractNumId="5" w15:restartNumberingAfterBreak="0">
    <w:nsid w:val="3252353A"/>
    <w:multiLevelType w:val="multilevel"/>
    <w:tmpl w:val="4E56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750FC"/>
    <w:multiLevelType w:val="hybridMultilevel"/>
    <w:tmpl w:val="297CFE5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7" w15:restartNumberingAfterBreak="0">
    <w:nsid w:val="3F0D1C59"/>
    <w:multiLevelType w:val="hybridMultilevel"/>
    <w:tmpl w:val="09009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769A5"/>
    <w:multiLevelType w:val="hybridMultilevel"/>
    <w:tmpl w:val="61C405F2"/>
    <w:lvl w:ilvl="0" w:tplc="55C02CD0">
      <w:start w:val="1"/>
      <w:numFmt w:val="decimal"/>
      <w:lvlText w:val="%1"/>
      <w:lvlJc w:val="left"/>
      <w:pPr>
        <w:ind w:left="1196" w:hanging="720"/>
        <w:jc w:val="right"/>
      </w:pPr>
      <w:rPr>
        <w:rFonts w:ascii="Times New Roman" w:eastAsia="Times New Roman" w:hAnsi="Times New Roman" w:hint="default"/>
        <w:w w:val="100"/>
        <w:sz w:val="24"/>
        <w:szCs w:val="24"/>
      </w:rPr>
    </w:lvl>
    <w:lvl w:ilvl="1" w:tplc="7E002EFA">
      <w:start w:val="1"/>
      <w:numFmt w:val="bullet"/>
      <w:lvlText w:val="•"/>
      <w:lvlJc w:val="left"/>
      <w:pPr>
        <w:ind w:left="1200" w:hanging="720"/>
      </w:pPr>
      <w:rPr>
        <w:rFonts w:hint="default"/>
      </w:rPr>
    </w:lvl>
    <w:lvl w:ilvl="2" w:tplc="B54A6A4E">
      <w:start w:val="1"/>
      <w:numFmt w:val="bullet"/>
      <w:lvlText w:val="•"/>
      <w:lvlJc w:val="left"/>
      <w:pPr>
        <w:ind w:left="2060" w:hanging="720"/>
      </w:pPr>
      <w:rPr>
        <w:rFonts w:hint="default"/>
      </w:rPr>
    </w:lvl>
    <w:lvl w:ilvl="3" w:tplc="97CC09B0">
      <w:start w:val="1"/>
      <w:numFmt w:val="bullet"/>
      <w:lvlText w:val="•"/>
      <w:lvlJc w:val="left"/>
      <w:pPr>
        <w:ind w:left="2921" w:hanging="720"/>
      </w:pPr>
      <w:rPr>
        <w:rFonts w:hint="default"/>
      </w:rPr>
    </w:lvl>
    <w:lvl w:ilvl="4" w:tplc="F3E2E528">
      <w:start w:val="1"/>
      <w:numFmt w:val="bullet"/>
      <w:lvlText w:val="•"/>
      <w:lvlJc w:val="left"/>
      <w:pPr>
        <w:ind w:left="3782" w:hanging="720"/>
      </w:pPr>
      <w:rPr>
        <w:rFonts w:hint="default"/>
      </w:rPr>
    </w:lvl>
    <w:lvl w:ilvl="5" w:tplc="DFF0ABE4">
      <w:start w:val="1"/>
      <w:numFmt w:val="bullet"/>
      <w:lvlText w:val="•"/>
      <w:lvlJc w:val="left"/>
      <w:pPr>
        <w:ind w:left="4642" w:hanging="720"/>
      </w:pPr>
      <w:rPr>
        <w:rFonts w:hint="default"/>
      </w:rPr>
    </w:lvl>
    <w:lvl w:ilvl="6" w:tplc="C3202F62">
      <w:start w:val="1"/>
      <w:numFmt w:val="bullet"/>
      <w:lvlText w:val="•"/>
      <w:lvlJc w:val="left"/>
      <w:pPr>
        <w:ind w:left="5503" w:hanging="720"/>
      </w:pPr>
      <w:rPr>
        <w:rFonts w:hint="default"/>
      </w:rPr>
    </w:lvl>
    <w:lvl w:ilvl="7" w:tplc="3C0AA6CA">
      <w:start w:val="1"/>
      <w:numFmt w:val="bullet"/>
      <w:lvlText w:val="•"/>
      <w:lvlJc w:val="left"/>
      <w:pPr>
        <w:ind w:left="6364" w:hanging="720"/>
      </w:pPr>
      <w:rPr>
        <w:rFonts w:hint="default"/>
      </w:rPr>
    </w:lvl>
    <w:lvl w:ilvl="8" w:tplc="FD4E6336">
      <w:start w:val="1"/>
      <w:numFmt w:val="bullet"/>
      <w:lvlText w:val="•"/>
      <w:lvlJc w:val="left"/>
      <w:pPr>
        <w:ind w:left="7224" w:hanging="720"/>
      </w:pPr>
      <w:rPr>
        <w:rFonts w:hint="default"/>
      </w:rPr>
    </w:lvl>
  </w:abstractNum>
  <w:abstractNum w:abstractNumId="9" w15:restartNumberingAfterBreak="0">
    <w:nsid w:val="4B681343"/>
    <w:multiLevelType w:val="hybridMultilevel"/>
    <w:tmpl w:val="BEB82502"/>
    <w:lvl w:ilvl="0" w:tplc="5C3CBE80">
      <w:start w:val="1"/>
      <w:numFmt w:val="decimal"/>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9"/>
  </w:num>
  <w:num w:numId="5">
    <w:abstractNumId w:val="7"/>
  </w:num>
  <w:num w:numId="6">
    <w:abstractNumId w:val="3"/>
  </w:num>
  <w:num w:numId="7">
    <w:abstractNumId w:val="5"/>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E7E13"/>
    <w:rsid w:val="00012726"/>
    <w:rsid w:val="00022A60"/>
    <w:rsid w:val="00032AA5"/>
    <w:rsid w:val="000443E8"/>
    <w:rsid w:val="000568CD"/>
    <w:rsid w:val="00084088"/>
    <w:rsid w:val="00085EC1"/>
    <w:rsid w:val="000D3EBA"/>
    <w:rsid w:val="000E0336"/>
    <w:rsid w:val="000E5ACD"/>
    <w:rsid w:val="00120ABD"/>
    <w:rsid w:val="001306DE"/>
    <w:rsid w:val="001330A8"/>
    <w:rsid w:val="00154422"/>
    <w:rsid w:val="001E4A85"/>
    <w:rsid w:val="001F4513"/>
    <w:rsid w:val="001F52C7"/>
    <w:rsid w:val="00206E87"/>
    <w:rsid w:val="0021485E"/>
    <w:rsid w:val="002207E1"/>
    <w:rsid w:val="00243D8B"/>
    <w:rsid w:val="0025311F"/>
    <w:rsid w:val="002668AA"/>
    <w:rsid w:val="00291E8A"/>
    <w:rsid w:val="002A5576"/>
    <w:rsid w:val="002B7E6D"/>
    <w:rsid w:val="002C224F"/>
    <w:rsid w:val="002D3BEE"/>
    <w:rsid w:val="002E1340"/>
    <w:rsid w:val="003030B4"/>
    <w:rsid w:val="0031332C"/>
    <w:rsid w:val="00341F43"/>
    <w:rsid w:val="003A01EA"/>
    <w:rsid w:val="003F0609"/>
    <w:rsid w:val="003F6522"/>
    <w:rsid w:val="00404E13"/>
    <w:rsid w:val="0040549E"/>
    <w:rsid w:val="00407417"/>
    <w:rsid w:val="004148A4"/>
    <w:rsid w:val="00423695"/>
    <w:rsid w:val="00446559"/>
    <w:rsid w:val="004471F0"/>
    <w:rsid w:val="00454274"/>
    <w:rsid w:val="00455E7B"/>
    <w:rsid w:val="0047125B"/>
    <w:rsid w:val="00487A06"/>
    <w:rsid w:val="004C3246"/>
    <w:rsid w:val="004F36D3"/>
    <w:rsid w:val="005032A9"/>
    <w:rsid w:val="00507307"/>
    <w:rsid w:val="005354B5"/>
    <w:rsid w:val="00544E8B"/>
    <w:rsid w:val="00561F41"/>
    <w:rsid w:val="00573C69"/>
    <w:rsid w:val="0059343A"/>
    <w:rsid w:val="005B1815"/>
    <w:rsid w:val="005C1708"/>
    <w:rsid w:val="005D24E6"/>
    <w:rsid w:val="005E74BB"/>
    <w:rsid w:val="00637D72"/>
    <w:rsid w:val="00642452"/>
    <w:rsid w:val="0067759F"/>
    <w:rsid w:val="00694A29"/>
    <w:rsid w:val="00722CD3"/>
    <w:rsid w:val="00735373"/>
    <w:rsid w:val="007639CD"/>
    <w:rsid w:val="007A7D64"/>
    <w:rsid w:val="007E1A7D"/>
    <w:rsid w:val="007E4657"/>
    <w:rsid w:val="0080539F"/>
    <w:rsid w:val="00807023"/>
    <w:rsid w:val="00810CC9"/>
    <w:rsid w:val="00841BCB"/>
    <w:rsid w:val="00853B47"/>
    <w:rsid w:val="0087531E"/>
    <w:rsid w:val="0088060E"/>
    <w:rsid w:val="0088216D"/>
    <w:rsid w:val="008D0F08"/>
    <w:rsid w:val="008F7B3B"/>
    <w:rsid w:val="00903CCF"/>
    <w:rsid w:val="00930230"/>
    <w:rsid w:val="00937AD2"/>
    <w:rsid w:val="0094093E"/>
    <w:rsid w:val="00986C14"/>
    <w:rsid w:val="009C4E85"/>
    <w:rsid w:val="009D202D"/>
    <w:rsid w:val="009D5471"/>
    <w:rsid w:val="009E55F9"/>
    <w:rsid w:val="009E5DC0"/>
    <w:rsid w:val="009F0215"/>
    <w:rsid w:val="00A845D4"/>
    <w:rsid w:val="00A92256"/>
    <w:rsid w:val="00AC54E4"/>
    <w:rsid w:val="00AD5F39"/>
    <w:rsid w:val="00AE7E13"/>
    <w:rsid w:val="00B01F0A"/>
    <w:rsid w:val="00B119FA"/>
    <w:rsid w:val="00B26E6B"/>
    <w:rsid w:val="00B32615"/>
    <w:rsid w:val="00B33CFE"/>
    <w:rsid w:val="00B36B80"/>
    <w:rsid w:val="00B75715"/>
    <w:rsid w:val="00B76605"/>
    <w:rsid w:val="00B90344"/>
    <w:rsid w:val="00B938B4"/>
    <w:rsid w:val="00BA09AD"/>
    <w:rsid w:val="00BE09B0"/>
    <w:rsid w:val="00BF5EBE"/>
    <w:rsid w:val="00C30084"/>
    <w:rsid w:val="00C4554C"/>
    <w:rsid w:val="00C61487"/>
    <w:rsid w:val="00C81A73"/>
    <w:rsid w:val="00C953DE"/>
    <w:rsid w:val="00CD2A0C"/>
    <w:rsid w:val="00CD577C"/>
    <w:rsid w:val="00D1390E"/>
    <w:rsid w:val="00D2232A"/>
    <w:rsid w:val="00D56D13"/>
    <w:rsid w:val="00D62897"/>
    <w:rsid w:val="00D6545B"/>
    <w:rsid w:val="00D711F2"/>
    <w:rsid w:val="00D74D27"/>
    <w:rsid w:val="00D84E9B"/>
    <w:rsid w:val="00DB1311"/>
    <w:rsid w:val="00DB30B5"/>
    <w:rsid w:val="00DB467B"/>
    <w:rsid w:val="00DF4DDB"/>
    <w:rsid w:val="00E14214"/>
    <w:rsid w:val="00E152BF"/>
    <w:rsid w:val="00E4285E"/>
    <w:rsid w:val="00E45EF8"/>
    <w:rsid w:val="00E54583"/>
    <w:rsid w:val="00E55745"/>
    <w:rsid w:val="00E722D4"/>
    <w:rsid w:val="00E7276C"/>
    <w:rsid w:val="00E7276F"/>
    <w:rsid w:val="00E77542"/>
    <w:rsid w:val="00E9533C"/>
    <w:rsid w:val="00E97278"/>
    <w:rsid w:val="00EB3D25"/>
    <w:rsid w:val="00EB798A"/>
    <w:rsid w:val="00EC2897"/>
    <w:rsid w:val="00EC3108"/>
    <w:rsid w:val="00ED1476"/>
    <w:rsid w:val="00ED1A08"/>
    <w:rsid w:val="00F05AEA"/>
    <w:rsid w:val="00F15A25"/>
    <w:rsid w:val="00F24919"/>
    <w:rsid w:val="00F5493B"/>
    <w:rsid w:val="00F734DA"/>
    <w:rsid w:val="00F836A4"/>
    <w:rsid w:val="00F83EA4"/>
    <w:rsid w:val="00FB59EE"/>
    <w:rsid w:val="00FC59CF"/>
    <w:rsid w:val="00FC718D"/>
    <w:rsid w:val="00FF5E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1EE8E-5BB6-6246-9014-31BCE4F1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z_Normal"/>
    <w:uiPriority w:val="1"/>
    <w:qFormat/>
    <w:rsid w:val="00AE7E13"/>
    <w:rPr>
      <w:rFonts w:ascii="Times New Roman" w:eastAsia="Times New Roman" w:hAnsi="Times New Roman" w:cs="Times New Roman"/>
    </w:rPr>
  </w:style>
  <w:style w:type="paragraph" w:styleId="Heading1">
    <w:name w:val="heading 1"/>
    <w:basedOn w:val="Normal"/>
    <w:link w:val="Heading1Char"/>
    <w:uiPriority w:val="9"/>
    <w:qFormat/>
    <w:rsid w:val="00AE7E13"/>
    <w:pPr>
      <w:ind w:left="116"/>
      <w:outlineLvl w:val="0"/>
    </w:pPr>
    <w:rPr>
      <w:b/>
      <w:bCs/>
    </w:rPr>
  </w:style>
  <w:style w:type="paragraph" w:styleId="Heading2">
    <w:name w:val="heading 2"/>
    <w:aliases w:val="Tez_Heading 2"/>
    <w:basedOn w:val="Normal"/>
    <w:next w:val="Normal"/>
    <w:link w:val="Heading2Char"/>
    <w:uiPriority w:val="9"/>
    <w:unhideWhenUsed/>
    <w:qFormat/>
    <w:rsid w:val="00AE7E13"/>
    <w:pPr>
      <w:keepNext/>
      <w:keepLines/>
      <w:spacing w:before="720" w:after="480"/>
      <w:ind w:left="72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13"/>
    <w:rPr>
      <w:rFonts w:ascii="Times New Roman" w:eastAsia="Times New Roman" w:hAnsi="Times New Roman" w:cs="Times New Roman"/>
      <w:b/>
      <w:bCs/>
    </w:rPr>
  </w:style>
  <w:style w:type="character" w:customStyle="1" w:styleId="Heading2Char">
    <w:name w:val="Heading 2 Char"/>
    <w:aliases w:val="Tez_Heading 2 Char"/>
    <w:basedOn w:val="DefaultParagraphFont"/>
    <w:link w:val="Heading2"/>
    <w:uiPriority w:val="9"/>
    <w:rsid w:val="00AE7E13"/>
    <w:rPr>
      <w:rFonts w:ascii="Times New Roman" w:eastAsiaTheme="majorEastAsia" w:hAnsi="Times New Roman" w:cstheme="majorBidi"/>
      <w:b/>
      <w:szCs w:val="26"/>
    </w:rPr>
  </w:style>
  <w:style w:type="paragraph" w:styleId="BalloonText">
    <w:name w:val="Balloon Text"/>
    <w:basedOn w:val="Normal"/>
    <w:link w:val="BalloonTextChar"/>
    <w:uiPriority w:val="99"/>
    <w:semiHidden/>
    <w:unhideWhenUsed/>
    <w:rsid w:val="00AE7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E13"/>
    <w:rPr>
      <w:rFonts w:ascii="Segoe UI" w:eastAsia="Times New Roman" w:hAnsi="Segoe UI" w:cs="Segoe UI"/>
      <w:sz w:val="18"/>
      <w:szCs w:val="18"/>
    </w:rPr>
  </w:style>
  <w:style w:type="paragraph" w:styleId="BodyText">
    <w:name w:val="Body Text"/>
    <w:basedOn w:val="Normal"/>
    <w:link w:val="BodyTextChar"/>
    <w:uiPriority w:val="1"/>
    <w:qFormat/>
    <w:rsid w:val="00AE7E13"/>
    <w:pPr>
      <w:ind w:left="116"/>
    </w:pPr>
  </w:style>
  <w:style w:type="character" w:customStyle="1" w:styleId="BodyTextChar">
    <w:name w:val="Body Text Char"/>
    <w:basedOn w:val="DefaultParagraphFont"/>
    <w:link w:val="BodyText"/>
    <w:uiPriority w:val="1"/>
    <w:rsid w:val="00AE7E13"/>
    <w:rPr>
      <w:rFonts w:ascii="Times New Roman" w:eastAsia="Times New Roman" w:hAnsi="Times New Roman" w:cs="Times New Roman"/>
    </w:rPr>
  </w:style>
  <w:style w:type="paragraph" w:styleId="ListParagraph">
    <w:name w:val="List Paragraph"/>
    <w:basedOn w:val="Normal"/>
    <w:uiPriority w:val="34"/>
    <w:qFormat/>
    <w:rsid w:val="00AE7E13"/>
  </w:style>
  <w:style w:type="paragraph" w:customStyle="1" w:styleId="TableParagraph">
    <w:name w:val="Table Paragraph"/>
    <w:basedOn w:val="Normal"/>
    <w:uiPriority w:val="1"/>
    <w:qFormat/>
    <w:rsid w:val="00AE7E13"/>
  </w:style>
  <w:style w:type="character" w:styleId="CommentReference">
    <w:name w:val="annotation reference"/>
    <w:basedOn w:val="DefaultParagraphFont"/>
    <w:uiPriority w:val="99"/>
    <w:semiHidden/>
    <w:unhideWhenUsed/>
    <w:rsid w:val="00AE7E13"/>
    <w:rPr>
      <w:sz w:val="16"/>
      <w:szCs w:val="16"/>
    </w:rPr>
  </w:style>
  <w:style w:type="paragraph" w:styleId="CommentText">
    <w:name w:val="annotation text"/>
    <w:basedOn w:val="Normal"/>
    <w:link w:val="CommentTextChar"/>
    <w:uiPriority w:val="99"/>
    <w:unhideWhenUsed/>
    <w:rsid w:val="00AE7E13"/>
    <w:rPr>
      <w:sz w:val="20"/>
      <w:szCs w:val="20"/>
    </w:rPr>
  </w:style>
  <w:style w:type="character" w:customStyle="1" w:styleId="CommentTextChar">
    <w:name w:val="Comment Text Char"/>
    <w:basedOn w:val="DefaultParagraphFont"/>
    <w:link w:val="CommentText"/>
    <w:uiPriority w:val="99"/>
    <w:rsid w:val="00AE7E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E13"/>
    <w:rPr>
      <w:b/>
      <w:bCs/>
    </w:rPr>
  </w:style>
  <w:style w:type="character" w:customStyle="1" w:styleId="CommentSubjectChar">
    <w:name w:val="Comment Subject Char"/>
    <w:basedOn w:val="CommentTextChar"/>
    <w:link w:val="CommentSubject"/>
    <w:uiPriority w:val="99"/>
    <w:semiHidden/>
    <w:rsid w:val="00AE7E13"/>
    <w:rPr>
      <w:rFonts w:ascii="Times New Roman" w:eastAsia="Times New Roman" w:hAnsi="Times New Roman" w:cs="Times New Roman"/>
      <w:b/>
      <w:bCs/>
      <w:sz w:val="20"/>
      <w:szCs w:val="20"/>
    </w:rPr>
  </w:style>
  <w:style w:type="table" w:styleId="TableGrid">
    <w:name w:val="Table Grid"/>
    <w:basedOn w:val="TableNormal"/>
    <w:uiPriority w:val="39"/>
    <w:rsid w:val="00AE7E1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7E13"/>
    <w:pPr>
      <w:tabs>
        <w:tab w:val="center" w:pos="4536"/>
        <w:tab w:val="right" w:pos="9072"/>
      </w:tabs>
    </w:pPr>
  </w:style>
  <w:style w:type="character" w:customStyle="1" w:styleId="FooterChar">
    <w:name w:val="Footer Char"/>
    <w:basedOn w:val="DefaultParagraphFont"/>
    <w:link w:val="Footer"/>
    <w:uiPriority w:val="99"/>
    <w:rsid w:val="00AE7E13"/>
    <w:rPr>
      <w:rFonts w:ascii="Times New Roman" w:eastAsia="Times New Roman" w:hAnsi="Times New Roman" w:cs="Times New Roman"/>
    </w:rPr>
  </w:style>
  <w:style w:type="character" w:styleId="PageNumber">
    <w:name w:val="page number"/>
    <w:basedOn w:val="DefaultParagraphFont"/>
    <w:uiPriority w:val="99"/>
    <w:semiHidden/>
    <w:unhideWhenUsed/>
    <w:rsid w:val="00AE7E13"/>
  </w:style>
  <w:style w:type="paragraph" w:styleId="Header">
    <w:name w:val="header"/>
    <w:basedOn w:val="Normal"/>
    <w:link w:val="HeaderChar"/>
    <w:uiPriority w:val="99"/>
    <w:unhideWhenUsed/>
    <w:rsid w:val="00AE7E13"/>
    <w:pPr>
      <w:tabs>
        <w:tab w:val="center" w:pos="4536"/>
        <w:tab w:val="right" w:pos="9072"/>
      </w:tabs>
    </w:pPr>
  </w:style>
  <w:style w:type="character" w:customStyle="1" w:styleId="HeaderChar">
    <w:name w:val="Header Char"/>
    <w:basedOn w:val="DefaultParagraphFont"/>
    <w:link w:val="Header"/>
    <w:uiPriority w:val="99"/>
    <w:rsid w:val="00AE7E13"/>
    <w:rPr>
      <w:rFonts w:ascii="Times New Roman" w:eastAsia="Times New Roman" w:hAnsi="Times New Roman" w:cs="Times New Roman"/>
    </w:rPr>
  </w:style>
  <w:style w:type="paragraph" w:styleId="Revision">
    <w:name w:val="Revision"/>
    <w:hidden/>
    <w:uiPriority w:val="99"/>
    <w:semiHidden/>
    <w:rsid w:val="00AE7E13"/>
    <w:rPr>
      <w:sz w:val="22"/>
      <w:szCs w:val="22"/>
      <w:lang w:val="en-US"/>
    </w:rPr>
  </w:style>
  <w:style w:type="paragraph" w:styleId="NormalWeb">
    <w:name w:val="Normal (Web)"/>
    <w:basedOn w:val="Normal"/>
    <w:uiPriority w:val="99"/>
    <w:unhideWhenUsed/>
    <w:rsid w:val="00AE7E13"/>
    <w:pPr>
      <w:spacing w:before="100" w:beforeAutospacing="1" w:after="100" w:afterAutospacing="1"/>
    </w:pPr>
  </w:style>
  <w:style w:type="paragraph" w:customStyle="1" w:styleId="EndNoteBibliographyTitle">
    <w:name w:val="EndNote Bibliography Title"/>
    <w:basedOn w:val="Normal"/>
    <w:rsid w:val="00AE7E13"/>
    <w:pPr>
      <w:jc w:val="center"/>
    </w:pPr>
  </w:style>
  <w:style w:type="paragraph" w:customStyle="1" w:styleId="EndNoteBibliography">
    <w:name w:val="EndNote Bibliography"/>
    <w:basedOn w:val="Normal"/>
    <w:rsid w:val="00AE7E13"/>
  </w:style>
  <w:style w:type="character" w:styleId="Hyperlink">
    <w:name w:val="Hyperlink"/>
    <w:basedOn w:val="DefaultParagraphFont"/>
    <w:uiPriority w:val="99"/>
    <w:unhideWhenUsed/>
    <w:rsid w:val="00AE7E13"/>
    <w:rPr>
      <w:color w:val="0563C1" w:themeColor="hyperlink"/>
      <w:u w:val="single"/>
    </w:rPr>
  </w:style>
  <w:style w:type="character" w:customStyle="1" w:styleId="apple-converted-space">
    <w:name w:val="apple-converted-space"/>
    <w:basedOn w:val="DefaultParagraphFont"/>
    <w:rsid w:val="00AE7E13"/>
  </w:style>
  <w:style w:type="paragraph" w:styleId="EndnoteText">
    <w:name w:val="endnote text"/>
    <w:basedOn w:val="Normal"/>
    <w:link w:val="EndnoteTextChar"/>
    <w:uiPriority w:val="99"/>
    <w:semiHidden/>
    <w:unhideWhenUsed/>
    <w:rsid w:val="00AE7E13"/>
    <w:rPr>
      <w:sz w:val="20"/>
      <w:szCs w:val="20"/>
    </w:rPr>
  </w:style>
  <w:style w:type="character" w:customStyle="1" w:styleId="EndnoteTextChar">
    <w:name w:val="Endnote Text Char"/>
    <w:basedOn w:val="DefaultParagraphFont"/>
    <w:link w:val="EndnoteText"/>
    <w:uiPriority w:val="99"/>
    <w:semiHidden/>
    <w:rsid w:val="00AE7E1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7E13"/>
    <w:rPr>
      <w:vertAlign w:val="superscript"/>
    </w:rPr>
  </w:style>
  <w:style w:type="paragraph" w:styleId="Bibliography">
    <w:name w:val="Bibliography"/>
    <w:basedOn w:val="Normal"/>
    <w:next w:val="Normal"/>
    <w:uiPriority w:val="37"/>
    <w:unhideWhenUsed/>
    <w:rsid w:val="00AE7E13"/>
  </w:style>
  <w:style w:type="character" w:styleId="LineNumber">
    <w:name w:val="line number"/>
    <w:basedOn w:val="DefaultParagraphFont"/>
    <w:uiPriority w:val="99"/>
    <w:semiHidden/>
    <w:unhideWhenUsed/>
    <w:rsid w:val="00AE7E13"/>
  </w:style>
  <w:style w:type="character" w:customStyle="1" w:styleId="article-headerdoi">
    <w:name w:val="article-header__doi"/>
    <w:basedOn w:val="DefaultParagraphFont"/>
    <w:rsid w:val="00AE7E13"/>
  </w:style>
  <w:style w:type="character" w:styleId="FollowedHyperlink">
    <w:name w:val="FollowedHyperlink"/>
    <w:basedOn w:val="DefaultParagraphFont"/>
    <w:uiPriority w:val="99"/>
    <w:semiHidden/>
    <w:unhideWhenUsed/>
    <w:rsid w:val="00AE7E13"/>
    <w:rPr>
      <w:color w:val="954F72" w:themeColor="followedHyperlink"/>
      <w:u w:val="single"/>
    </w:rPr>
  </w:style>
  <w:style w:type="character" w:customStyle="1" w:styleId="s1">
    <w:name w:val="s1"/>
    <w:basedOn w:val="DefaultParagraphFont"/>
    <w:rsid w:val="00AE7E13"/>
    <w:rPr>
      <w:color w:val="0645AD"/>
    </w:rPr>
  </w:style>
  <w:style w:type="character" w:customStyle="1" w:styleId="UnresolvedMention1">
    <w:name w:val="Unresolved Mention1"/>
    <w:basedOn w:val="DefaultParagraphFont"/>
    <w:uiPriority w:val="99"/>
    <w:semiHidden/>
    <w:unhideWhenUsed/>
    <w:rsid w:val="00AE7E13"/>
    <w:rPr>
      <w:color w:val="605E5C"/>
      <w:shd w:val="clear" w:color="auto" w:fill="E1DFDD"/>
    </w:rPr>
  </w:style>
  <w:style w:type="character" w:customStyle="1" w:styleId="UnresolvedMention2">
    <w:name w:val="Unresolved Mention2"/>
    <w:basedOn w:val="DefaultParagraphFont"/>
    <w:uiPriority w:val="99"/>
    <w:semiHidden/>
    <w:unhideWhenUsed/>
    <w:rsid w:val="00AE7E13"/>
    <w:rPr>
      <w:color w:val="605E5C"/>
      <w:shd w:val="clear" w:color="auto" w:fill="E1DFDD"/>
    </w:rPr>
  </w:style>
  <w:style w:type="character" w:customStyle="1" w:styleId="UnresolvedMention3">
    <w:name w:val="Unresolved Mention3"/>
    <w:basedOn w:val="DefaultParagraphFont"/>
    <w:uiPriority w:val="99"/>
    <w:semiHidden/>
    <w:unhideWhenUsed/>
    <w:rsid w:val="00AE7E13"/>
    <w:rPr>
      <w:color w:val="605E5C"/>
      <w:shd w:val="clear" w:color="auto" w:fill="E1DFDD"/>
    </w:rPr>
  </w:style>
  <w:style w:type="paragraph" w:customStyle="1" w:styleId="yiv1364186433msonormal">
    <w:name w:val="yiv1364186433msonormal"/>
    <w:basedOn w:val="Normal"/>
    <w:rsid w:val="00AE7E13"/>
    <w:pPr>
      <w:spacing w:before="100" w:beforeAutospacing="1" w:after="100" w:afterAutospacing="1"/>
    </w:pPr>
    <w:rPr>
      <w:lang w:val="en-GB" w:eastAsia="en-GB"/>
    </w:rPr>
  </w:style>
  <w:style w:type="character" w:customStyle="1" w:styleId="UnresolvedMention4">
    <w:name w:val="Unresolved Mention4"/>
    <w:basedOn w:val="DefaultParagraphFont"/>
    <w:uiPriority w:val="99"/>
    <w:unhideWhenUsed/>
    <w:rsid w:val="00AE7E13"/>
    <w:rPr>
      <w:color w:val="605E5C"/>
      <w:shd w:val="clear" w:color="auto" w:fill="E1DFDD"/>
    </w:rPr>
  </w:style>
  <w:style w:type="character" w:customStyle="1" w:styleId="UnresolvedMention5">
    <w:name w:val="Unresolved Mention5"/>
    <w:basedOn w:val="DefaultParagraphFont"/>
    <w:uiPriority w:val="99"/>
    <w:semiHidden/>
    <w:unhideWhenUsed/>
    <w:rsid w:val="00AE7E13"/>
    <w:rPr>
      <w:color w:val="605E5C"/>
      <w:shd w:val="clear" w:color="auto" w:fill="E1DFDD"/>
    </w:rPr>
  </w:style>
  <w:style w:type="character" w:customStyle="1" w:styleId="UnresolvedMention6">
    <w:name w:val="Unresolved Mention6"/>
    <w:basedOn w:val="DefaultParagraphFont"/>
    <w:uiPriority w:val="99"/>
    <w:semiHidden/>
    <w:unhideWhenUsed/>
    <w:rsid w:val="00AE7E13"/>
    <w:rPr>
      <w:color w:val="605E5C"/>
      <w:shd w:val="clear" w:color="auto" w:fill="E1DFDD"/>
    </w:rPr>
  </w:style>
  <w:style w:type="character" w:customStyle="1" w:styleId="UnresolvedMention7">
    <w:name w:val="Unresolved Mention7"/>
    <w:basedOn w:val="DefaultParagraphFont"/>
    <w:uiPriority w:val="99"/>
    <w:semiHidden/>
    <w:unhideWhenUsed/>
    <w:rsid w:val="00AE7E13"/>
    <w:rPr>
      <w:color w:val="605E5C"/>
      <w:shd w:val="clear" w:color="auto" w:fill="E1DFDD"/>
    </w:rPr>
  </w:style>
  <w:style w:type="character" w:customStyle="1" w:styleId="UnresolvedMention">
    <w:name w:val="Unresolved Mention"/>
    <w:basedOn w:val="DefaultParagraphFont"/>
    <w:uiPriority w:val="99"/>
    <w:unhideWhenUsed/>
    <w:rsid w:val="00AE7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tatic.freereferats.ru/_avtoreferats/01004663881.pdf"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6172</Words>
  <Characters>35182</Characters>
  <Application>Microsoft Office Word</Application>
  <DocSecurity>4</DocSecurity>
  <Lines>293</Lines>
  <Paragraphs>82</Paragraphs>
  <ScaleCrop>false</ScaleCrop>
  <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 Mustafa</dc:creator>
  <cp:keywords/>
  <dc:description/>
  <cp:lastModifiedBy>Kennedy C.R.</cp:lastModifiedBy>
  <cp:revision>2</cp:revision>
  <dcterms:created xsi:type="dcterms:W3CDTF">2020-03-20T11:35:00Z</dcterms:created>
  <dcterms:modified xsi:type="dcterms:W3CDTF">2020-03-20T11:35:00Z</dcterms:modified>
</cp:coreProperties>
</file>