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AD7" w:rsidRPr="00583BBF" w:rsidRDefault="002C705E" w:rsidP="002F33FA">
      <w:pPr>
        <w:spacing w:line="360" w:lineRule="auto"/>
        <w:jc w:val="center"/>
        <w:outlineLvl w:val="0"/>
        <w:rPr>
          <w:rFonts w:ascii="Garamond" w:hAnsi="Garamond"/>
          <w:b/>
          <w:sz w:val="40"/>
          <w:lang w:eastAsia="zh-TW"/>
        </w:rPr>
      </w:pPr>
      <w:r w:rsidRPr="00583BBF">
        <w:rPr>
          <w:rFonts w:ascii="Garamond" w:hAnsi="Garamond"/>
          <w:b/>
          <w:sz w:val="40"/>
          <w:lang w:eastAsia="zh-TW"/>
        </w:rPr>
        <w:t xml:space="preserve">The </w:t>
      </w:r>
      <w:r w:rsidR="004A1492" w:rsidRPr="00583BBF">
        <w:rPr>
          <w:rFonts w:ascii="Garamond" w:hAnsi="Garamond"/>
          <w:b/>
          <w:sz w:val="40"/>
          <w:lang w:eastAsia="zh-TW"/>
        </w:rPr>
        <w:t>Intraday Dynamics of Bitcoin</w:t>
      </w:r>
    </w:p>
    <w:p w:rsidR="003F704D" w:rsidRPr="00583BBF" w:rsidRDefault="003F704D" w:rsidP="00324133">
      <w:pPr>
        <w:spacing w:line="360" w:lineRule="auto"/>
        <w:jc w:val="both"/>
        <w:rPr>
          <w:rFonts w:ascii="Garamond" w:hAnsi="Garamond"/>
          <w:b/>
          <w:lang w:eastAsia="zh-TW"/>
        </w:rPr>
      </w:pPr>
    </w:p>
    <w:p w:rsidR="00271595" w:rsidRPr="00271595" w:rsidRDefault="00271595" w:rsidP="00271595">
      <w:pPr>
        <w:spacing w:line="360" w:lineRule="auto"/>
        <w:jc w:val="center"/>
        <w:rPr>
          <w:rFonts w:ascii="Garamond" w:hAnsi="Garamond"/>
          <w:b/>
          <w:vertAlign w:val="superscript"/>
          <w:lang w:eastAsia="zh-TW"/>
        </w:rPr>
      </w:pPr>
      <w:r w:rsidRPr="00271595">
        <w:rPr>
          <w:rFonts w:ascii="Garamond" w:hAnsi="Garamond"/>
          <w:b/>
          <w:lang w:eastAsia="zh-TW"/>
        </w:rPr>
        <w:t>Andrea Eross</w:t>
      </w:r>
      <w:r w:rsidRPr="00271595">
        <w:rPr>
          <w:rFonts w:ascii="Garamond" w:hAnsi="Garamond"/>
          <w:b/>
          <w:vertAlign w:val="superscript"/>
          <w:lang w:eastAsia="zh-TW"/>
        </w:rPr>
        <w:t>1</w:t>
      </w:r>
      <w:r w:rsidRPr="00271595">
        <w:rPr>
          <w:rFonts w:ascii="Garamond" w:hAnsi="Garamond"/>
          <w:b/>
          <w:lang w:eastAsia="zh-TW"/>
        </w:rPr>
        <w:t>, Frank McGroarty</w:t>
      </w:r>
      <w:r w:rsidRPr="00271595">
        <w:rPr>
          <w:rFonts w:ascii="Garamond" w:hAnsi="Garamond"/>
          <w:b/>
          <w:vertAlign w:val="superscript"/>
          <w:lang w:eastAsia="zh-TW"/>
        </w:rPr>
        <w:t>2</w:t>
      </w:r>
      <w:r w:rsidRPr="00271595">
        <w:rPr>
          <w:rFonts w:ascii="Garamond" w:hAnsi="Garamond"/>
          <w:b/>
          <w:lang w:eastAsia="zh-TW"/>
        </w:rPr>
        <w:t>, Andrew Urquhart</w:t>
      </w:r>
      <w:r w:rsidRPr="00271595">
        <w:rPr>
          <w:rFonts w:ascii="Garamond" w:hAnsi="Garamond"/>
          <w:b/>
          <w:vertAlign w:val="superscript"/>
          <w:lang w:eastAsia="zh-TW"/>
        </w:rPr>
        <w:t>2*</w:t>
      </w:r>
      <w:r w:rsidRPr="00271595">
        <w:rPr>
          <w:rFonts w:ascii="Garamond" w:hAnsi="Garamond"/>
          <w:b/>
          <w:lang w:eastAsia="zh-TW"/>
        </w:rPr>
        <w:t xml:space="preserve"> and Simon Wolfe</w:t>
      </w:r>
      <w:r w:rsidRPr="00271595">
        <w:rPr>
          <w:rFonts w:ascii="Garamond" w:hAnsi="Garamond"/>
          <w:b/>
          <w:vertAlign w:val="superscript"/>
          <w:lang w:eastAsia="zh-TW"/>
        </w:rPr>
        <w:t>2</w:t>
      </w:r>
    </w:p>
    <w:p w:rsidR="00271595" w:rsidRPr="00271595" w:rsidRDefault="00271595" w:rsidP="00271595">
      <w:pPr>
        <w:spacing w:line="360" w:lineRule="auto"/>
        <w:jc w:val="both"/>
        <w:rPr>
          <w:rFonts w:ascii="Garamond" w:hAnsi="Garamond"/>
          <w:b/>
          <w:vertAlign w:val="superscript"/>
          <w:lang w:eastAsia="zh-TW"/>
        </w:rPr>
      </w:pPr>
    </w:p>
    <w:p w:rsidR="003C1917" w:rsidRPr="00583BBF" w:rsidRDefault="003C1917" w:rsidP="00324133">
      <w:pPr>
        <w:spacing w:line="360" w:lineRule="auto"/>
        <w:jc w:val="both"/>
        <w:rPr>
          <w:rFonts w:ascii="Garamond" w:hAnsi="Garamond"/>
          <w:b/>
          <w:lang w:eastAsia="zh-TW"/>
        </w:rPr>
      </w:pPr>
    </w:p>
    <w:p w:rsidR="003F704D" w:rsidRPr="00583BBF" w:rsidRDefault="003F704D" w:rsidP="002F33FA">
      <w:pPr>
        <w:jc w:val="center"/>
        <w:outlineLvl w:val="0"/>
        <w:rPr>
          <w:rFonts w:ascii="Garamond" w:hAnsi="Garamond"/>
          <w:b/>
          <w:sz w:val="28"/>
          <w:lang w:eastAsia="zh-TW"/>
        </w:rPr>
      </w:pPr>
      <w:r w:rsidRPr="00583BBF">
        <w:rPr>
          <w:rFonts w:ascii="Garamond" w:hAnsi="Garamond"/>
          <w:b/>
          <w:lang w:eastAsia="zh-TW"/>
        </w:rPr>
        <w:t>Abstract</w:t>
      </w:r>
    </w:p>
    <w:p w:rsidR="00875A03" w:rsidRPr="00583BBF" w:rsidRDefault="00875A03" w:rsidP="00875A03">
      <w:pPr>
        <w:jc w:val="center"/>
        <w:rPr>
          <w:rFonts w:ascii="Garamond" w:hAnsi="Garamond"/>
          <w:b/>
          <w:lang w:eastAsia="zh-TW"/>
        </w:rPr>
      </w:pPr>
    </w:p>
    <w:p w:rsidR="003C1917" w:rsidRPr="00583BBF" w:rsidRDefault="003C1917" w:rsidP="00875A03">
      <w:pPr>
        <w:jc w:val="both"/>
        <w:rPr>
          <w:rFonts w:ascii="Garamond" w:hAnsi="Garamond"/>
          <w:lang w:eastAsia="zh-TW"/>
        </w:rPr>
      </w:pPr>
    </w:p>
    <w:p w:rsidR="00EC5917" w:rsidRPr="00583BBF" w:rsidRDefault="00CE7088" w:rsidP="00271595">
      <w:pPr>
        <w:jc w:val="both"/>
        <w:rPr>
          <w:rFonts w:ascii="Garamond" w:hAnsi="Garamond"/>
          <w:lang w:eastAsia="zh-TW"/>
        </w:rPr>
      </w:pPr>
      <w:bookmarkStart w:id="0" w:name="_GoBack"/>
      <w:r w:rsidRPr="00583BBF">
        <w:rPr>
          <w:rFonts w:ascii="Garamond" w:hAnsi="Garamond"/>
          <w:lang w:eastAsia="zh-TW"/>
        </w:rPr>
        <w:t xml:space="preserve">Bitcoin has received </w:t>
      </w:r>
      <w:r w:rsidR="009D60DB" w:rsidRPr="00583BBF">
        <w:rPr>
          <w:rFonts w:ascii="Garamond" w:hAnsi="Garamond"/>
          <w:lang w:eastAsia="zh-TW"/>
        </w:rPr>
        <w:t>much</w:t>
      </w:r>
      <w:r w:rsidRPr="00583BBF">
        <w:rPr>
          <w:rFonts w:ascii="Garamond" w:hAnsi="Garamond"/>
          <w:lang w:eastAsia="zh-TW"/>
        </w:rPr>
        <w:t xml:space="preserve"> inv</w:t>
      </w:r>
      <w:r w:rsidR="005E3B9A" w:rsidRPr="00583BBF">
        <w:rPr>
          <w:rFonts w:ascii="Garamond" w:hAnsi="Garamond"/>
          <w:lang w:eastAsia="zh-TW"/>
        </w:rPr>
        <w:t>estor attention in recent years</w:t>
      </w:r>
      <w:r w:rsidR="00326D3D">
        <w:rPr>
          <w:rFonts w:ascii="Garamond" w:hAnsi="Garamond"/>
          <w:lang w:eastAsia="zh-TW"/>
        </w:rPr>
        <w:t xml:space="preserve"> and following this, there has been an explosion of academic studies examining this new financial asset.  </w:t>
      </w:r>
      <w:r w:rsidR="00802857" w:rsidRPr="00583BBF">
        <w:rPr>
          <w:rFonts w:ascii="Garamond" w:hAnsi="Garamond"/>
          <w:lang w:eastAsia="zh-TW"/>
        </w:rPr>
        <w:t xml:space="preserve">We </w:t>
      </w:r>
      <w:r w:rsidR="00EF62A3" w:rsidRPr="00583BBF">
        <w:rPr>
          <w:rFonts w:ascii="Garamond" w:hAnsi="Garamond"/>
          <w:lang w:eastAsia="zh-TW"/>
        </w:rPr>
        <w:t>contribute</w:t>
      </w:r>
      <w:r w:rsidR="005E3B9A" w:rsidRPr="00583BBF">
        <w:rPr>
          <w:rFonts w:ascii="Garamond" w:hAnsi="Garamond"/>
          <w:lang w:eastAsia="zh-TW"/>
        </w:rPr>
        <w:t xml:space="preserve"> to the </w:t>
      </w:r>
      <w:r w:rsidR="000F30A4" w:rsidRPr="00583BBF">
        <w:rPr>
          <w:rFonts w:ascii="Garamond" w:hAnsi="Garamond"/>
          <w:lang w:eastAsia="zh-TW"/>
        </w:rPr>
        <w:t>growing literature</w:t>
      </w:r>
      <w:r w:rsidR="006F2279" w:rsidRPr="00583BBF">
        <w:rPr>
          <w:rFonts w:ascii="Garamond" w:hAnsi="Garamond"/>
          <w:lang w:eastAsia="zh-TW"/>
        </w:rPr>
        <w:t xml:space="preserve"> </w:t>
      </w:r>
      <w:r w:rsidR="005E3B9A" w:rsidRPr="00583BBF">
        <w:rPr>
          <w:rFonts w:ascii="Garamond" w:hAnsi="Garamond"/>
          <w:lang w:eastAsia="zh-TW"/>
        </w:rPr>
        <w:t>o</w:t>
      </w:r>
      <w:r w:rsidR="006F2279" w:rsidRPr="00583BBF">
        <w:rPr>
          <w:rFonts w:ascii="Garamond" w:hAnsi="Garamond"/>
          <w:lang w:eastAsia="zh-TW"/>
        </w:rPr>
        <w:t xml:space="preserve">f </w:t>
      </w:r>
      <w:r w:rsidR="005E3B9A" w:rsidRPr="00583BBF">
        <w:rPr>
          <w:rFonts w:ascii="Garamond" w:hAnsi="Garamond"/>
          <w:lang w:eastAsia="zh-TW"/>
        </w:rPr>
        <w:t>Bitcoin by</w:t>
      </w:r>
      <w:r w:rsidR="00802857" w:rsidRPr="00583BBF">
        <w:rPr>
          <w:rFonts w:ascii="Garamond" w:hAnsi="Garamond"/>
          <w:lang w:eastAsia="zh-TW"/>
        </w:rPr>
        <w:t xml:space="preserve"> examining the </w:t>
      </w:r>
      <w:r w:rsidR="006F2279" w:rsidRPr="00583BBF">
        <w:rPr>
          <w:rFonts w:ascii="Garamond" w:hAnsi="Garamond"/>
          <w:lang w:eastAsia="zh-TW"/>
        </w:rPr>
        <w:t xml:space="preserve">intraday variables of </w:t>
      </w:r>
      <w:r w:rsidR="004869D0" w:rsidRPr="00583BBF">
        <w:rPr>
          <w:rFonts w:ascii="Garamond" w:hAnsi="Garamond"/>
          <w:lang w:eastAsia="zh-TW"/>
        </w:rPr>
        <w:t>the leading Bitcoin exchange</w:t>
      </w:r>
      <w:r w:rsidR="006F2279" w:rsidRPr="00583BBF">
        <w:rPr>
          <w:rFonts w:ascii="Garamond" w:hAnsi="Garamond"/>
          <w:lang w:eastAsia="zh-TW"/>
        </w:rPr>
        <w:t xml:space="preserve"> </w:t>
      </w:r>
      <w:r w:rsidR="00DC54F2" w:rsidRPr="00583BBF">
        <w:rPr>
          <w:rFonts w:ascii="Garamond" w:hAnsi="Garamond"/>
          <w:lang w:eastAsia="zh-TW"/>
        </w:rPr>
        <w:t xml:space="preserve">with the highest information share </w:t>
      </w:r>
      <w:r w:rsidR="002F33FA">
        <w:rPr>
          <w:rFonts w:ascii="Garamond" w:hAnsi="Garamond"/>
          <w:lang w:eastAsia="zh-TW"/>
        </w:rPr>
        <w:t>over 4 years’ worth of data</w:t>
      </w:r>
      <w:r w:rsidR="006F2279" w:rsidRPr="00583BBF">
        <w:rPr>
          <w:rFonts w:ascii="Garamond" w:hAnsi="Garamond"/>
          <w:lang w:eastAsia="zh-TW"/>
        </w:rPr>
        <w:t xml:space="preserve"> to reveal the intraday stylized facts of Bitcoin </w:t>
      </w:r>
      <w:r w:rsidR="002F33FA">
        <w:rPr>
          <w:rFonts w:ascii="Garamond" w:hAnsi="Garamond"/>
          <w:lang w:eastAsia="zh-TW"/>
        </w:rPr>
        <w:t xml:space="preserve">and how they have developed over time. </w:t>
      </w:r>
      <w:r w:rsidR="0081619D" w:rsidRPr="00583BBF">
        <w:rPr>
          <w:rFonts w:ascii="Garamond" w:hAnsi="Garamond"/>
          <w:lang w:eastAsia="zh-TW"/>
        </w:rPr>
        <w:t>Employing GMT-</w:t>
      </w:r>
      <w:r w:rsidR="00EC5917">
        <w:rPr>
          <w:rFonts w:ascii="Garamond" w:hAnsi="Garamond"/>
          <w:lang w:eastAsia="zh-TW"/>
        </w:rPr>
        <w:t>time</w:t>
      </w:r>
      <w:r w:rsidR="0081619D" w:rsidRPr="00583BBF">
        <w:rPr>
          <w:rFonts w:ascii="Garamond" w:hAnsi="Garamond"/>
          <w:lang w:eastAsia="zh-TW"/>
        </w:rPr>
        <w:t>stamped tic</w:t>
      </w:r>
      <w:r w:rsidR="002F33FA">
        <w:rPr>
          <w:rFonts w:ascii="Garamond" w:hAnsi="Garamond"/>
          <w:lang w:eastAsia="zh-TW"/>
        </w:rPr>
        <w:t>k data aggregated to the 5-mintue</w:t>
      </w:r>
      <w:r w:rsidR="0081619D" w:rsidRPr="00583BBF">
        <w:rPr>
          <w:rFonts w:ascii="Garamond" w:hAnsi="Garamond"/>
          <w:lang w:eastAsia="zh-TW"/>
        </w:rPr>
        <w:t>ly frequency</w:t>
      </w:r>
      <w:r w:rsidR="00000D18" w:rsidRPr="00583BBF">
        <w:rPr>
          <w:rFonts w:ascii="Garamond" w:hAnsi="Garamond"/>
          <w:lang w:eastAsia="zh-TW"/>
        </w:rPr>
        <w:t>, w</w:t>
      </w:r>
      <w:r w:rsidR="00EC5917">
        <w:rPr>
          <w:rFonts w:ascii="Garamond" w:hAnsi="Garamond"/>
          <w:lang w:eastAsia="zh-TW"/>
        </w:rPr>
        <w:t xml:space="preserve">e find </w:t>
      </w:r>
      <w:r w:rsidR="00EC5917" w:rsidRPr="00583BBF">
        <w:rPr>
          <w:rFonts w:ascii="Garamond" w:hAnsi="Garamond"/>
          <w:lang w:eastAsia="zh-TW"/>
        </w:rPr>
        <w:t>that Bitcoin returns have increased over time, while trading volume</w:t>
      </w:r>
      <w:r w:rsidR="00B0025E">
        <w:rPr>
          <w:rFonts w:ascii="Garamond" w:hAnsi="Garamond"/>
          <w:lang w:eastAsia="zh-TW"/>
        </w:rPr>
        <w:t>,</w:t>
      </w:r>
      <w:r w:rsidR="00EC5917" w:rsidRPr="00583BBF">
        <w:rPr>
          <w:rFonts w:ascii="Garamond" w:hAnsi="Garamond"/>
          <w:lang w:eastAsia="zh-TW"/>
        </w:rPr>
        <w:t xml:space="preserve"> volatility </w:t>
      </w:r>
      <w:r w:rsidR="00B0025E">
        <w:rPr>
          <w:rFonts w:ascii="Garamond" w:hAnsi="Garamond"/>
          <w:lang w:eastAsia="zh-TW"/>
        </w:rPr>
        <w:t>and liquidity varied substantially over time.</w:t>
      </w:r>
      <w:r w:rsidR="00EC5917" w:rsidRPr="00583BBF">
        <w:rPr>
          <w:rFonts w:ascii="Garamond" w:hAnsi="Garamond"/>
          <w:lang w:eastAsia="zh-TW"/>
        </w:rPr>
        <w:t xml:space="preserve">  We also find that</w:t>
      </w:r>
      <w:r w:rsidR="00EC5917">
        <w:rPr>
          <w:rFonts w:ascii="Garamond" w:hAnsi="Garamond"/>
          <w:lang w:eastAsia="zh-TW"/>
        </w:rPr>
        <w:t xml:space="preserve"> </w:t>
      </w:r>
      <w:r w:rsidR="00EC5917" w:rsidRPr="00583BBF">
        <w:rPr>
          <w:rFonts w:ascii="Garamond" w:hAnsi="Garamond"/>
          <w:lang w:eastAsia="zh-TW"/>
        </w:rPr>
        <w:t xml:space="preserve">volume increases throughout the day and falls from around 4pm until midnight, which is consistent with the intraday patterns found in currency markets.  Realised volatility </w:t>
      </w:r>
      <w:r w:rsidR="00EC5917">
        <w:rPr>
          <w:rFonts w:ascii="Garamond" w:hAnsi="Garamond"/>
          <w:lang w:eastAsia="zh-TW"/>
        </w:rPr>
        <w:t>is</w:t>
      </w:r>
      <w:r w:rsidR="00EC5917" w:rsidRPr="00583BBF">
        <w:rPr>
          <w:rFonts w:ascii="Garamond" w:hAnsi="Garamond"/>
          <w:lang w:eastAsia="zh-TW"/>
        </w:rPr>
        <w:t xml:space="preserve"> </w:t>
      </w:r>
      <w:r w:rsidR="00EC5917">
        <w:rPr>
          <w:rFonts w:ascii="Garamond" w:hAnsi="Garamond"/>
          <w:lang w:eastAsia="zh-TW"/>
        </w:rPr>
        <w:t xml:space="preserve">fairly consistent throughout the day although it is highest during the opening times of the three major global stock markets.  Also liquidity is highest during the opening times of the major global exchanges and the markets </w:t>
      </w:r>
      <w:r w:rsidR="004677E2">
        <w:rPr>
          <w:rFonts w:ascii="Garamond" w:hAnsi="Garamond"/>
          <w:lang w:eastAsia="zh-TW"/>
        </w:rPr>
        <w:t xml:space="preserve">tend to be </w:t>
      </w:r>
      <w:r w:rsidR="00EC5917">
        <w:rPr>
          <w:rFonts w:ascii="Garamond" w:hAnsi="Garamond"/>
          <w:lang w:eastAsia="zh-TW"/>
        </w:rPr>
        <w:t>illiquid during the early morning.</w:t>
      </w:r>
      <w:r w:rsidR="007F67B6">
        <w:rPr>
          <w:rFonts w:ascii="Garamond" w:hAnsi="Garamond"/>
          <w:lang w:eastAsia="zh-TW"/>
        </w:rPr>
        <w:t xml:space="preserve"> Finally, we show evidence of the mixture of distribution hypothesis of Clark (1973).</w:t>
      </w:r>
    </w:p>
    <w:bookmarkEnd w:id="0"/>
    <w:p w:rsidR="003F704D" w:rsidRPr="00583BBF" w:rsidRDefault="003F704D" w:rsidP="00EC5917">
      <w:pPr>
        <w:jc w:val="both"/>
        <w:rPr>
          <w:rFonts w:ascii="Garamond" w:hAnsi="Garamond"/>
          <w:b/>
          <w:lang w:eastAsia="zh-TW"/>
        </w:rPr>
      </w:pPr>
    </w:p>
    <w:p w:rsidR="003F704D" w:rsidRPr="00583BBF" w:rsidRDefault="003F704D" w:rsidP="002B221A">
      <w:pPr>
        <w:spacing w:line="360" w:lineRule="auto"/>
        <w:rPr>
          <w:rFonts w:ascii="Garamond" w:hAnsi="Garamond"/>
          <w:b/>
          <w:lang w:eastAsia="zh-TW"/>
        </w:rPr>
      </w:pPr>
    </w:p>
    <w:p w:rsidR="003F704D" w:rsidRPr="00583BBF" w:rsidRDefault="003F704D" w:rsidP="003F704D">
      <w:pPr>
        <w:spacing w:line="360" w:lineRule="auto"/>
        <w:jc w:val="center"/>
        <w:rPr>
          <w:rFonts w:ascii="Garamond" w:hAnsi="Garamond"/>
          <w:b/>
          <w:lang w:eastAsia="zh-TW"/>
        </w:rPr>
      </w:pPr>
    </w:p>
    <w:p w:rsidR="00271595" w:rsidRDefault="00271595" w:rsidP="00583BBF">
      <w:pPr>
        <w:spacing w:line="360" w:lineRule="auto"/>
        <w:rPr>
          <w:rFonts w:ascii="Garamond" w:hAnsi="Garamond"/>
          <w:lang w:eastAsia="zh-TW"/>
        </w:rPr>
      </w:pPr>
    </w:p>
    <w:p w:rsidR="00271595" w:rsidRDefault="00271595" w:rsidP="00583BBF">
      <w:pPr>
        <w:spacing w:line="360" w:lineRule="auto"/>
        <w:rPr>
          <w:rFonts w:ascii="Garamond" w:hAnsi="Garamond"/>
          <w:lang w:eastAsia="zh-TW"/>
        </w:rPr>
      </w:pPr>
    </w:p>
    <w:p w:rsidR="003F704D" w:rsidRPr="00583BBF" w:rsidRDefault="003F704D" w:rsidP="00583BBF">
      <w:pPr>
        <w:spacing w:line="360" w:lineRule="auto"/>
        <w:rPr>
          <w:rFonts w:ascii="Garamond" w:hAnsi="Garamond"/>
          <w:lang w:eastAsia="zh-TW"/>
        </w:rPr>
      </w:pPr>
      <w:r w:rsidRPr="00583BBF">
        <w:rPr>
          <w:rFonts w:ascii="Garamond" w:hAnsi="Garamond"/>
          <w:lang w:eastAsia="zh-TW"/>
        </w:rPr>
        <w:t xml:space="preserve">Keywords: Bitcoin; </w:t>
      </w:r>
      <w:r w:rsidR="00583BBF" w:rsidRPr="001E43A5">
        <w:rPr>
          <w:rFonts w:ascii="Garamond" w:hAnsi="Garamond"/>
          <w:lang w:eastAsia="zh-TW"/>
        </w:rPr>
        <w:t>Cryptocurrency</w:t>
      </w:r>
      <w:r w:rsidR="00583BBF" w:rsidRPr="00583BBF">
        <w:rPr>
          <w:rFonts w:ascii="Garamond" w:hAnsi="Garamond"/>
          <w:lang w:eastAsia="zh-TW"/>
        </w:rPr>
        <w:t xml:space="preserve">; </w:t>
      </w:r>
      <w:r w:rsidRPr="00583BBF">
        <w:rPr>
          <w:rFonts w:ascii="Garamond" w:hAnsi="Garamond"/>
          <w:lang w:eastAsia="zh-TW"/>
        </w:rPr>
        <w:t>Intraday Patterns; Granger causality; Lead-Lag; High-Frequency</w:t>
      </w:r>
    </w:p>
    <w:p w:rsidR="003F704D" w:rsidRDefault="003F704D" w:rsidP="003F704D">
      <w:pPr>
        <w:spacing w:line="360" w:lineRule="auto"/>
        <w:rPr>
          <w:rFonts w:ascii="Garamond" w:hAnsi="Garamond"/>
          <w:lang w:eastAsia="zh-TW"/>
        </w:rPr>
      </w:pPr>
      <w:r w:rsidRPr="00583BBF">
        <w:rPr>
          <w:rFonts w:ascii="Garamond" w:hAnsi="Garamond"/>
          <w:i/>
          <w:lang w:eastAsia="zh-TW"/>
        </w:rPr>
        <w:t xml:space="preserve">JEL classification: </w:t>
      </w:r>
      <w:r w:rsidRPr="00583BBF">
        <w:rPr>
          <w:rFonts w:ascii="Garamond" w:hAnsi="Garamond"/>
          <w:lang w:eastAsia="zh-TW"/>
        </w:rPr>
        <w:t>F30; G02; G15</w:t>
      </w:r>
    </w:p>
    <w:p w:rsidR="00271595" w:rsidRPr="00583BBF" w:rsidRDefault="00271595" w:rsidP="003F704D">
      <w:pPr>
        <w:spacing w:line="360" w:lineRule="auto"/>
        <w:rPr>
          <w:rFonts w:ascii="Garamond" w:hAnsi="Garamond"/>
          <w:lang w:eastAsia="zh-TW"/>
        </w:rPr>
      </w:pPr>
    </w:p>
    <w:p w:rsidR="00271595" w:rsidRDefault="00271595" w:rsidP="00271595">
      <w:pPr>
        <w:spacing w:line="360" w:lineRule="auto"/>
        <w:rPr>
          <w:rFonts w:ascii="Garamond" w:hAnsi="Garamond"/>
          <w:bCs/>
          <w:sz w:val="20"/>
          <w:szCs w:val="20"/>
          <w:lang w:eastAsia="zh-TW"/>
        </w:rPr>
      </w:pPr>
    </w:p>
    <w:p w:rsidR="00271595" w:rsidRDefault="00271595" w:rsidP="00271595">
      <w:pPr>
        <w:spacing w:line="360" w:lineRule="auto"/>
        <w:rPr>
          <w:rFonts w:ascii="Garamond" w:hAnsi="Garamond"/>
          <w:bCs/>
          <w:sz w:val="20"/>
          <w:szCs w:val="20"/>
          <w:lang w:eastAsia="zh-TW"/>
        </w:rPr>
      </w:pPr>
    </w:p>
    <w:p w:rsidR="00271595" w:rsidRDefault="00271595" w:rsidP="00271595">
      <w:pPr>
        <w:spacing w:line="360" w:lineRule="auto"/>
        <w:rPr>
          <w:rFonts w:ascii="Garamond" w:hAnsi="Garamond"/>
          <w:bCs/>
          <w:sz w:val="20"/>
          <w:szCs w:val="20"/>
          <w:lang w:eastAsia="zh-TW"/>
        </w:rPr>
      </w:pPr>
    </w:p>
    <w:p w:rsidR="00271595" w:rsidRDefault="00271595" w:rsidP="00271595">
      <w:pPr>
        <w:spacing w:line="360" w:lineRule="auto"/>
        <w:rPr>
          <w:rFonts w:ascii="Garamond" w:hAnsi="Garamond"/>
          <w:bCs/>
          <w:sz w:val="20"/>
          <w:szCs w:val="20"/>
          <w:lang w:eastAsia="zh-TW"/>
        </w:rPr>
      </w:pPr>
    </w:p>
    <w:p w:rsidR="00271595" w:rsidRPr="00271595" w:rsidRDefault="00271595" w:rsidP="00271595">
      <w:pPr>
        <w:spacing w:line="360" w:lineRule="auto"/>
        <w:rPr>
          <w:rFonts w:ascii="Garamond" w:hAnsi="Garamond"/>
          <w:bCs/>
          <w:sz w:val="20"/>
          <w:szCs w:val="20"/>
          <w:lang w:eastAsia="zh-TW"/>
        </w:rPr>
      </w:pPr>
      <w:r w:rsidRPr="00271595">
        <w:rPr>
          <w:rFonts w:ascii="Garamond" w:hAnsi="Garamond"/>
          <w:bCs/>
          <w:sz w:val="20"/>
          <w:szCs w:val="20"/>
          <w:lang w:eastAsia="zh-TW"/>
        </w:rPr>
        <w:t>1 Accountancy, Economics &amp; Finance, Heriot-Watt University, Edinburgh, EH144AS, UK.</w:t>
      </w:r>
    </w:p>
    <w:p w:rsidR="00271595" w:rsidRPr="00271595" w:rsidRDefault="00271595" w:rsidP="00271595">
      <w:pPr>
        <w:spacing w:line="360" w:lineRule="auto"/>
        <w:rPr>
          <w:rFonts w:ascii="Garamond" w:hAnsi="Garamond"/>
          <w:bCs/>
          <w:sz w:val="20"/>
          <w:szCs w:val="20"/>
          <w:lang w:eastAsia="zh-TW"/>
        </w:rPr>
      </w:pPr>
      <w:r w:rsidRPr="00271595">
        <w:rPr>
          <w:rFonts w:ascii="Garamond" w:hAnsi="Garamond"/>
          <w:bCs/>
          <w:sz w:val="20"/>
          <w:szCs w:val="20"/>
          <w:lang w:eastAsia="zh-TW"/>
        </w:rPr>
        <w:t>2 Centre for Digital Finance, Southampton Business School, University of Southampton, SO171BJ, UK</w:t>
      </w:r>
    </w:p>
    <w:p w:rsidR="003F704D" w:rsidRPr="00271595" w:rsidRDefault="00271595" w:rsidP="00271595">
      <w:pPr>
        <w:spacing w:line="360" w:lineRule="auto"/>
        <w:rPr>
          <w:rFonts w:ascii="Garamond" w:hAnsi="Garamond"/>
          <w:bCs/>
          <w:sz w:val="20"/>
          <w:szCs w:val="20"/>
          <w:lang w:eastAsia="zh-TW"/>
        </w:rPr>
      </w:pPr>
      <w:r w:rsidRPr="00271595">
        <w:rPr>
          <w:rFonts w:ascii="Garamond" w:hAnsi="Garamond"/>
          <w:bCs/>
          <w:sz w:val="20"/>
          <w:szCs w:val="20"/>
          <w:lang w:eastAsia="zh-TW"/>
        </w:rPr>
        <w:t>* Corresponding A.J.Urquhart@soton.ac.uk</w:t>
      </w:r>
    </w:p>
    <w:p w:rsidR="00DB7C00" w:rsidRPr="00583BBF" w:rsidRDefault="00027CBE" w:rsidP="002F33FA">
      <w:pPr>
        <w:pageBreakBefore/>
        <w:spacing w:line="480" w:lineRule="auto"/>
        <w:jc w:val="both"/>
        <w:outlineLvl w:val="0"/>
        <w:rPr>
          <w:rFonts w:ascii="Garamond" w:hAnsi="Garamond"/>
          <w:b/>
        </w:rPr>
      </w:pPr>
      <w:r w:rsidRPr="00583BBF">
        <w:rPr>
          <w:rFonts w:ascii="Garamond" w:hAnsi="Garamond"/>
          <w:b/>
        </w:rPr>
        <w:lastRenderedPageBreak/>
        <w:t xml:space="preserve">1. </w:t>
      </w:r>
      <w:r w:rsidR="002E07DB" w:rsidRPr="00583BBF">
        <w:rPr>
          <w:rFonts w:ascii="Garamond" w:hAnsi="Garamond"/>
          <w:b/>
        </w:rPr>
        <w:t>Introduction</w:t>
      </w:r>
    </w:p>
    <w:p w:rsidR="003F704D" w:rsidRPr="00583BBF" w:rsidRDefault="003F704D" w:rsidP="00975A17">
      <w:pPr>
        <w:spacing w:line="480" w:lineRule="auto"/>
        <w:jc w:val="both"/>
        <w:rPr>
          <w:rFonts w:ascii="Garamond" w:hAnsi="Garamond"/>
          <w:lang w:eastAsia="zh-TW"/>
        </w:rPr>
      </w:pPr>
    </w:p>
    <w:p w:rsidR="00E221DE" w:rsidRDefault="00E278E9" w:rsidP="00940205">
      <w:pPr>
        <w:spacing w:line="480" w:lineRule="auto"/>
        <w:jc w:val="both"/>
        <w:rPr>
          <w:rFonts w:ascii="Garamond" w:hAnsi="Garamond"/>
        </w:rPr>
      </w:pPr>
      <w:r w:rsidRPr="00583BBF">
        <w:rPr>
          <w:rFonts w:ascii="Garamond" w:hAnsi="Garamond"/>
        </w:rPr>
        <w:t>Bitcoin</w:t>
      </w:r>
      <w:r w:rsidR="00703E23" w:rsidRPr="00583BBF">
        <w:rPr>
          <w:rFonts w:ascii="Garamond" w:hAnsi="Garamond"/>
        </w:rPr>
        <w:t xml:space="preserve"> is a cryptocurrency which has received a lot of </w:t>
      </w:r>
      <w:r w:rsidR="007772FF">
        <w:rPr>
          <w:rFonts w:ascii="Garamond" w:hAnsi="Garamond"/>
        </w:rPr>
        <w:t xml:space="preserve">publicity </w:t>
      </w:r>
      <w:r w:rsidR="00703E23" w:rsidRPr="00583BBF">
        <w:rPr>
          <w:rFonts w:ascii="Garamond" w:hAnsi="Garamond"/>
        </w:rPr>
        <w:t xml:space="preserve">given its innovative features, simplicity, transparency, and its increasing use.  </w:t>
      </w:r>
      <w:r w:rsidRPr="00583BBF">
        <w:rPr>
          <w:rFonts w:ascii="Garamond" w:hAnsi="Garamond"/>
        </w:rPr>
        <w:t>Bitcoin</w:t>
      </w:r>
      <w:r w:rsidR="00703E23" w:rsidRPr="00583BBF">
        <w:rPr>
          <w:rFonts w:ascii="Garamond" w:hAnsi="Garamond"/>
        </w:rPr>
        <w:t xml:space="preserve"> was first outlined in a paper by Nakamoto (2008) and since first going online in 2009, has grown dramatically with the </w:t>
      </w:r>
      <w:r w:rsidRPr="00583BBF">
        <w:rPr>
          <w:rFonts w:ascii="Garamond" w:hAnsi="Garamond"/>
        </w:rPr>
        <w:t>Bitcoin</w:t>
      </w:r>
      <w:r w:rsidR="00703E23" w:rsidRPr="00583BBF">
        <w:rPr>
          <w:rFonts w:ascii="Garamond" w:hAnsi="Garamond"/>
        </w:rPr>
        <w:t xml:space="preserve"> user base becoming increasingly global and diversified, as are the currency exchanges. </w:t>
      </w:r>
      <w:r w:rsidR="00346F15" w:rsidRPr="00583BBF">
        <w:rPr>
          <w:rFonts w:ascii="Garamond" w:hAnsi="Garamond"/>
        </w:rPr>
        <w:t xml:space="preserve"> The </w:t>
      </w:r>
      <w:r w:rsidRPr="00583BBF">
        <w:rPr>
          <w:rFonts w:ascii="Garamond" w:hAnsi="Garamond"/>
        </w:rPr>
        <w:t>Bitcoin</w:t>
      </w:r>
      <w:r w:rsidR="00346F15" w:rsidRPr="00583BBF">
        <w:rPr>
          <w:rFonts w:ascii="Garamond" w:hAnsi="Garamond"/>
        </w:rPr>
        <w:t xml:space="preserve"> protocol sends and receives payment information by directly linking individuals who wish to exchange funds without having to involve a third party.  Individuals who participa</w:t>
      </w:r>
      <w:r w:rsidR="00890B7E" w:rsidRPr="00583BBF">
        <w:rPr>
          <w:rFonts w:ascii="Garamond" w:hAnsi="Garamond"/>
        </w:rPr>
        <w:t>te</w:t>
      </w:r>
      <w:r w:rsidR="00346F15" w:rsidRPr="00583BBF">
        <w:rPr>
          <w:rFonts w:ascii="Garamond" w:hAnsi="Garamond"/>
        </w:rPr>
        <w:t xml:space="preserve"> in transactions are anonymous users assigned a public key as an identity and timestamp</w:t>
      </w:r>
      <w:r w:rsidR="00A1610F">
        <w:rPr>
          <w:rFonts w:ascii="Garamond" w:hAnsi="Garamond"/>
        </w:rPr>
        <w:t>ed</w:t>
      </w:r>
      <w:r w:rsidR="00346F15" w:rsidRPr="00583BBF">
        <w:rPr>
          <w:rFonts w:ascii="Garamond" w:hAnsi="Garamond"/>
        </w:rPr>
        <w:t xml:space="preserve"> transactions enabling records to be secure and unchangeable.  This method has been seen as superior to transactions involving a third party as costs, such as transaction costs, are removed and trust is replaced by a cryptographic proof which is </w:t>
      </w:r>
      <w:r w:rsidR="00890B7E" w:rsidRPr="00583BBF">
        <w:rPr>
          <w:rFonts w:ascii="Garamond" w:hAnsi="Garamond"/>
        </w:rPr>
        <w:t>the</w:t>
      </w:r>
      <w:r w:rsidR="00346F15" w:rsidRPr="00583BBF">
        <w:rPr>
          <w:rFonts w:ascii="Garamond" w:hAnsi="Garamond"/>
        </w:rPr>
        <w:t xml:space="preserve"> chronological timestamp.  Therefore the two parties involve</w:t>
      </w:r>
      <w:r w:rsidR="00384522" w:rsidRPr="00583BBF">
        <w:rPr>
          <w:rFonts w:ascii="Garamond" w:hAnsi="Garamond"/>
        </w:rPr>
        <w:t>d</w:t>
      </w:r>
      <w:r w:rsidR="00346F15" w:rsidRPr="00583BBF">
        <w:rPr>
          <w:rFonts w:ascii="Garamond" w:hAnsi="Garamond"/>
        </w:rPr>
        <w:t xml:space="preserve"> in the exchange need not know each other and the security of the transaction is not dependent on the trust provided by a third party executing the exchange.</w:t>
      </w:r>
      <w:r w:rsidR="00262C42" w:rsidRPr="00583BBF">
        <w:rPr>
          <w:rStyle w:val="FootnoteReference"/>
          <w:rFonts w:ascii="Garamond" w:hAnsi="Garamond"/>
        </w:rPr>
        <w:footnoteReference w:id="1"/>
      </w:r>
      <w:r w:rsidR="00262C42" w:rsidRPr="00583BBF">
        <w:rPr>
          <w:rFonts w:ascii="Garamond" w:hAnsi="Garamond"/>
        </w:rPr>
        <w:t xml:space="preserve">   Unlike fiat currencies that trust the central bank to guarantee the value of the money, with Bitcoin the trust is </w:t>
      </w:r>
      <w:r w:rsidR="00890B7E" w:rsidRPr="00583BBF">
        <w:rPr>
          <w:rFonts w:ascii="Garamond" w:hAnsi="Garamond"/>
        </w:rPr>
        <w:t>that</w:t>
      </w:r>
      <w:r w:rsidR="00262C42" w:rsidRPr="00583BBF">
        <w:rPr>
          <w:rFonts w:ascii="Garamond" w:hAnsi="Garamond"/>
        </w:rPr>
        <w:t xml:space="preserve"> the cryptographic proofs provided by the network are correct.  Given the recent financial crisis and the bailouts of some European countries</w:t>
      </w:r>
      <w:r w:rsidR="00890B7E" w:rsidRPr="00583BBF">
        <w:rPr>
          <w:rFonts w:ascii="Garamond" w:hAnsi="Garamond"/>
        </w:rPr>
        <w:t xml:space="preserve"> and their banks</w:t>
      </w:r>
      <w:r w:rsidR="00262C42" w:rsidRPr="00583BBF">
        <w:rPr>
          <w:rFonts w:ascii="Garamond" w:hAnsi="Garamond"/>
        </w:rPr>
        <w:t>, trust in central banks has diminished and Bitcoin has gained a lot of publicity and surged in value</w:t>
      </w:r>
      <w:r w:rsidR="00384522" w:rsidRPr="00583BBF">
        <w:rPr>
          <w:rFonts w:ascii="Garamond" w:hAnsi="Garamond"/>
        </w:rPr>
        <w:t xml:space="preserve"> with Bitcoin </w:t>
      </w:r>
      <w:r w:rsidR="00496951" w:rsidRPr="00583BBF">
        <w:rPr>
          <w:rFonts w:ascii="Garamond" w:hAnsi="Garamond"/>
        </w:rPr>
        <w:t xml:space="preserve">price increasing by over </w:t>
      </w:r>
      <w:r w:rsidR="0081619D" w:rsidRPr="00583BBF">
        <w:rPr>
          <w:rFonts w:ascii="Garamond" w:hAnsi="Garamond"/>
        </w:rPr>
        <w:t>21,000</w:t>
      </w:r>
      <w:r w:rsidR="00496951" w:rsidRPr="00583BBF">
        <w:rPr>
          <w:rFonts w:ascii="Garamond" w:hAnsi="Garamond"/>
        </w:rPr>
        <w:t xml:space="preserve">% between </w:t>
      </w:r>
      <w:r w:rsidR="0081619D" w:rsidRPr="00583BBF">
        <w:rPr>
          <w:rFonts w:ascii="Garamond" w:hAnsi="Garamond"/>
        </w:rPr>
        <w:t>January</w:t>
      </w:r>
      <w:r w:rsidR="00496951" w:rsidRPr="00583BBF">
        <w:rPr>
          <w:rFonts w:ascii="Garamond" w:hAnsi="Garamond"/>
        </w:rPr>
        <w:t xml:space="preserve"> 201</w:t>
      </w:r>
      <w:r w:rsidR="0081619D" w:rsidRPr="00583BBF">
        <w:rPr>
          <w:rFonts w:ascii="Garamond" w:hAnsi="Garamond"/>
        </w:rPr>
        <w:t>2</w:t>
      </w:r>
      <w:r w:rsidR="00496951" w:rsidRPr="00583BBF">
        <w:rPr>
          <w:rFonts w:ascii="Garamond" w:hAnsi="Garamond"/>
        </w:rPr>
        <w:t xml:space="preserve"> and </w:t>
      </w:r>
      <w:r w:rsidR="0081619D" w:rsidRPr="00583BBF">
        <w:rPr>
          <w:rFonts w:ascii="Garamond" w:hAnsi="Garamond"/>
        </w:rPr>
        <w:t>March 2017</w:t>
      </w:r>
      <w:r w:rsidR="00262C42" w:rsidRPr="00583BBF">
        <w:rPr>
          <w:rFonts w:ascii="Garamond" w:hAnsi="Garamond"/>
        </w:rPr>
        <w:t xml:space="preserve">.  However, Bitcoin is traded on many exchanges and regulatory issues still influence the Bitcoin exchange rate meaning that different exchanges offer different prices for Bitcoin.  </w:t>
      </w:r>
    </w:p>
    <w:p w:rsidR="009E5408" w:rsidRDefault="009E5408" w:rsidP="00940205">
      <w:pPr>
        <w:spacing w:line="480" w:lineRule="auto"/>
        <w:jc w:val="both"/>
        <w:rPr>
          <w:rFonts w:ascii="Garamond" w:hAnsi="Garamond"/>
        </w:rPr>
      </w:pPr>
    </w:p>
    <w:p w:rsidR="005609EA" w:rsidRDefault="009E5408" w:rsidP="00F71FCB">
      <w:pPr>
        <w:spacing w:line="480" w:lineRule="auto"/>
        <w:jc w:val="both"/>
        <w:rPr>
          <w:rFonts w:ascii="Garamond" w:hAnsi="Garamond"/>
          <w:lang w:eastAsia="zh-TW"/>
        </w:rPr>
      </w:pPr>
      <w:r>
        <w:rPr>
          <w:rFonts w:ascii="Garamond" w:hAnsi="Garamond"/>
        </w:rPr>
        <w:t>Although the literature of Bitcoin is growing</w:t>
      </w:r>
      <w:r>
        <w:rPr>
          <w:rStyle w:val="FootnoteReference"/>
          <w:rFonts w:ascii="Garamond" w:hAnsi="Garamond"/>
        </w:rPr>
        <w:footnoteReference w:id="2"/>
      </w:r>
      <w:r>
        <w:rPr>
          <w:rFonts w:ascii="Garamond" w:hAnsi="Garamond"/>
        </w:rPr>
        <w:t>, there lacks a complete understanding of its intraday dynamics.</w:t>
      </w:r>
      <w:r>
        <w:rPr>
          <w:rFonts w:ascii="Garamond" w:hAnsi="Garamond"/>
          <w:lang w:eastAsia="zh-TW"/>
        </w:rPr>
        <w:t xml:space="preserve">  </w:t>
      </w:r>
      <w:r w:rsidR="00E278E9" w:rsidRPr="00583BBF">
        <w:rPr>
          <w:rFonts w:ascii="Garamond" w:hAnsi="Garamond"/>
          <w:lang w:eastAsia="zh-TW"/>
        </w:rPr>
        <w:t>We add</w:t>
      </w:r>
      <w:r w:rsidR="001B560E" w:rsidRPr="00583BBF">
        <w:rPr>
          <w:rFonts w:ascii="Garamond" w:hAnsi="Garamond"/>
          <w:lang w:eastAsia="zh-TW"/>
        </w:rPr>
        <w:t xml:space="preserve"> to the growing literature on Bitcoin by examining the intraday dynamics </w:t>
      </w:r>
      <w:r w:rsidR="00940205">
        <w:rPr>
          <w:rFonts w:ascii="Garamond" w:hAnsi="Garamond"/>
          <w:lang w:eastAsia="zh-TW"/>
        </w:rPr>
        <w:t xml:space="preserve">(if any) </w:t>
      </w:r>
      <w:r w:rsidR="001B560E" w:rsidRPr="00583BBF">
        <w:rPr>
          <w:rFonts w:ascii="Garamond" w:hAnsi="Garamond"/>
          <w:lang w:eastAsia="zh-TW"/>
        </w:rPr>
        <w:lastRenderedPageBreak/>
        <w:t xml:space="preserve">of </w:t>
      </w:r>
      <w:r w:rsidR="00EC5917">
        <w:rPr>
          <w:rFonts w:ascii="Garamond" w:hAnsi="Garamond"/>
          <w:lang w:eastAsia="zh-TW"/>
        </w:rPr>
        <w:t xml:space="preserve">one of </w:t>
      </w:r>
      <w:r w:rsidR="00780307" w:rsidRPr="00583BBF">
        <w:rPr>
          <w:rFonts w:ascii="Garamond" w:hAnsi="Garamond"/>
          <w:lang w:eastAsia="zh-TW"/>
        </w:rPr>
        <w:t>the</w:t>
      </w:r>
      <w:r w:rsidR="001B560E" w:rsidRPr="00583BBF">
        <w:rPr>
          <w:rFonts w:ascii="Garamond" w:hAnsi="Garamond"/>
          <w:lang w:eastAsia="zh-TW"/>
        </w:rPr>
        <w:t xml:space="preserve"> </w:t>
      </w:r>
      <w:r w:rsidR="00780307" w:rsidRPr="00583BBF">
        <w:rPr>
          <w:rFonts w:ascii="Garamond" w:hAnsi="Garamond"/>
          <w:lang w:eastAsia="zh-TW"/>
        </w:rPr>
        <w:t>most popular Bitcoin exchange</w:t>
      </w:r>
      <w:r w:rsidR="00A1610F">
        <w:rPr>
          <w:rFonts w:ascii="Garamond" w:hAnsi="Garamond"/>
          <w:lang w:eastAsia="zh-TW"/>
        </w:rPr>
        <w:t>s</w:t>
      </w:r>
      <w:r w:rsidR="00780307" w:rsidRPr="00583BBF">
        <w:rPr>
          <w:rFonts w:ascii="Garamond" w:hAnsi="Garamond"/>
          <w:lang w:eastAsia="zh-TW"/>
        </w:rPr>
        <w:t xml:space="preserve">, </w:t>
      </w:r>
      <w:r w:rsidR="00EC5917">
        <w:rPr>
          <w:rFonts w:ascii="Garamond" w:hAnsi="Garamond"/>
          <w:lang w:eastAsia="zh-TW"/>
        </w:rPr>
        <w:t>Bitstamp</w:t>
      </w:r>
      <w:r w:rsidR="001B560E" w:rsidRPr="00583BBF">
        <w:rPr>
          <w:rFonts w:ascii="Garamond" w:hAnsi="Garamond"/>
          <w:lang w:eastAsia="zh-TW"/>
        </w:rPr>
        <w:t xml:space="preserve">.  </w:t>
      </w:r>
      <w:r w:rsidR="009318C7">
        <w:rPr>
          <w:rFonts w:ascii="Garamond" w:hAnsi="Garamond"/>
          <w:lang w:eastAsia="zh-TW"/>
        </w:rPr>
        <w:t>Any intraday stylized facts are</w:t>
      </w:r>
      <w:r w:rsidR="00940205">
        <w:rPr>
          <w:rFonts w:ascii="Garamond" w:hAnsi="Garamond"/>
          <w:lang w:eastAsia="zh-TW"/>
        </w:rPr>
        <w:t xml:space="preserve"> very important and may be useful for investors if there is excess liquidity, trading volume or volatility during certain periods of the day.  This also have consequences for other cryptocurrency markets and international financial markets</w:t>
      </w:r>
      <w:r w:rsidR="009318C7">
        <w:rPr>
          <w:rFonts w:ascii="Garamond" w:hAnsi="Garamond"/>
          <w:lang w:eastAsia="zh-TW"/>
        </w:rPr>
        <w:t xml:space="preserve"> and may be of interest to regulators, especially with regards to the price manipulation of Bitcoin recently documented in the literature (Gandal et al 2018) </w:t>
      </w:r>
      <w:r w:rsidR="00940205">
        <w:rPr>
          <w:rFonts w:ascii="Garamond" w:hAnsi="Garamond"/>
          <w:lang w:eastAsia="zh-TW"/>
        </w:rPr>
        <w:t xml:space="preserve">.  </w:t>
      </w:r>
      <w:r w:rsidR="009318C7">
        <w:rPr>
          <w:rFonts w:ascii="Garamond" w:hAnsi="Garamond"/>
          <w:lang w:eastAsia="zh-TW"/>
        </w:rPr>
        <w:t>Specially, w</w:t>
      </w:r>
      <w:r w:rsidR="0081619D" w:rsidRPr="00583BBF">
        <w:rPr>
          <w:rFonts w:ascii="Garamond" w:hAnsi="Garamond"/>
          <w:lang w:eastAsia="zh-TW"/>
        </w:rPr>
        <w:t>e collect GMT-</w:t>
      </w:r>
      <w:r w:rsidR="00EC5917">
        <w:rPr>
          <w:rFonts w:ascii="Garamond" w:hAnsi="Garamond"/>
          <w:lang w:eastAsia="zh-TW"/>
        </w:rPr>
        <w:t>time</w:t>
      </w:r>
      <w:r w:rsidR="0081619D" w:rsidRPr="00583BBF">
        <w:rPr>
          <w:rFonts w:ascii="Garamond" w:hAnsi="Garamond"/>
          <w:lang w:eastAsia="zh-TW"/>
        </w:rPr>
        <w:t xml:space="preserve">stamped tick data and aggregate it to the 5-minutely frequency to examine </w:t>
      </w:r>
      <w:r w:rsidR="001B560E" w:rsidRPr="00583BBF">
        <w:rPr>
          <w:rFonts w:ascii="Garamond" w:hAnsi="Garamond"/>
          <w:lang w:eastAsia="zh-TW"/>
        </w:rPr>
        <w:t>intraday stylized facts of Bitcoin as well as the lead-lag relationship between returns, volume</w:t>
      </w:r>
      <w:r w:rsidR="00780307" w:rsidRPr="00583BBF">
        <w:rPr>
          <w:rFonts w:ascii="Garamond" w:hAnsi="Garamond"/>
          <w:lang w:eastAsia="zh-TW"/>
        </w:rPr>
        <w:t xml:space="preserve">, </w:t>
      </w:r>
      <w:r w:rsidR="001B560E" w:rsidRPr="00583BBF">
        <w:rPr>
          <w:rFonts w:ascii="Garamond" w:hAnsi="Garamond"/>
          <w:lang w:eastAsia="zh-TW"/>
        </w:rPr>
        <w:t>volatility</w:t>
      </w:r>
      <w:r w:rsidR="00EC5917">
        <w:rPr>
          <w:rFonts w:ascii="Garamond" w:hAnsi="Garamond"/>
          <w:lang w:eastAsia="zh-TW"/>
        </w:rPr>
        <w:t xml:space="preserve"> and liquidity</w:t>
      </w:r>
      <w:r w:rsidR="001B560E" w:rsidRPr="00583BBF">
        <w:rPr>
          <w:rFonts w:ascii="Garamond" w:hAnsi="Garamond"/>
          <w:lang w:eastAsia="zh-TW"/>
        </w:rPr>
        <w:t xml:space="preserve"> of Bitcoin. </w:t>
      </w:r>
      <w:r w:rsidR="00262C42" w:rsidRPr="00583BBF">
        <w:rPr>
          <w:rFonts w:ascii="Garamond" w:hAnsi="Garamond"/>
          <w:lang w:eastAsia="zh-TW"/>
        </w:rPr>
        <w:t>Therefore we contribute to the literature in the following ways</w:t>
      </w:r>
      <w:r w:rsidR="00C1712B" w:rsidRPr="00583BBF">
        <w:rPr>
          <w:rFonts w:ascii="Garamond" w:hAnsi="Garamond"/>
        </w:rPr>
        <w:t xml:space="preserve">.  Firstly, we add to the growing literature on </w:t>
      </w:r>
      <w:r w:rsidR="00E278E9" w:rsidRPr="00583BBF">
        <w:rPr>
          <w:rFonts w:ascii="Garamond" w:hAnsi="Garamond"/>
        </w:rPr>
        <w:t>Bitcoin</w:t>
      </w:r>
      <w:r w:rsidR="00C1712B" w:rsidRPr="00583BBF">
        <w:rPr>
          <w:rFonts w:ascii="Garamond" w:hAnsi="Garamond"/>
        </w:rPr>
        <w:t xml:space="preserve"> by </w:t>
      </w:r>
      <w:r w:rsidR="00324133" w:rsidRPr="00583BBF">
        <w:rPr>
          <w:rFonts w:ascii="Garamond" w:hAnsi="Garamond"/>
        </w:rPr>
        <w:t>examining</w:t>
      </w:r>
      <w:r w:rsidR="00C1712B" w:rsidRPr="00583BBF">
        <w:rPr>
          <w:rFonts w:ascii="Garamond" w:hAnsi="Garamond"/>
        </w:rPr>
        <w:t xml:space="preserve"> the intraday seasonality of </w:t>
      </w:r>
      <w:r w:rsidR="00E278E9" w:rsidRPr="00583BBF">
        <w:rPr>
          <w:rFonts w:ascii="Garamond" w:hAnsi="Garamond"/>
        </w:rPr>
        <w:t>Bitcoin</w:t>
      </w:r>
      <w:r w:rsidR="00C1712B" w:rsidRPr="00583BBF">
        <w:rPr>
          <w:rFonts w:ascii="Garamond" w:hAnsi="Garamond"/>
        </w:rPr>
        <w:t>, which is of high importance to investors</w:t>
      </w:r>
      <w:r w:rsidR="00496951" w:rsidRPr="00583BBF">
        <w:rPr>
          <w:rFonts w:ascii="Garamond" w:hAnsi="Garamond"/>
        </w:rPr>
        <w:t xml:space="preserve"> and regulators alike</w:t>
      </w:r>
      <w:r w:rsidR="00C1712B" w:rsidRPr="00583BBF">
        <w:rPr>
          <w:rFonts w:ascii="Garamond" w:hAnsi="Garamond"/>
        </w:rPr>
        <w:t xml:space="preserve">.  Given the increase in media coverage and trading volume of </w:t>
      </w:r>
      <w:r w:rsidR="00E278E9" w:rsidRPr="00583BBF">
        <w:rPr>
          <w:rFonts w:ascii="Garamond" w:hAnsi="Garamond"/>
        </w:rPr>
        <w:t>Bitcoin</w:t>
      </w:r>
      <w:r w:rsidR="00C1712B" w:rsidRPr="00583BBF">
        <w:rPr>
          <w:rFonts w:ascii="Garamond" w:hAnsi="Garamond"/>
        </w:rPr>
        <w:t>, an analysis of its i</w:t>
      </w:r>
      <w:r w:rsidR="001F428A" w:rsidRPr="00583BBF">
        <w:rPr>
          <w:rFonts w:ascii="Garamond" w:hAnsi="Garamond"/>
        </w:rPr>
        <w:t>ntraday behaviour is required</w:t>
      </w:r>
      <w:r w:rsidR="00496951" w:rsidRPr="00583BBF">
        <w:rPr>
          <w:rFonts w:ascii="Garamond" w:hAnsi="Garamond"/>
        </w:rPr>
        <w:t xml:space="preserve">.  </w:t>
      </w:r>
      <w:r w:rsidR="001F428A" w:rsidRPr="00583BBF">
        <w:rPr>
          <w:rFonts w:ascii="Garamond" w:hAnsi="Garamond"/>
        </w:rPr>
        <w:t>Secondly</w:t>
      </w:r>
      <w:r w:rsidR="00496951" w:rsidRPr="00583BBF">
        <w:rPr>
          <w:rFonts w:ascii="Garamond" w:hAnsi="Garamond"/>
        </w:rPr>
        <w:t xml:space="preserve">, </w:t>
      </w:r>
      <w:r w:rsidR="00324133" w:rsidRPr="00583BBF">
        <w:rPr>
          <w:rFonts w:ascii="Garamond" w:hAnsi="Garamond"/>
        </w:rPr>
        <w:t xml:space="preserve">we examine the lead-lag relationship between intraday </w:t>
      </w:r>
      <w:r w:rsidR="00496951" w:rsidRPr="00583BBF">
        <w:rPr>
          <w:rFonts w:ascii="Garamond" w:hAnsi="Garamond"/>
        </w:rPr>
        <w:t>returns, volume</w:t>
      </w:r>
      <w:r w:rsidR="00504221">
        <w:rPr>
          <w:rFonts w:ascii="Garamond" w:hAnsi="Garamond"/>
        </w:rPr>
        <w:t>, liquidity</w:t>
      </w:r>
      <w:r w:rsidR="00496951" w:rsidRPr="00583BBF">
        <w:rPr>
          <w:rFonts w:ascii="Garamond" w:hAnsi="Garamond"/>
        </w:rPr>
        <w:t xml:space="preserve"> and volatility </w:t>
      </w:r>
      <w:r w:rsidR="00324133" w:rsidRPr="00583BBF">
        <w:rPr>
          <w:rFonts w:ascii="Garamond" w:hAnsi="Garamond"/>
        </w:rPr>
        <w:t xml:space="preserve">of </w:t>
      </w:r>
      <w:r w:rsidR="00A1610F">
        <w:rPr>
          <w:rFonts w:ascii="Garamond" w:hAnsi="Garamond"/>
        </w:rPr>
        <w:t>the Bitstamp exchange t</w:t>
      </w:r>
      <w:r w:rsidR="00324133" w:rsidRPr="00583BBF">
        <w:rPr>
          <w:rFonts w:ascii="Garamond" w:hAnsi="Garamond"/>
        </w:rPr>
        <w:t xml:space="preserve">o determine </w:t>
      </w:r>
      <w:r w:rsidR="00496951" w:rsidRPr="00583BBF">
        <w:rPr>
          <w:rFonts w:ascii="Garamond" w:hAnsi="Garamond"/>
        </w:rPr>
        <w:t>the relationship between the intraday variables</w:t>
      </w:r>
      <w:r w:rsidR="00324133" w:rsidRPr="00583BBF">
        <w:rPr>
          <w:rFonts w:ascii="Garamond" w:hAnsi="Garamond"/>
        </w:rPr>
        <w:t xml:space="preserve">.  </w:t>
      </w:r>
      <w:r w:rsidR="001F428A" w:rsidRPr="00583BBF">
        <w:rPr>
          <w:rFonts w:ascii="Garamond" w:hAnsi="Garamond"/>
        </w:rPr>
        <w:t xml:space="preserve">The relationships between these variables have been examined in some detail in the literature of equities, currencies and commodities, but this is the first on Bitcoin.  </w:t>
      </w:r>
      <w:r w:rsidR="006B3ACD">
        <w:rPr>
          <w:rFonts w:ascii="Garamond" w:hAnsi="Garamond"/>
        </w:rPr>
        <w:t xml:space="preserve">These intraday dynamics can have huge implications on intraday traders, such as the intraday time-series momentum found in ETFs by Gao et al (2018).  If traders know that there is intraday seasonality in in returns, volume, liquidity or volatility, they may be able to take advantage.  </w:t>
      </w:r>
      <w:r w:rsidR="001F428A" w:rsidRPr="00583BBF">
        <w:rPr>
          <w:rFonts w:ascii="Garamond" w:hAnsi="Garamond"/>
        </w:rPr>
        <w:t>Thirdly</w:t>
      </w:r>
      <w:r w:rsidR="00324133" w:rsidRPr="00583BBF">
        <w:rPr>
          <w:rFonts w:ascii="Garamond" w:hAnsi="Garamond"/>
        </w:rPr>
        <w:t xml:space="preserve">, we study the Granger causality between the intraday </w:t>
      </w:r>
      <w:r w:rsidR="00E278E9" w:rsidRPr="00583BBF">
        <w:rPr>
          <w:rFonts w:ascii="Garamond" w:hAnsi="Garamond"/>
        </w:rPr>
        <w:t>Bitcoin</w:t>
      </w:r>
      <w:r w:rsidR="00324133" w:rsidRPr="00583BBF">
        <w:rPr>
          <w:rFonts w:ascii="Garamond" w:hAnsi="Garamond"/>
        </w:rPr>
        <w:t xml:space="preserve"> variables to examine the direction of any Granger causality between the intraday variables of </w:t>
      </w:r>
      <w:r w:rsidR="00E278E9" w:rsidRPr="00583BBF">
        <w:rPr>
          <w:rFonts w:ascii="Garamond" w:hAnsi="Garamond"/>
        </w:rPr>
        <w:t>Bitcoin</w:t>
      </w:r>
      <w:r w:rsidR="00324133" w:rsidRPr="00583BBF">
        <w:rPr>
          <w:rFonts w:ascii="Garamond" w:hAnsi="Garamond"/>
        </w:rPr>
        <w:t>.</w:t>
      </w:r>
      <w:r w:rsidR="009318C7">
        <w:rPr>
          <w:rFonts w:ascii="Garamond" w:hAnsi="Garamond"/>
        </w:rPr>
        <w:t xml:space="preserve"> Fourthly, we also show how the intraday variables evolve over time, which is of special interest since the behaviour of Bitcoin is ever-changing</w:t>
      </w:r>
      <w:r w:rsidR="00C679CF">
        <w:rPr>
          <w:rFonts w:ascii="Garamond" w:hAnsi="Garamond"/>
        </w:rPr>
        <w:t>.</w:t>
      </w:r>
    </w:p>
    <w:p w:rsidR="001E4914" w:rsidRPr="00583BBF" w:rsidRDefault="001E4914" w:rsidP="00F71FCB">
      <w:pPr>
        <w:spacing w:line="480" w:lineRule="auto"/>
        <w:jc w:val="both"/>
        <w:rPr>
          <w:rFonts w:ascii="Garamond" w:hAnsi="Garamond"/>
        </w:rPr>
      </w:pPr>
    </w:p>
    <w:p w:rsidR="002E07DB" w:rsidRPr="00583BBF" w:rsidRDefault="00324133" w:rsidP="00975A17">
      <w:pPr>
        <w:spacing w:line="480" w:lineRule="auto"/>
        <w:jc w:val="both"/>
        <w:rPr>
          <w:rFonts w:ascii="Garamond" w:hAnsi="Garamond"/>
          <w:b/>
        </w:rPr>
      </w:pPr>
      <w:r w:rsidRPr="00583BBF">
        <w:rPr>
          <w:rFonts w:ascii="Garamond" w:hAnsi="Garamond"/>
        </w:rPr>
        <w:t>The rest of the paper is or</w:t>
      </w:r>
      <w:r w:rsidR="007F67B6">
        <w:rPr>
          <w:rFonts w:ascii="Garamond" w:hAnsi="Garamond"/>
        </w:rPr>
        <w:t xml:space="preserve">ganized as follows.  Section 2 </w:t>
      </w:r>
      <w:r w:rsidR="009E5408">
        <w:rPr>
          <w:rFonts w:ascii="Garamond" w:hAnsi="Garamond"/>
        </w:rPr>
        <w:t xml:space="preserve">presents a review of the literature of cryptocurrencies and intraday dynamics, while Section 3 </w:t>
      </w:r>
      <w:r w:rsidR="007F67B6">
        <w:rPr>
          <w:rFonts w:ascii="Garamond" w:hAnsi="Garamond"/>
        </w:rPr>
        <w:t xml:space="preserve">presents the data and </w:t>
      </w:r>
      <w:r w:rsidRPr="00583BBF">
        <w:rPr>
          <w:rFonts w:ascii="Garamond" w:hAnsi="Garamond"/>
        </w:rPr>
        <w:t>methodology employed in this paper</w:t>
      </w:r>
      <w:r w:rsidR="009E5408">
        <w:rPr>
          <w:rFonts w:ascii="Garamond" w:hAnsi="Garamond"/>
        </w:rPr>
        <w:t>.</w:t>
      </w:r>
      <w:r w:rsidRPr="00583BBF">
        <w:rPr>
          <w:rFonts w:ascii="Garamond" w:hAnsi="Garamond"/>
        </w:rPr>
        <w:t xml:space="preserve"> Section </w:t>
      </w:r>
      <w:r w:rsidR="009E5408">
        <w:rPr>
          <w:rFonts w:ascii="Garamond" w:hAnsi="Garamond"/>
        </w:rPr>
        <w:t>4</w:t>
      </w:r>
      <w:r w:rsidRPr="00583BBF">
        <w:rPr>
          <w:rFonts w:ascii="Garamond" w:hAnsi="Garamond"/>
        </w:rPr>
        <w:t xml:space="preserve"> </w:t>
      </w:r>
      <w:r w:rsidR="007F67B6">
        <w:rPr>
          <w:rFonts w:ascii="Garamond" w:hAnsi="Garamond"/>
        </w:rPr>
        <w:t>presents and discuss</w:t>
      </w:r>
      <w:r w:rsidR="009E5408">
        <w:rPr>
          <w:rFonts w:ascii="Garamond" w:hAnsi="Garamond"/>
        </w:rPr>
        <w:t>es</w:t>
      </w:r>
      <w:r w:rsidR="007F67B6">
        <w:rPr>
          <w:rFonts w:ascii="Garamond" w:hAnsi="Garamond"/>
        </w:rPr>
        <w:t xml:space="preserve"> the empirical results</w:t>
      </w:r>
      <w:r w:rsidR="009E5408">
        <w:rPr>
          <w:rFonts w:ascii="Garamond" w:hAnsi="Garamond"/>
        </w:rPr>
        <w:t xml:space="preserve"> while</w:t>
      </w:r>
      <w:r w:rsidR="007F67B6">
        <w:rPr>
          <w:rFonts w:ascii="Garamond" w:hAnsi="Garamond"/>
        </w:rPr>
        <w:t xml:space="preserve"> Section </w:t>
      </w:r>
      <w:r w:rsidR="009E5408">
        <w:rPr>
          <w:rFonts w:ascii="Garamond" w:hAnsi="Garamond"/>
        </w:rPr>
        <w:t>5</w:t>
      </w:r>
      <w:r w:rsidR="007F67B6">
        <w:rPr>
          <w:rFonts w:ascii="Garamond" w:hAnsi="Garamond"/>
        </w:rPr>
        <w:t xml:space="preserve"> </w:t>
      </w:r>
      <w:r w:rsidRPr="00583BBF">
        <w:rPr>
          <w:rFonts w:ascii="Garamond" w:hAnsi="Garamond"/>
        </w:rPr>
        <w:t>provides a summary and conclusions.</w:t>
      </w:r>
    </w:p>
    <w:p w:rsidR="00324133" w:rsidRDefault="00324133" w:rsidP="00975A17">
      <w:pPr>
        <w:spacing w:line="480" w:lineRule="auto"/>
        <w:jc w:val="both"/>
        <w:rPr>
          <w:rFonts w:ascii="Garamond" w:hAnsi="Garamond"/>
          <w:b/>
        </w:rPr>
      </w:pPr>
    </w:p>
    <w:p w:rsidR="009E5408" w:rsidRDefault="009E5408" w:rsidP="00975A17">
      <w:pPr>
        <w:spacing w:line="480" w:lineRule="auto"/>
        <w:jc w:val="both"/>
        <w:rPr>
          <w:rFonts w:ascii="Garamond" w:hAnsi="Garamond"/>
          <w:b/>
        </w:rPr>
      </w:pPr>
      <w:r>
        <w:rPr>
          <w:rFonts w:ascii="Garamond" w:hAnsi="Garamond"/>
          <w:b/>
        </w:rPr>
        <w:t>2. Literature Review</w:t>
      </w:r>
    </w:p>
    <w:p w:rsidR="009E5408" w:rsidRDefault="009E5408" w:rsidP="00975A17">
      <w:pPr>
        <w:spacing w:line="480" w:lineRule="auto"/>
        <w:jc w:val="both"/>
        <w:rPr>
          <w:rFonts w:ascii="Garamond" w:hAnsi="Garamond"/>
          <w:b/>
        </w:rPr>
      </w:pPr>
      <w:r>
        <w:rPr>
          <w:rFonts w:ascii="Garamond" w:hAnsi="Garamond"/>
          <w:b/>
        </w:rPr>
        <w:t>2.1. Cryptocurrency Literature</w:t>
      </w:r>
    </w:p>
    <w:p w:rsidR="009E5408" w:rsidRPr="00AA5029" w:rsidRDefault="009E5408" w:rsidP="009E5408">
      <w:pPr>
        <w:spacing w:line="480" w:lineRule="auto"/>
        <w:jc w:val="both"/>
        <w:rPr>
          <w:rFonts w:ascii="Garamond" w:hAnsi="Garamond"/>
        </w:rPr>
      </w:pPr>
      <w:r w:rsidRPr="00AA5029">
        <w:rPr>
          <w:rFonts w:ascii="Garamond" w:hAnsi="Garamond"/>
        </w:rPr>
        <w:t xml:space="preserve">Although initially dominated by literature on the safety, ethical and legal aspects of Bitcoin, recent literature has examined Bitcoin from a financial and economic viewpoint.  Cheah and Fry (2015) argue that if Bitcoin were a true unit of account, or a form of store of value, it would not display such volatility expressed by bubbles and crashes.  Brandvold et al (2015) employ a multivariate model to study the price discovery process of Bitcoin and find that six Bitcoin exchanges are cointegrated and that Mt.Gox and Bitstamp are the market leaders with the highest information share.  They also show that the information share is dynamic and evolves significantly over time.  Dwyer (2015) studies the economics of Bitcoin and finds that the average monthly volatility of Bitcoin is higher than for gold or a set of foreign currencies in dollars, but the lowest monthly volatilities for Bitcoin are less than the highest monthly volatility for gold and foreign currencies.  Smith (2015) shows that the implied exchange rates of Bitcoin are cointegrated with nominal exchange rates, and there is causality running from the nominal to the implied exchange rates.  Dyhrberg (2016a; 2016b) report that Bitcoin has similar hedging capability as gold and the dollar, and as such the currency is an exchange medium and can be used for risk management.  Khairuddin et al (2016) study the motivation of Bitcoin users through interviews and find that the main motivations for users are Bitcoin’s predicted role in a monetary revolution, users’ increased empowerment, and their perception of a real value of Bitcoin currency.  Urquhart (2016) finds that Bitcoin is not an efficient market, but in the latter subsample period, some tests suggest that Bitcoin is moving towards efficiency.  This has been confirmed in recent studies such as </w:t>
      </w:r>
      <w:r w:rsidRPr="00AA5029">
        <w:rPr>
          <w:rFonts w:ascii="Garamond" w:hAnsi="Garamond"/>
          <w:color w:val="000000"/>
        </w:rPr>
        <w:t xml:space="preserve">Nadarajah and Chu (2017), Bariviera (2017) and Tiwari et al (2018), which all employ alternative testing procedures and sample periods.  Urquhart (2017) shows significant price clustering in Bitcoin while </w:t>
      </w:r>
      <w:r w:rsidRPr="00AA5029">
        <w:rPr>
          <w:rFonts w:ascii="Garamond" w:hAnsi="Garamond"/>
        </w:rPr>
        <w:t>Bouri et al (2017) find that Bitcoin is a poor hedge but suitable for diversification purposes only for major stock market indices, bonds, oil, gold, the commodity index and US dollar</w:t>
      </w:r>
      <w:r>
        <w:rPr>
          <w:rFonts w:ascii="Garamond" w:hAnsi="Garamond"/>
        </w:rPr>
        <w:t xml:space="preserve">.  </w:t>
      </w:r>
      <w:r w:rsidRPr="00AA5029">
        <w:rPr>
          <w:rFonts w:ascii="Garamond" w:hAnsi="Garamond"/>
          <w:color w:val="000000"/>
        </w:rPr>
        <w:t>Caporale et al (2018) shows significant persis</w:t>
      </w:r>
      <w:r>
        <w:rPr>
          <w:rFonts w:ascii="Garamond" w:hAnsi="Garamond"/>
          <w:color w:val="000000"/>
        </w:rPr>
        <w:t>tence in cryptocurrency markets</w:t>
      </w:r>
      <w:r w:rsidRPr="00AA5029">
        <w:rPr>
          <w:rFonts w:ascii="Garamond" w:hAnsi="Garamond"/>
          <w:color w:val="000000"/>
        </w:rPr>
        <w:t xml:space="preserve"> </w:t>
      </w:r>
      <w:r w:rsidRPr="00AA5029">
        <w:rPr>
          <w:rFonts w:ascii="Garamond" w:hAnsi="Garamond"/>
        </w:rPr>
        <w:t xml:space="preserve">while </w:t>
      </w:r>
      <w:r w:rsidRPr="00AA5029">
        <w:rPr>
          <w:rFonts w:ascii="Garamond" w:hAnsi="Garamond"/>
          <w:color w:val="000000" w:themeColor="text1"/>
        </w:rPr>
        <w:t xml:space="preserve">recently Corbet et al (2018a) examine the fundamental drivers of the Bitcoin price and show there are clear periods of bubble behaviour of Bitcoin.  </w:t>
      </w:r>
      <w:r w:rsidRPr="00AA5029">
        <w:rPr>
          <w:rFonts w:ascii="Garamond" w:hAnsi="Garamond"/>
        </w:rPr>
        <w:t xml:space="preserve">Corbet et al (2018b) suggest that Bitcoin has a role in an investor’s portfolio, although Bitcoin may contain its own idiosyncratic risks that are difficult to hedge against. Therefore there is some evidence that Bitcoin has some hedging capabilities and diversification benefits while Urquhart (2018) shows that trading volume and volatility are both significant drivers of the attention of Bitcoin.   Corbet et al (2018d) </w:t>
      </w:r>
      <w:r w:rsidRPr="00AA5029">
        <w:rPr>
          <w:rFonts w:ascii="Garamond" w:hAnsi="Garamond" w:cs="Arial"/>
          <w:color w:val="000000" w:themeColor="text1"/>
        </w:rPr>
        <w:t>show that spot volatility has increased following the appearance of futures contracts, that futures contracts are not an effective hedging instrument, and that price discovery is driven by uninformed investors in the spot market.</w:t>
      </w:r>
    </w:p>
    <w:p w:rsidR="009E5408" w:rsidRPr="00583BBF" w:rsidRDefault="009E5408" w:rsidP="009E5408">
      <w:pPr>
        <w:spacing w:line="480" w:lineRule="auto"/>
        <w:jc w:val="both"/>
        <w:rPr>
          <w:rFonts w:ascii="Garamond" w:hAnsi="Garamond"/>
          <w:lang w:eastAsia="zh-TW"/>
        </w:rPr>
      </w:pPr>
    </w:p>
    <w:p w:rsidR="009E5408" w:rsidRDefault="009E5408" w:rsidP="009E5408">
      <w:pPr>
        <w:spacing w:line="480" w:lineRule="auto"/>
        <w:jc w:val="both"/>
        <w:rPr>
          <w:rFonts w:ascii="Garamond" w:hAnsi="Garamond" w:cs="Arial"/>
          <w:color w:val="000000" w:themeColor="text1"/>
        </w:rPr>
      </w:pPr>
      <w:r w:rsidRPr="00E221DE">
        <w:rPr>
          <w:rFonts w:ascii="Garamond" w:hAnsi="Garamond"/>
          <w:lang w:eastAsia="zh-TW"/>
        </w:rPr>
        <w:t xml:space="preserve">Although Bitcoin was created as an alternative currency, it can also be used as an investment and therefore leads to the question whether Bitcoin acts more like a currency or an investment.  Recently, the EU ruled that Bitcoin must be treated like a currency and not a commodity for tax purposes (Skatteverket v Hedqvist, EU Press Release 128/15) suggesting that the market is starting to treated Bitcoin like a currency.  However academic evidence has suggested that Bitcoin should be treated as an investment with Yernack (2013) arguing that it needs to become more stable so it can reliably serve as a store of value and as a unit of account in commercial markets.  They also show that the excess volatility is more consistent with the behaviour of a speculative investment than a currency, and therefore Bitcoins behaviour resembles Internet stocks in the late 1990s.  Baur et al (2018) also examine whether Bitcoin is a currency or an investment by analysing the value of Bitcoin’s financial characteristics relative to a large number of different assets and whether Bitcoin is used as an investment or currency to pay for goods.  They also find that about a third of Bitcoins are held by investors not interested in using them as a currency but as an investment.  Therefore they suggest that Bitcoin is mostly used as an investment rather than a currency.  </w:t>
      </w:r>
      <w:r w:rsidRPr="00E221DE">
        <w:rPr>
          <w:rFonts w:ascii="Garamond" w:hAnsi="Garamond"/>
        </w:rPr>
        <w:t xml:space="preserve">Recently, Platanakis et al (2018) show that naïve diversification among cryptocurrencies is as successful as optimal diversification </w:t>
      </w:r>
      <w:r w:rsidRPr="00E221DE">
        <w:rPr>
          <w:rFonts w:ascii="Garamond" w:hAnsi="Garamond"/>
          <w:color w:val="000000" w:themeColor="text1"/>
        </w:rPr>
        <w:t xml:space="preserve">while Guesmi et al (2018) </w:t>
      </w:r>
      <w:r w:rsidRPr="00E221DE">
        <w:rPr>
          <w:rFonts w:ascii="Garamond" w:hAnsi="Garamond" w:cs="Arial"/>
          <w:color w:val="000000" w:themeColor="text1"/>
        </w:rPr>
        <w:t>show that a short position in the Bitcoin market allows hedging the risk investment for all different financial assets.</w:t>
      </w:r>
      <w:r w:rsidRPr="00E221DE">
        <w:rPr>
          <w:rStyle w:val="FootnoteReference"/>
          <w:rFonts w:ascii="Garamond" w:hAnsi="Garamond" w:cs="Arial"/>
          <w:color w:val="000000" w:themeColor="text1"/>
        </w:rPr>
        <w:footnoteReference w:id="3"/>
      </w:r>
    </w:p>
    <w:p w:rsidR="009E5408" w:rsidRDefault="009E5408" w:rsidP="009E5408">
      <w:pPr>
        <w:spacing w:line="480" w:lineRule="auto"/>
        <w:jc w:val="both"/>
        <w:rPr>
          <w:rFonts w:ascii="Garamond" w:hAnsi="Garamond" w:cs="Arial"/>
          <w:color w:val="000000" w:themeColor="text1"/>
        </w:rPr>
      </w:pPr>
    </w:p>
    <w:p w:rsidR="009E5408" w:rsidRPr="009E5408" w:rsidRDefault="009E5408" w:rsidP="009E5408">
      <w:pPr>
        <w:spacing w:line="480" w:lineRule="auto"/>
        <w:jc w:val="both"/>
        <w:rPr>
          <w:rFonts w:ascii="Garamond" w:hAnsi="Garamond" w:cs="Arial"/>
          <w:b/>
          <w:color w:val="000000" w:themeColor="text1"/>
        </w:rPr>
      </w:pPr>
      <w:r w:rsidRPr="009E5408">
        <w:rPr>
          <w:rFonts w:ascii="Garamond" w:hAnsi="Garamond" w:cs="Arial"/>
          <w:b/>
          <w:color w:val="000000" w:themeColor="text1"/>
        </w:rPr>
        <w:t>2.2. Intraday Dynamics Literature</w:t>
      </w:r>
    </w:p>
    <w:p w:rsidR="009E5408" w:rsidRPr="00583BBF" w:rsidRDefault="009E5408" w:rsidP="009E5408">
      <w:pPr>
        <w:spacing w:line="480" w:lineRule="auto"/>
        <w:jc w:val="both"/>
        <w:rPr>
          <w:rFonts w:ascii="Garamond" w:hAnsi="Garamond"/>
        </w:rPr>
      </w:pPr>
      <w:r w:rsidRPr="00583BBF">
        <w:rPr>
          <w:rFonts w:ascii="Garamond" w:hAnsi="Garamond"/>
        </w:rPr>
        <w:t xml:space="preserve">There is a large literature documenting intraday patterns in financial time series such as intraday variations in returns, volatility, volume and </w:t>
      </w:r>
      <w:r>
        <w:rPr>
          <w:rFonts w:ascii="Garamond" w:hAnsi="Garamond"/>
        </w:rPr>
        <w:t>liquidity</w:t>
      </w:r>
      <w:r w:rsidRPr="00583BBF">
        <w:rPr>
          <w:rFonts w:ascii="Garamond" w:hAnsi="Garamond"/>
        </w:rPr>
        <w:t>.  Some papers on North American markets report that trading activity exhibit a U-shaped pattern (McInish and Wood 1990a; Brock and Kleidon 1992; Hamao and Hasbrouck 1993) while some studies on UK markets report a M-shape where volume is high around the opening of US markets (Ellul et al 2002; Cai et al 2004).  Elevated opening and closing returns have also been reflected in the volatility patterns, where a U-shape is reported by Wood et al (1985), McInish and Wood (1990a and 1990b) and Madhavan et al (1997).</w:t>
      </w:r>
      <w:r w:rsidRPr="00583BBF">
        <w:rPr>
          <w:rFonts w:ascii="Garamond" w:hAnsi="Garamond"/>
          <w:lang w:eastAsia="zh-TW"/>
        </w:rPr>
        <w:t xml:space="preserve">   For currencies, Danielsson and Payne (2001) find an M-shaped volume pattern while Baillie and Bollerslev (1990) find that volatility for major currency pairs peaks twice during the day, when London and New York open, yielding an M-shaped plot.  Low and Muthuswamy (1996) find similar peaks in the price change volatility for three major currency pairs when London and New York open and close while McGroarty et al (2009) find an M-shaped intraday pattern for trading volume and volatility of currencies. Ranaldo (2009) and Breedon and Ranaldo (2013) find that currencies tend to depreciate during local trading hours and that this pattern is reflected in the order flow.  ap Gwilym and Sutcliffe (1999) divide these observed patterns in intraday trading patterns into two categories.   The first, documented by Brock and Kleidon (1992), attributes these patterns to differing trader behaviour at the open and close, while the second, documented by Admati and Pfleiderer (1988), attribute the patterns to the strategic behaviour of informed traders.</w:t>
      </w:r>
      <w:r w:rsidRPr="00583BBF">
        <w:rPr>
          <w:rStyle w:val="FootnoteReference"/>
          <w:rFonts w:ascii="Garamond" w:hAnsi="Garamond"/>
          <w:lang w:eastAsia="zh-TW"/>
        </w:rPr>
        <w:footnoteReference w:id="4"/>
      </w:r>
      <w:r w:rsidRPr="00583BBF">
        <w:rPr>
          <w:rFonts w:ascii="Garamond" w:hAnsi="Garamond"/>
          <w:lang w:eastAsia="zh-TW"/>
        </w:rPr>
        <w:t xml:space="preserve">  </w:t>
      </w:r>
    </w:p>
    <w:p w:rsidR="009E5408" w:rsidRPr="00583BBF" w:rsidRDefault="009E5408" w:rsidP="009E5408">
      <w:pPr>
        <w:spacing w:line="480" w:lineRule="auto"/>
        <w:jc w:val="both"/>
        <w:rPr>
          <w:rFonts w:ascii="Garamond" w:hAnsi="Garamond"/>
          <w:lang w:eastAsia="zh-TW"/>
        </w:rPr>
      </w:pPr>
    </w:p>
    <w:p w:rsidR="009E5408" w:rsidRDefault="009E5408" w:rsidP="009E5408">
      <w:pPr>
        <w:spacing w:line="480" w:lineRule="auto"/>
        <w:jc w:val="both"/>
        <w:rPr>
          <w:rFonts w:ascii="Garamond" w:hAnsi="Garamond"/>
        </w:rPr>
      </w:pPr>
      <w:r w:rsidRPr="00583BBF">
        <w:rPr>
          <w:rFonts w:ascii="Garamond" w:hAnsi="Garamond"/>
          <w:lang w:eastAsia="zh-TW"/>
        </w:rPr>
        <w:t>Another stylized fact about</w:t>
      </w:r>
      <w:r w:rsidRPr="00583BBF">
        <w:rPr>
          <w:rFonts w:ascii="Garamond" w:hAnsi="Garamond"/>
        </w:rPr>
        <w:t xml:space="preserve"> financial returns is an asymmetric relationship between returns and volatility, where volatility tends to increase following negative returns and decreases following positive returns.  The first one is called the leverage effect, while the second is called the volatility feedback effect which argues that if volatility is priced, an anticipated increase in volatility raises the rate of the return, implying an immediate stock pric</w:t>
      </w:r>
      <w:r w:rsidRPr="00583BBF">
        <w:rPr>
          <w:rFonts w:ascii="Garamond" w:hAnsi="Garamond"/>
          <w:lang w:eastAsia="zh-TW"/>
        </w:rPr>
        <w:t>e</w:t>
      </w:r>
      <w:r w:rsidRPr="00583BBF">
        <w:rPr>
          <w:rFonts w:ascii="Garamond" w:hAnsi="Garamond"/>
        </w:rPr>
        <w:t xml:space="preserve"> decline in order to allow for higher future returns (see French et al 1987; Bekaert and Wu 2000).</w:t>
      </w:r>
      <w:r w:rsidRPr="00583BBF">
        <w:rPr>
          <w:rFonts w:ascii="Garamond" w:hAnsi="Garamond"/>
          <w:lang w:eastAsia="zh-TW"/>
        </w:rPr>
        <w:t xml:space="preserve">  </w:t>
      </w:r>
      <w:r w:rsidRPr="00583BBF">
        <w:rPr>
          <w:rFonts w:ascii="Garamond" w:hAnsi="Garamond"/>
        </w:rPr>
        <w:t xml:space="preserve">There is </w:t>
      </w:r>
      <w:r w:rsidRPr="00583BBF">
        <w:rPr>
          <w:rFonts w:ascii="Garamond" w:hAnsi="Garamond"/>
          <w:lang w:eastAsia="zh-TW"/>
        </w:rPr>
        <w:t xml:space="preserve">also </w:t>
      </w:r>
      <w:r w:rsidRPr="00583BBF">
        <w:rPr>
          <w:rFonts w:ascii="Garamond" w:hAnsi="Garamond"/>
        </w:rPr>
        <w:t>a growing literature reporting stock index returns are negatively correlated with changes in volatility and that the negative relationship is even more pronounced in falling than in rising markets.  There have been attempts to explain this relationship, such as Black (1976) and Christie (1982) arguing that positive stock returns increase the market value of the firm’s equity and therefore diminish its financial leverage ratio which in turn lowers the volatility of stock returns.  Another explanation is that bad news might have different implications for future uncertainty than good news (Glosten et al 1993; Chen and Ghysels 2007).  Whether this relationship is return-driven or volatility-driven is open to debate (see Masset and Wallemier 2010) as most of the recent studies show evidence of both.</w:t>
      </w:r>
      <w:r w:rsidRPr="00583BBF">
        <w:rPr>
          <w:rStyle w:val="FootnoteReference"/>
          <w:rFonts w:ascii="Garamond" w:hAnsi="Garamond"/>
        </w:rPr>
        <w:footnoteReference w:id="5"/>
      </w:r>
      <w:r w:rsidRPr="00583BBF">
        <w:rPr>
          <w:rFonts w:ascii="Garamond" w:hAnsi="Garamond"/>
        </w:rPr>
        <w:t xml:space="preserve">  Clark’s (1973) mixture of distributions hypothesis (MDH) argues that volatility and volume move together in response to common but not directly observable external stimuli, which is associated with public information.  This is supported by Copeland (1976) and Jennings et al (1981) who show that traders receive a signal ahead of the market and trade on it, thereby creating volume and moving price (volatility).  </w:t>
      </w:r>
      <w:r>
        <w:rPr>
          <w:rFonts w:ascii="Garamond" w:hAnsi="Garamond"/>
        </w:rPr>
        <w:t xml:space="preserve"> Intraday stylized facts have also been found in precious metals, with Batten et al 2017 documenting strong periodicity in intraday variables linked to the opening and closing of major stock markets around the world.</w:t>
      </w:r>
    </w:p>
    <w:p w:rsidR="009E5408" w:rsidRPr="00583BBF" w:rsidRDefault="009E5408" w:rsidP="00975A17">
      <w:pPr>
        <w:spacing w:line="480" w:lineRule="auto"/>
        <w:jc w:val="both"/>
        <w:rPr>
          <w:rFonts w:ascii="Garamond" w:hAnsi="Garamond"/>
          <w:b/>
        </w:rPr>
      </w:pPr>
    </w:p>
    <w:p w:rsidR="003878E0" w:rsidRPr="00583BBF" w:rsidRDefault="009E5408" w:rsidP="002F33FA">
      <w:pPr>
        <w:spacing w:line="480" w:lineRule="auto"/>
        <w:jc w:val="both"/>
        <w:outlineLvl w:val="0"/>
        <w:rPr>
          <w:rFonts w:ascii="Garamond" w:hAnsi="Garamond"/>
          <w:b/>
        </w:rPr>
      </w:pPr>
      <w:r>
        <w:rPr>
          <w:rFonts w:ascii="Garamond" w:hAnsi="Garamond"/>
          <w:b/>
        </w:rPr>
        <w:t>3</w:t>
      </w:r>
      <w:r w:rsidR="00DB7C00" w:rsidRPr="00583BBF">
        <w:rPr>
          <w:rFonts w:ascii="Garamond" w:hAnsi="Garamond"/>
          <w:b/>
        </w:rPr>
        <w:t xml:space="preserve">. </w:t>
      </w:r>
      <w:r w:rsidR="00EF62A3" w:rsidRPr="00583BBF">
        <w:rPr>
          <w:rFonts w:ascii="Garamond" w:hAnsi="Garamond"/>
          <w:b/>
        </w:rPr>
        <w:t xml:space="preserve">Data and </w:t>
      </w:r>
      <w:r w:rsidR="00905DD6">
        <w:rPr>
          <w:rFonts w:ascii="Garamond" w:hAnsi="Garamond"/>
          <w:b/>
        </w:rPr>
        <w:t>Variables of Interest</w:t>
      </w:r>
    </w:p>
    <w:p w:rsidR="00416956" w:rsidRPr="00583BBF" w:rsidRDefault="00416956" w:rsidP="00975A17">
      <w:pPr>
        <w:spacing w:line="480" w:lineRule="auto"/>
        <w:jc w:val="both"/>
        <w:rPr>
          <w:rFonts w:ascii="Garamond" w:hAnsi="Garamond"/>
        </w:rPr>
      </w:pPr>
      <w:r w:rsidRPr="00583BBF">
        <w:rPr>
          <w:rFonts w:ascii="Garamond" w:hAnsi="Garamond"/>
        </w:rPr>
        <w:t xml:space="preserve">In this section, we present the </w:t>
      </w:r>
      <w:r w:rsidR="00EF62A3" w:rsidRPr="00583BBF">
        <w:rPr>
          <w:rFonts w:ascii="Garamond" w:hAnsi="Garamond"/>
        </w:rPr>
        <w:t xml:space="preserve">data employed in this study as well as the calculation of the </w:t>
      </w:r>
      <w:r w:rsidRPr="00583BBF">
        <w:rPr>
          <w:rFonts w:ascii="Garamond" w:hAnsi="Garamond"/>
        </w:rPr>
        <w:t xml:space="preserve">variables utilised to examine the high-frequency dynamics of </w:t>
      </w:r>
      <w:r w:rsidR="00E278E9" w:rsidRPr="00583BBF">
        <w:rPr>
          <w:rFonts w:ascii="Garamond" w:hAnsi="Garamond"/>
        </w:rPr>
        <w:t>Bitcoin</w:t>
      </w:r>
      <w:r w:rsidRPr="00583BBF">
        <w:rPr>
          <w:rFonts w:ascii="Garamond" w:hAnsi="Garamond"/>
        </w:rPr>
        <w:t>.</w:t>
      </w:r>
    </w:p>
    <w:p w:rsidR="00EF62A3" w:rsidRPr="00583BBF" w:rsidRDefault="00EF62A3" w:rsidP="00975A17">
      <w:pPr>
        <w:spacing w:line="480" w:lineRule="auto"/>
        <w:jc w:val="both"/>
        <w:rPr>
          <w:rFonts w:ascii="Garamond" w:hAnsi="Garamond"/>
        </w:rPr>
      </w:pPr>
    </w:p>
    <w:p w:rsidR="00EF62A3" w:rsidRPr="00583BBF" w:rsidRDefault="008A6850" w:rsidP="002F33FA">
      <w:pPr>
        <w:spacing w:line="480" w:lineRule="auto"/>
        <w:jc w:val="both"/>
        <w:outlineLvl w:val="0"/>
        <w:rPr>
          <w:rFonts w:ascii="Garamond" w:hAnsi="Garamond"/>
          <w:i/>
          <w:lang w:eastAsia="zh-TW"/>
        </w:rPr>
      </w:pPr>
      <w:r>
        <w:rPr>
          <w:rFonts w:ascii="Garamond" w:eastAsiaTheme="minorEastAsia" w:hAnsi="Garamond"/>
          <w:i/>
        </w:rPr>
        <w:t>3</w:t>
      </w:r>
      <w:r w:rsidR="00EF62A3" w:rsidRPr="00583BBF">
        <w:rPr>
          <w:rFonts w:ascii="Garamond" w:eastAsiaTheme="minorEastAsia" w:hAnsi="Garamond"/>
          <w:i/>
        </w:rPr>
        <w:t>.1. Data</w:t>
      </w:r>
    </w:p>
    <w:p w:rsidR="00934D0E" w:rsidRPr="00583BBF" w:rsidRDefault="00EF62A3" w:rsidP="00DC7F72">
      <w:pPr>
        <w:spacing w:line="480" w:lineRule="auto"/>
        <w:jc w:val="both"/>
        <w:rPr>
          <w:rFonts w:ascii="Garamond" w:hAnsi="Garamond"/>
        </w:rPr>
      </w:pPr>
      <w:r w:rsidRPr="00583BBF">
        <w:rPr>
          <w:rFonts w:ascii="Garamond" w:hAnsi="Garamond"/>
        </w:rPr>
        <w:t xml:space="preserve">The data for this paper is downloaded from </w:t>
      </w:r>
      <w:hyperlink r:id="rId8" w:history="1">
        <w:r w:rsidRPr="00583BBF">
          <w:rPr>
            <w:rStyle w:val="Hyperlink"/>
            <w:rFonts w:ascii="Garamond" w:hAnsi="Garamond"/>
            <w:u w:val="none"/>
          </w:rPr>
          <w:t>www.Bitcoincharts.com</w:t>
        </w:r>
      </w:hyperlink>
      <w:r w:rsidRPr="00583BBF">
        <w:rPr>
          <w:rFonts w:ascii="Garamond" w:hAnsi="Garamond"/>
        </w:rPr>
        <w:t xml:space="preserve">, which provides the complete historic trade data of various Bitcoin exchanges. It provides the unixtime, price and volume of various Bitcoin exchanges.  We study the </w:t>
      </w:r>
      <w:r w:rsidR="002F33FA">
        <w:rPr>
          <w:rFonts w:ascii="Garamond" w:hAnsi="Garamond"/>
        </w:rPr>
        <w:t>Bitstamp</w:t>
      </w:r>
      <w:r w:rsidRPr="00583BBF">
        <w:rPr>
          <w:rFonts w:ascii="Garamond" w:hAnsi="Garamond"/>
        </w:rPr>
        <w:t xml:space="preserve"> exchange at the 5-minute frequency to examine the intraday dynamics of Bitcoin returns, volume, volatility and </w:t>
      </w:r>
      <w:r w:rsidR="00E44800">
        <w:rPr>
          <w:rFonts w:ascii="Garamond" w:hAnsi="Garamond"/>
        </w:rPr>
        <w:t xml:space="preserve">liquidity.  </w:t>
      </w:r>
      <w:r w:rsidR="00C5599C" w:rsidRPr="00583BBF">
        <w:rPr>
          <w:rFonts w:ascii="Garamond" w:hAnsi="Garamond"/>
        </w:rPr>
        <w:t>T</w:t>
      </w:r>
      <w:r w:rsidR="00934D0E" w:rsidRPr="00583BBF">
        <w:rPr>
          <w:rFonts w:ascii="Garamond" w:hAnsi="Garamond"/>
        </w:rPr>
        <w:t xml:space="preserve">he </w:t>
      </w:r>
      <w:r w:rsidR="002F33FA">
        <w:rPr>
          <w:rFonts w:ascii="Garamond" w:hAnsi="Garamond"/>
        </w:rPr>
        <w:t>Bitstamp</w:t>
      </w:r>
      <w:r w:rsidR="00934D0E" w:rsidRPr="00583BBF">
        <w:rPr>
          <w:rFonts w:ascii="Garamond" w:hAnsi="Garamond"/>
        </w:rPr>
        <w:t xml:space="preserve"> exchange is one of the largest exchanges denoted in US dollars and as Brandvold et al (2015) note, is the market leader with the highest information share along with Mt</w:t>
      </w:r>
      <w:r w:rsidR="002E6881">
        <w:rPr>
          <w:rFonts w:ascii="Garamond" w:hAnsi="Garamond"/>
        </w:rPr>
        <w:t>.G</w:t>
      </w:r>
      <w:r w:rsidR="00934D0E" w:rsidRPr="00583BBF">
        <w:rPr>
          <w:rFonts w:ascii="Garamond" w:hAnsi="Garamond"/>
        </w:rPr>
        <w:t>ox until its demise.</w:t>
      </w:r>
      <w:r w:rsidR="00934D0E" w:rsidRPr="00583BBF">
        <w:rPr>
          <w:rStyle w:val="FootnoteReference"/>
          <w:rFonts w:ascii="Garamond" w:hAnsi="Garamond"/>
        </w:rPr>
        <w:footnoteReference w:id="6"/>
      </w:r>
      <w:r w:rsidR="00934D0E" w:rsidRPr="00583BBF">
        <w:rPr>
          <w:rFonts w:ascii="Garamond" w:hAnsi="Garamond"/>
        </w:rPr>
        <w:t xml:space="preserve">  </w:t>
      </w:r>
      <w:r w:rsidRPr="00583BBF">
        <w:rPr>
          <w:rFonts w:ascii="Garamond" w:hAnsi="Garamond"/>
        </w:rPr>
        <w:t>We choose th</w:t>
      </w:r>
      <w:r w:rsidR="00934D0E" w:rsidRPr="00583BBF">
        <w:rPr>
          <w:rFonts w:ascii="Garamond" w:hAnsi="Garamond"/>
        </w:rPr>
        <w:t>e 5-minute</w:t>
      </w:r>
      <w:r w:rsidRPr="00583BBF">
        <w:rPr>
          <w:rFonts w:ascii="Garamond" w:hAnsi="Garamond"/>
        </w:rPr>
        <w:t xml:space="preserve"> frequency since at any higher frequen</w:t>
      </w:r>
      <w:r w:rsidR="007831E5" w:rsidRPr="00583BBF">
        <w:rPr>
          <w:rFonts w:ascii="Garamond" w:hAnsi="Garamond"/>
        </w:rPr>
        <w:t xml:space="preserve">cy </w:t>
      </w:r>
      <w:r w:rsidR="007F67B6">
        <w:rPr>
          <w:rFonts w:ascii="Garamond" w:hAnsi="Garamond"/>
        </w:rPr>
        <w:t xml:space="preserve">the data </w:t>
      </w:r>
      <w:r w:rsidR="007831E5" w:rsidRPr="00DC7F72">
        <w:rPr>
          <w:rFonts w:ascii="Garamond" w:hAnsi="Garamond"/>
        </w:rPr>
        <w:t xml:space="preserve">was often missing </w:t>
      </w:r>
      <w:r w:rsidR="00DC7F72" w:rsidRPr="00DC7F72">
        <w:rPr>
          <w:rFonts w:ascii="Garamond" w:hAnsi="Garamond"/>
        </w:rPr>
        <w:t>due to</w:t>
      </w:r>
      <w:r w:rsidR="007831E5" w:rsidRPr="00DC7F72">
        <w:rPr>
          <w:rFonts w:ascii="Garamond" w:hAnsi="Garamond"/>
        </w:rPr>
        <w:t xml:space="preserve"> </w:t>
      </w:r>
      <w:r w:rsidR="00395A22" w:rsidRPr="00DC7F72">
        <w:rPr>
          <w:rFonts w:ascii="Garamond" w:hAnsi="Garamond"/>
        </w:rPr>
        <w:t xml:space="preserve">low </w:t>
      </w:r>
      <w:r w:rsidR="007831E5" w:rsidRPr="00DC7F72">
        <w:rPr>
          <w:rFonts w:ascii="Garamond" w:hAnsi="Garamond"/>
        </w:rPr>
        <w:t>liquidity</w:t>
      </w:r>
      <w:r w:rsidRPr="00583BBF">
        <w:rPr>
          <w:rFonts w:ascii="Garamond" w:hAnsi="Garamond"/>
        </w:rPr>
        <w:t xml:space="preserve"> which may lead to unrelia</w:t>
      </w:r>
      <w:r w:rsidR="007F67B6">
        <w:rPr>
          <w:rFonts w:ascii="Garamond" w:hAnsi="Garamond"/>
        </w:rPr>
        <w:t>ble and spurious results.  Also</w:t>
      </w:r>
      <w:r w:rsidRPr="00583BBF">
        <w:rPr>
          <w:rFonts w:ascii="Garamond" w:hAnsi="Garamond"/>
        </w:rPr>
        <w:t xml:space="preserve"> as A</w:t>
      </w:r>
      <w:r w:rsidR="007F67B6">
        <w:rPr>
          <w:rFonts w:ascii="Garamond" w:hAnsi="Garamond"/>
        </w:rPr>
        <w:t xml:space="preserve">nderson (2000) points out, the 5-minute </w:t>
      </w:r>
      <w:r w:rsidRPr="00583BBF">
        <w:rPr>
          <w:rFonts w:ascii="Garamond" w:hAnsi="Garamond"/>
        </w:rPr>
        <w:t xml:space="preserve">frequency is the best compromise between having enough observations to examine the intraday dynamics while also at the same time having enough data to avoid noise issues.  </w:t>
      </w:r>
    </w:p>
    <w:p w:rsidR="00934D0E" w:rsidRPr="00583BBF" w:rsidRDefault="00934D0E" w:rsidP="00975A17">
      <w:pPr>
        <w:spacing w:line="480" w:lineRule="auto"/>
        <w:jc w:val="both"/>
        <w:rPr>
          <w:rFonts w:ascii="Garamond" w:hAnsi="Garamond"/>
        </w:rPr>
      </w:pPr>
    </w:p>
    <w:p w:rsidR="00EF62A3" w:rsidRPr="00583BBF" w:rsidRDefault="00934D0E" w:rsidP="00975A17">
      <w:pPr>
        <w:spacing w:line="480" w:lineRule="auto"/>
        <w:jc w:val="both"/>
        <w:rPr>
          <w:rFonts w:ascii="Garamond" w:hAnsi="Garamond"/>
        </w:rPr>
      </w:pPr>
      <w:r w:rsidRPr="00583BBF">
        <w:rPr>
          <w:rFonts w:ascii="Garamond" w:hAnsi="Garamond"/>
        </w:rPr>
        <w:t xml:space="preserve">In order to generate 5-minutely intervals from the data, </w:t>
      </w:r>
      <w:r w:rsidR="00EF62A3" w:rsidRPr="00583BBF">
        <w:rPr>
          <w:rFonts w:ascii="Garamond" w:hAnsi="Garamond"/>
        </w:rPr>
        <w:t>we agg</w:t>
      </w:r>
      <w:r w:rsidRPr="00583BBF">
        <w:rPr>
          <w:rFonts w:ascii="Garamond" w:hAnsi="Garamond"/>
        </w:rPr>
        <w:t>regate the</w:t>
      </w:r>
      <w:r w:rsidR="00EF62A3" w:rsidRPr="00583BBF">
        <w:rPr>
          <w:rFonts w:ascii="Garamond" w:hAnsi="Garamond"/>
        </w:rPr>
        <w:t xml:space="preserve"> data into 5-minutely data so that we </w:t>
      </w:r>
      <w:r w:rsidRPr="00583BBF">
        <w:rPr>
          <w:rFonts w:ascii="Garamond" w:hAnsi="Garamond"/>
        </w:rPr>
        <w:t>obtain</w:t>
      </w:r>
      <w:r w:rsidR="00EF62A3" w:rsidRPr="00583BBF">
        <w:rPr>
          <w:rFonts w:ascii="Garamond" w:hAnsi="Garamond"/>
        </w:rPr>
        <w:t xml:space="preserve"> high/low</w:t>
      </w:r>
      <w:r w:rsidRPr="00583BBF">
        <w:rPr>
          <w:rFonts w:ascii="Garamond" w:hAnsi="Garamond"/>
        </w:rPr>
        <w:t>/open/close</w:t>
      </w:r>
      <w:r w:rsidR="00EF62A3" w:rsidRPr="00583BBF">
        <w:rPr>
          <w:rFonts w:ascii="Garamond" w:hAnsi="Garamond"/>
        </w:rPr>
        <w:t xml:space="preserve"> prices </w:t>
      </w:r>
      <w:r w:rsidRPr="00583BBF">
        <w:rPr>
          <w:rFonts w:ascii="Garamond" w:hAnsi="Garamond"/>
        </w:rPr>
        <w:t>for each</w:t>
      </w:r>
      <w:r w:rsidR="00EF62A3" w:rsidRPr="00583BBF">
        <w:rPr>
          <w:rFonts w:ascii="Garamond" w:hAnsi="Garamond"/>
        </w:rPr>
        <w:t xml:space="preserve"> 5-minute period. Our sample period runs from </w:t>
      </w:r>
      <w:r w:rsidR="002F33FA">
        <w:rPr>
          <w:rFonts w:ascii="Garamond" w:hAnsi="Garamond"/>
        </w:rPr>
        <w:t>1</w:t>
      </w:r>
      <w:r w:rsidR="002F33FA" w:rsidRPr="002F33FA">
        <w:rPr>
          <w:rFonts w:ascii="Garamond" w:hAnsi="Garamond"/>
          <w:vertAlign w:val="superscript"/>
        </w:rPr>
        <w:t>st</w:t>
      </w:r>
      <w:r w:rsidR="002F33FA">
        <w:rPr>
          <w:rFonts w:ascii="Garamond" w:hAnsi="Garamond"/>
        </w:rPr>
        <w:t xml:space="preserve"> January</w:t>
      </w:r>
      <w:r w:rsidR="00EF62A3" w:rsidRPr="00583BBF">
        <w:rPr>
          <w:rFonts w:ascii="Garamond" w:hAnsi="Garamond"/>
        </w:rPr>
        <w:t xml:space="preserve"> 2014 to 31</w:t>
      </w:r>
      <w:r w:rsidR="00EF62A3" w:rsidRPr="00583BBF">
        <w:rPr>
          <w:rFonts w:ascii="Garamond" w:hAnsi="Garamond"/>
          <w:vertAlign w:val="superscript"/>
        </w:rPr>
        <w:t>st</w:t>
      </w:r>
      <w:r w:rsidR="00EF62A3" w:rsidRPr="00583BBF">
        <w:rPr>
          <w:rFonts w:ascii="Garamond" w:hAnsi="Garamond"/>
        </w:rPr>
        <w:t xml:space="preserve"> </w:t>
      </w:r>
      <w:r w:rsidR="002F33FA">
        <w:rPr>
          <w:rFonts w:ascii="Garamond" w:hAnsi="Garamond"/>
        </w:rPr>
        <w:t>December 2017</w:t>
      </w:r>
      <w:r w:rsidR="00EF62A3" w:rsidRPr="00583BBF">
        <w:rPr>
          <w:rFonts w:ascii="Garamond" w:hAnsi="Garamond"/>
        </w:rPr>
        <w:t xml:space="preserve"> and is chosen since before this period, high frequency data was infrequent and spurious. Only a handful of 5-minutely data is missing over our complete sample period, therefore enabling a complete examination of the intraday dynamics of Bitcoin.</w:t>
      </w:r>
      <w:r w:rsidR="00EF62A3" w:rsidRPr="00583BBF">
        <w:rPr>
          <w:rStyle w:val="FootnoteReference"/>
          <w:rFonts w:ascii="Garamond" w:hAnsi="Garamond"/>
        </w:rPr>
        <w:footnoteReference w:id="7"/>
      </w:r>
      <w:r w:rsidR="00EF62A3" w:rsidRPr="00583BBF">
        <w:rPr>
          <w:rFonts w:ascii="Garamond" w:hAnsi="Garamond"/>
        </w:rPr>
        <w:t xml:space="preserve">  </w:t>
      </w:r>
      <w:r w:rsidRPr="00583BBF">
        <w:rPr>
          <w:rFonts w:ascii="Garamond" w:hAnsi="Garamond"/>
          <w:lang w:val="en-US" w:eastAsia="zh-TW"/>
        </w:rPr>
        <w:t xml:space="preserve">The </w:t>
      </w:r>
      <w:r w:rsidR="002F33FA">
        <w:rPr>
          <w:rFonts w:ascii="Garamond" w:hAnsi="Garamond"/>
          <w:lang w:val="en-US" w:eastAsia="zh-TW"/>
        </w:rPr>
        <w:t>Bitstamp</w:t>
      </w:r>
      <w:r w:rsidR="00EF62A3" w:rsidRPr="00583BBF">
        <w:rPr>
          <w:rFonts w:ascii="Garamond" w:hAnsi="Garamond"/>
          <w:lang w:val="en-US" w:eastAsia="zh-TW"/>
        </w:rPr>
        <w:t xml:space="preserve"> exchange trade</w:t>
      </w:r>
      <w:r w:rsidRPr="00583BBF">
        <w:rPr>
          <w:rFonts w:ascii="Garamond" w:hAnsi="Garamond"/>
          <w:lang w:val="en-US" w:eastAsia="zh-TW"/>
        </w:rPr>
        <w:t>s 24-</w:t>
      </w:r>
      <w:r w:rsidR="00EF62A3" w:rsidRPr="00583BBF">
        <w:rPr>
          <w:rFonts w:ascii="Garamond" w:hAnsi="Garamond"/>
          <w:lang w:val="en-US" w:eastAsia="zh-TW"/>
        </w:rPr>
        <w:t xml:space="preserve">hours a day and anyone throughout the world can trade Bitcoin. </w:t>
      </w:r>
      <w:r w:rsidR="00881FEB" w:rsidRPr="00583BBF">
        <w:rPr>
          <w:rFonts w:ascii="Garamond" w:hAnsi="Garamond"/>
          <w:lang w:val="en-US" w:eastAsia="zh-TW"/>
        </w:rPr>
        <w:t xml:space="preserve">An </w:t>
      </w:r>
      <w:r w:rsidR="00EF62A3" w:rsidRPr="00583BBF">
        <w:rPr>
          <w:rFonts w:ascii="Garamond" w:hAnsi="Garamond"/>
          <w:lang w:val="en-US" w:eastAsia="zh-TW"/>
        </w:rPr>
        <w:t xml:space="preserve">issue </w:t>
      </w:r>
      <w:r w:rsidR="007831E5" w:rsidRPr="00583BBF">
        <w:rPr>
          <w:rFonts w:ascii="Garamond" w:hAnsi="Garamond"/>
          <w:lang w:val="en-US" w:eastAsia="zh-TW"/>
        </w:rPr>
        <w:t xml:space="preserve">faced </w:t>
      </w:r>
      <w:r w:rsidR="00EF62A3" w:rsidRPr="00583BBF">
        <w:rPr>
          <w:rFonts w:ascii="Garamond" w:hAnsi="Garamond"/>
          <w:lang w:val="en-US" w:eastAsia="zh-TW"/>
        </w:rPr>
        <w:t xml:space="preserve">is what time zone to select since the data is provided in unixtime.  Following Ranaldo (2009), we account for differences in daylight savings times by expressing time in terms of Greenwich Mean Time (GMT). </w:t>
      </w:r>
      <w:r w:rsidR="006F54EF" w:rsidRPr="00583BBF">
        <w:rPr>
          <w:rFonts w:ascii="Garamond" w:hAnsi="Garamond"/>
          <w:lang w:val="en-US" w:eastAsia="zh-TW"/>
        </w:rPr>
        <w:t xml:space="preserve">  Figure 1 show</w:t>
      </w:r>
      <w:r w:rsidR="007F67B6">
        <w:rPr>
          <w:rFonts w:ascii="Garamond" w:hAnsi="Garamond"/>
          <w:lang w:val="en-US" w:eastAsia="zh-TW"/>
        </w:rPr>
        <w:t>s</w:t>
      </w:r>
      <w:r w:rsidR="006F54EF" w:rsidRPr="00583BBF">
        <w:rPr>
          <w:rFonts w:ascii="Garamond" w:hAnsi="Garamond"/>
          <w:lang w:val="en-US" w:eastAsia="zh-TW"/>
        </w:rPr>
        <w:t xml:space="preserve"> the time-series </w:t>
      </w:r>
      <w:r w:rsidR="007F67B6">
        <w:rPr>
          <w:rFonts w:ascii="Garamond" w:hAnsi="Garamond"/>
          <w:lang w:val="en-US" w:eastAsia="zh-TW"/>
        </w:rPr>
        <w:t>graph of the price and</w:t>
      </w:r>
      <w:r w:rsidR="007831E5" w:rsidRPr="00583BBF">
        <w:rPr>
          <w:rFonts w:ascii="Garamond" w:hAnsi="Garamond"/>
          <w:lang w:val="en-US" w:eastAsia="zh-TW"/>
        </w:rPr>
        <w:t xml:space="preserve"> volume </w:t>
      </w:r>
      <w:r w:rsidR="006F54EF" w:rsidRPr="00583BBF">
        <w:rPr>
          <w:rFonts w:ascii="Garamond" w:hAnsi="Garamond"/>
          <w:lang w:val="en-US" w:eastAsia="zh-TW"/>
        </w:rPr>
        <w:t xml:space="preserve">of Bitcoin throughout our sample period.  The price of Bitcoin </w:t>
      </w:r>
      <w:r w:rsidR="00C22EF6" w:rsidRPr="00583BBF">
        <w:rPr>
          <w:rFonts w:ascii="Garamond" w:hAnsi="Garamond"/>
          <w:lang w:val="en-US" w:eastAsia="zh-TW"/>
        </w:rPr>
        <w:t xml:space="preserve">has </w:t>
      </w:r>
      <w:r w:rsidR="006F54EF" w:rsidRPr="00583BBF">
        <w:rPr>
          <w:rFonts w:ascii="Garamond" w:hAnsi="Garamond"/>
          <w:lang w:val="en-US" w:eastAsia="zh-TW"/>
        </w:rPr>
        <w:t>generally increased during our sample period and especially since August 2015.  Volume has stayed fairly constant, except f</w:t>
      </w:r>
      <w:r w:rsidR="00803397">
        <w:rPr>
          <w:rFonts w:ascii="Garamond" w:hAnsi="Garamond"/>
          <w:lang w:val="en-US" w:eastAsia="zh-TW"/>
        </w:rPr>
        <w:t xml:space="preserve">or </w:t>
      </w:r>
      <w:r w:rsidR="006F54EF" w:rsidRPr="00583BBF">
        <w:rPr>
          <w:rFonts w:ascii="Garamond" w:hAnsi="Garamond"/>
          <w:lang w:val="en-US" w:eastAsia="zh-TW"/>
        </w:rPr>
        <w:t xml:space="preserve">a few sharp jumps in the magnitude of trading activity.  </w:t>
      </w:r>
    </w:p>
    <w:p w:rsidR="008A6850" w:rsidRDefault="008A6850" w:rsidP="002F33FA">
      <w:pPr>
        <w:spacing w:line="480" w:lineRule="auto"/>
        <w:jc w:val="both"/>
        <w:outlineLvl w:val="0"/>
        <w:rPr>
          <w:rFonts w:ascii="Garamond" w:hAnsi="Garamond"/>
        </w:rPr>
      </w:pPr>
    </w:p>
    <w:p w:rsidR="00DB7C00" w:rsidRPr="00583BBF" w:rsidRDefault="008A6850" w:rsidP="002F33FA">
      <w:pPr>
        <w:spacing w:line="480" w:lineRule="auto"/>
        <w:jc w:val="both"/>
        <w:outlineLvl w:val="0"/>
        <w:rPr>
          <w:rFonts w:ascii="Garamond" w:hAnsi="Garamond"/>
          <w:i/>
        </w:rPr>
      </w:pPr>
      <w:r>
        <w:rPr>
          <w:rFonts w:ascii="Garamond" w:hAnsi="Garamond"/>
          <w:i/>
        </w:rPr>
        <w:t>3</w:t>
      </w:r>
      <w:r w:rsidR="00DB7C00" w:rsidRPr="00583BBF">
        <w:rPr>
          <w:rFonts w:ascii="Garamond" w:hAnsi="Garamond"/>
          <w:i/>
        </w:rPr>
        <w:t>.</w:t>
      </w:r>
      <w:r w:rsidR="00934D0E" w:rsidRPr="00583BBF">
        <w:rPr>
          <w:rFonts w:ascii="Garamond" w:hAnsi="Garamond"/>
          <w:i/>
        </w:rPr>
        <w:t>2</w:t>
      </w:r>
      <w:r w:rsidR="00DB7C00" w:rsidRPr="00583BBF">
        <w:rPr>
          <w:rFonts w:ascii="Garamond" w:hAnsi="Garamond"/>
          <w:i/>
        </w:rPr>
        <w:t>. Variables of Interest</w:t>
      </w:r>
    </w:p>
    <w:p w:rsidR="003647F4" w:rsidRPr="00312614" w:rsidRDefault="003647F4" w:rsidP="00975A17">
      <w:pPr>
        <w:spacing w:line="480" w:lineRule="auto"/>
        <w:jc w:val="both"/>
        <w:rPr>
          <w:rFonts w:ascii="Garamond" w:hAnsi="Garamond"/>
        </w:rPr>
      </w:pPr>
      <w:r w:rsidRPr="00312614">
        <w:rPr>
          <w:rFonts w:ascii="Garamond" w:hAnsi="Garamond"/>
        </w:rPr>
        <w:t xml:space="preserve">The variables of interest in </w:t>
      </w:r>
      <w:r w:rsidR="007831E5" w:rsidRPr="00312614">
        <w:rPr>
          <w:rFonts w:ascii="Garamond" w:hAnsi="Garamond"/>
        </w:rPr>
        <w:t xml:space="preserve">this paper are returns, volume, </w:t>
      </w:r>
      <w:r w:rsidR="00504221">
        <w:rPr>
          <w:rFonts w:ascii="Garamond" w:hAnsi="Garamond"/>
        </w:rPr>
        <w:t>liquidity</w:t>
      </w:r>
      <w:r w:rsidR="007831E5" w:rsidRPr="00312614">
        <w:rPr>
          <w:rFonts w:ascii="Garamond" w:hAnsi="Garamond"/>
        </w:rPr>
        <w:t xml:space="preserve"> </w:t>
      </w:r>
      <w:r w:rsidR="004423C0" w:rsidRPr="00312614">
        <w:rPr>
          <w:rFonts w:ascii="Garamond" w:hAnsi="Garamond"/>
        </w:rPr>
        <w:t>and volatility</w:t>
      </w:r>
      <w:r w:rsidRPr="00312614">
        <w:rPr>
          <w:rFonts w:ascii="Garamond" w:hAnsi="Garamond"/>
        </w:rPr>
        <w:t xml:space="preserve">.  </w:t>
      </w:r>
      <w:r w:rsidR="009D3FD1" w:rsidRPr="00312614">
        <w:rPr>
          <w:rFonts w:ascii="Garamond" w:hAnsi="Garamond"/>
        </w:rPr>
        <w:t>We calculate log</w:t>
      </w:r>
      <w:r w:rsidRPr="00312614">
        <w:rPr>
          <w:rFonts w:ascii="Garamond" w:hAnsi="Garamond"/>
        </w:rPr>
        <w:t xml:space="preserve"> returns as;</w:t>
      </w:r>
    </w:p>
    <w:tbl>
      <w:tblPr>
        <w:tblStyle w:val="TableGrid"/>
        <w:tblW w:w="49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6276"/>
        <w:gridCol w:w="1345"/>
      </w:tblGrid>
      <w:tr w:rsidR="003647F4" w:rsidRPr="00312614" w:rsidTr="00A553F2">
        <w:tc>
          <w:tcPr>
            <w:tcW w:w="750" w:type="pct"/>
          </w:tcPr>
          <w:p w:rsidR="003647F4" w:rsidRPr="00312614" w:rsidRDefault="003647F4" w:rsidP="00975A17">
            <w:pPr>
              <w:spacing w:line="480" w:lineRule="auto"/>
              <w:jc w:val="center"/>
              <w:rPr>
                <w:rFonts w:ascii="Garamond" w:hAnsi="Garamond"/>
                <w:sz w:val="28"/>
              </w:rPr>
            </w:pPr>
          </w:p>
        </w:tc>
        <w:tc>
          <w:tcPr>
            <w:tcW w:w="3500" w:type="pct"/>
          </w:tcPr>
          <w:p w:rsidR="003647F4" w:rsidRPr="00312614" w:rsidRDefault="004075A6" w:rsidP="00975A17">
            <w:pPr>
              <w:spacing w:line="480" w:lineRule="auto"/>
              <w:jc w:val="center"/>
              <w:rPr>
                <w:rFonts w:ascii="Garamond" w:hAnsi="Garamond"/>
              </w:rPr>
            </w:pPr>
            <m:oMathPara>
              <m:oMath>
                <m:sSub>
                  <m:sSubPr>
                    <m:ctrlPr>
                      <w:rPr>
                        <w:rFonts w:ascii="Cambria Math" w:hAnsi="Cambria Math"/>
                        <w:i/>
                      </w:rPr>
                    </m:ctrlPr>
                  </m:sSubPr>
                  <m:e>
                    <m:r>
                      <w:rPr>
                        <w:rFonts w:ascii="Cambria Math" w:hAnsi="Cambria Math"/>
                      </w:rPr>
                      <m:t>r</m:t>
                    </m:r>
                  </m:e>
                  <m:sub>
                    <m:r>
                      <w:rPr>
                        <w:rFonts w:ascii="Cambria Math" w:hAnsi="Cambria Math"/>
                      </w:rPr>
                      <m:t>t,d</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In P</m:t>
                        </m:r>
                      </m:e>
                      <m:sub>
                        <m:r>
                          <w:rPr>
                            <w:rFonts w:ascii="Cambria Math" w:hAnsi="Cambria Math"/>
                          </w:rPr>
                          <m:t>t,d</m:t>
                        </m:r>
                      </m:sub>
                    </m:sSub>
                    <m:r>
                      <w:rPr>
                        <w:rFonts w:ascii="Cambria Math" w:hAnsi="Cambria Math"/>
                      </w:rPr>
                      <m:t>-</m:t>
                    </m:r>
                    <m:sSub>
                      <m:sSubPr>
                        <m:ctrlPr>
                          <w:rPr>
                            <w:rFonts w:ascii="Cambria Math" w:hAnsi="Cambria Math"/>
                            <w:i/>
                          </w:rPr>
                        </m:ctrlPr>
                      </m:sSubPr>
                      <m:e>
                        <m:r>
                          <w:rPr>
                            <w:rFonts w:ascii="Cambria Math" w:hAnsi="Cambria Math"/>
                          </w:rPr>
                          <m:t>In P</m:t>
                        </m:r>
                      </m:e>
                      <m:sub>
                        <m:r>
                          <w:rPr>
                            <w:rFonts w:ascii="Cambria Math" w:hAnsi="Cambria Math"/>
                          </w:rPr>
                          <m:t>t,d-1</m:t>
                        </m:r>
                      </m:sub>
                    </m:sSub>
                  </m:e>
                </m:d>
                <m:r>
                  <w:rPr>
                    <w:rFonts w:ascii="Cambria Math" w:hAnsi="Cambria Math"/>
                  </w:rPr>
                  <m:t>×100</m:t>
                </m:r>
              </m:oMath>
            </m:oMathPara>
          </w:p>
        </w:tc>
        <w:tc>
          <w:tcPr>
            <w:tcW w:w="750" w:type="pct"/>
          </w:tcPr>
          <w:p w:rsidR="003647F4" w:rsidRPr="00312614" w:rsidRDefault="003647F4" w:rsidP="00975A17">
            <w:pPr>
              <w:spacing w:line="480" w:lineRule="auto"/>
              <w:jc w:val="center"/>
              <w:rPr>
                <w:rFonts w:ascii="Garamond" w:hAnsi="Garamond"/>
              </w:rPr>
            </w:pPr>
            <w:r w:rsidRPr="00312614">
              <w:rPr>
                <w:rFonts w:ascii="Garamond" w:hAnsi="Garamond"/>
              </w:rPr>
              <w:t>(1)</w:t>
            </w:r>
          </w:p>
        </w:tc>
      </w:tr>
    </w:tbl>
    <w:p w:rsidR="003647F4" w:rsidRPr="00312614" w:rsidRDefault="003647F4" w:rsidP="00975A17">
      <w:pPr>
        <w:spacing w:line="480" w:lineRule="auto"/>
        <w:jc w:val="both"/>
        <w:rPr>
          <w:rFonts w:ascii="Garamond" w:hAnsi="Garamond"/>
        </w:rPr>
      </w:pPr>
    </w:p>
    <w:p w:rsidR="003647F4" w:rsidRPr="00312614" w:rsidRDefault="003647F4" w:rsidP="001E4914">
      <w:pPr>
        <w:spacing w:line="480" w:lineRule="auto"/>
        <w:jc w:val="both"/>
        <w:rPr>
          <w:rFonts w:ascii="Garamond" w:hAnsi="Garamond"/>
        </w:rPr>
      </w:pPr>
      <w:r w:rsidRPr="00312614">
        <w:rPr>
          <w:rFonts w:ascii="Garamond" w:hAnsi="Garamond"/>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t,d</m:t>
            </m:r>
          </m:sub>
        </m:sSub>
      </m:oMath>
      <w:r w:rsidRPr="00312614">
        <w:rPr>
          <w:rFonts w:ascii="Garamond" w:eastAsiaTheme="minorEastAsia" w:hAnsi="Garamond"/>
        </w:rPr>
        <w:t xml:space="preserve"> is the return for the intraday period </w:t>
      </w:r>
      <w:r w:rsidRPr="00312614">
        <w:rPr>
          <w:rFonts w:ascii="Garamond" w:eastAsiaTheme="minorEastAsia" w:hAnsi="Garamond"/>
          <w:i/>
        </w:rPr>
        <w:t>d</w:t>
      </w:r>
      <w:r w:rsidRPr="00312614">
        <w:rPr>
          <w:rFonts w:ascii="Garamond" w:eastAsiaTheme="minorEastAsia" w:hAnsi="Garamond"/>
        </w:rPr>
        <w:t xml:space="preserve"> on trading day </w:t>
      </w:r>
      <w:r w:rsidRPr="00312614">
        <w:rPr>
          <w:rFonts w:ascii="Garamond" w:eastAsiaTheme="minorEastAsia" w:hAnsi="Garamond"/>
          <w:i/>
        </w:rPr>
        <w:t>t</w:t>
      </w:r>
      <w:r w:rsidRPr="00312614">
        <w:rPr>
          <w:rFonts w:ascii="Garamond" w:eastAsiaTheme="minorEastAsia" w:hAnsi="Garamond"/>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t,d</m:t>
            </m:r>
          </m:sub>
        </m:sSub>
      </m:oMath>
      <w:r w:rsidRPr="00312614">
        <w:rPr>
          <w:rFonts w:ascii="Garamond" w:eastAsiaTheme="minorEastAsia" w:hAnsi="Garamond"/>
        </w:rPr>
        <w:t xml:space="preserve"> is the price for the intraday period </w:t>
      </w:r>
      <w:r w:rsidRPr="00312614">
        <w:rPr>
          <w:rFonts w:ascii="Garamond" w:eastAsiaTheme="minorEastAsia" w:hAnsi="Garamond"/>
          <w:i/>
        </w:rPr>
        <w:t xml:space="preserve">d </w:t>
      </w:r>
      <w:r w:rsidRPr="00312614">
        <w:rPr>
          <w:rFonts w:ascii="Garamond" w:eastAsiaTheme="minorEastAsia" w:hAnsi="Garamond"/>
        </w:rPr>
        <w:t xml:space="preserve">on trading day </w:t>
      </w:r>
      <w:r w:rsidRPr="00312614">
        <w:rPr>
          <w:rFonts w:ascii="Garamond" w:eastAsiaTheme="minorEastAsia" w:hAnsi="Garamond"/>
          <w:i/>
        </w:rPr>
        <w:t>t</w:t>
      </w:r>
      <w:r w:rsidRPr="00312614">
        <w:rPr>
          <w:rFonts w:ascii="Garamond" w:eastAsiaTheme="minorEastAsia" w:hAnsi="Garamond"/>
        </w:rPr>
        <w:t xml:space="preserve">. </w:t>
      </w:r>
      <w:r w:rsidR="002E3E7A" w:rsidRPr="00312614">
        <w:rPr>
          <w:rFonts w:ascii="Garamond" w:hAnsi="Garamond"/>
        </w:rPr>
        <w:t>We</w:t>
      </w:r>
      <w:r w:rsidRPr="00312614">
        <w:rPr>
          <w:rFonts w:ascii="Garamond" w:hAnsi="Garamond"/>
        </w:rPr>
        <w:t xml:space="preserve"> employ </w:t>
      </w:r>
      <w:r w:rsidR="007831E5" w:rsidRPr="00312614">
        <w:rPr>
          <w:rFonts w:ascii="Garamond" w:hAnsi="Garamond"/>
        </w:rPr>
        <w:t xml:space="preserve">the popular </w:t>
      </w:r>
      <w:r w:rsidR="002E3E7A" w:rsidRPr="00312614">
        <w:rPr>
          <w:rFonts w:ascii="Garamond" w:hAnsi="Garamond"/>
        </w:rPr>
        <w:t xml:space="preserve">realised volatility (RV) </w:t>
      </w:r>
      <w:r w:rsidR="006F54EF" w:rsidRPr="00312614">
        <w:rPr>
          <w:rFonts w:ascii="Garamond" w:hAnsi="Garamond"/>
        </w:rPr>
        <w:t>a</w:t>
      </w:r>
      <w:r w:rsidR="002E3E7A" w:rsidRPr="00312614">
        <w:rPr>
          <w:rFonts w:ascii="Garamond" w:hAnsi="Garamond"/>
        </w:rPr>
        <w:t>s our measure of volatility such that</w:t>
      </w:r>
      <w:r w:rsidR="004D5A2A">
        <w:rPr>
          <w:rStyle w:val="FootnoteReference"/>
          <w:rFonts w:ascii="Garamond" w:hAnsi="Garamond"/>
        </w:rPr>
        <w:footnoteReference w:id="8"/>
      </w:r>
      <w:r w:rsidR="002E3E7A" w:rsidRPr="00312614">
        <w:rPr>
          <w:rFonts w:ascii="Garamond" w:hAnsi="Garamond"/>
        </w:rPr>
        <w:t xml:space="preserve">; </w:t>
      </w:r>
    </w:p>
    <w:tbl>
      <w:tblPr>
        <w:tblStyle w:val="TableGrid"/>
        <w:tblW w:w="48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7281"/>
        <w:gridCol w:w="733"/>
      </w:tblGrid>
      <w:tr w:rsidR="003647F4" w:rsidRPr="00312614" w:rsidTr="002E3E7A">
        <w:trPr>
          <w:trHeight w:val="913"/>
        </w:trPr>
        <w:tc>
          <w:tcPr>
            <w:tcW w:w="450" w:type="pct"/>
          </w:tcPr>
          <w:p w:rsidR="003647F4" w:rsidRPr="00312614" w:rsidRDefault="003647F4" w:rsidP="00975A17">
            <w:pPr>
              <w:spacing w:line="480" w:lineRule="auto"/>
              <w:jc w:val="center"/>
              <w:rPr>
                <w:rFonts w:ascii="Garamond" w:hAnsi="Garamond"/>
              </w:rPr>
            </w:pPr>
          </w:p>
        </w:tc>
        <w:tc>
          <w:tcPr>
            <w:tcW w:w="4134" w:type="pct"/>
          </w:tcPr>
          <w:p w:rsidR="003647F4" w:rsidRPr="00312614" w:rsidRDefault="002E3E7A" w:rsidP="00975A17">
            <w:pPr>
              <w:spacing w:line="480" w:lineRule="auto"/>
              <w:jc w:val="center"/>
              <w:rPr>
                <w:rFonts w:ascii="Garamond" w:eastAsiaTheme="minorEastAsia" w:hAnsi="Garamond"/>
              </w:rPr>
            </w:pPr>
            <m:oMathPara>
              <m:oMath>
                <m:r>
                  <w:rPr>
                    <w:rFonts w:ascii="Cambria Math" w:hAnsi="Cambria Math"/>
                  </w:rPr>
                  <m:t>RV= In</m:t>
                </m:r>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t-1</m:t>
                                </m:r>
                              </m:sub>
                            </m:sSub>
                          </m:den>
                        </m:f>
                      </m:e>
                    </m:d>
                  </m:e>
                  <m:sup>
                    <m:r>
                      <w:rPr>
                        <w:rFonts w:ascii="Cambria Math" w:hAnsi="Cambria Math"/>
                      </w:rPr>
                      <m:t>2</m:t>
                    </m:r>
                  </m:sup>
                </m:sSup>
              </m:oMath>
            </m:oMathPara>
          </w:p>
        </w:tc>
        <w:tc>
          <w:tcPr>
            <w:tcW w:w="416" w:type="pct"/>
          </w:tcPr>
          <w:p w:rsidR="003647F4" w:rsidRPr="00312614" w:rsidRDefault="003647F4" w:rsidP="00975A17">
            <w:pPr>
              <w:spacing w:line="480" w:lineRule="auto"/>
              <w:jc w:val="center"/>
              <w:rPr>
                <w:rFonts w:ascii="Garamond" w:hAnsi="Garamond"/>
              </w:rPr>
            </w:pPr>
            <w:r w:rsidRPr="00312614">
              <w:rPr>
                <w:rFonts w:ascii="Garamond" w:hAnsi="Garamond"/>
              </w:rPr>
              <w:t>(</w:t>
            </w:r>
            <w:r w:rsidR="002E3E7A" w:rsidRPr="00312614">
              <w:rPr>
                <w:rFonts w:ascii="Garamond" w:hAnsi="Garamond"/>
              </w:rPr>
              <w:t>2</w:t>
            </w:r>
            <w:r w:rsidRPr="00312614">
              <w:rPr>
                <w:rFonts w:ascii="Garamond" w:hAnsi="Garamond"/>
              </w:rPr>
              <w:t>)</w:t>
            </w:r>
          </w:p>
        </w:tc>
      </w:tr>
    </w:tbl>
    <w:p w:rsidR="00312614" w:rsidRPr="00312614" w:rsidRDefault="00312614" w:rsidP="00652C5E">
      <w:pPr>
        <w:spacing w:line="360" w:lineRule="auto"/>
        <w:jc w:val="both"/>
        <w:rPr>
          <w:rFonts w:ascii="Garamond" w:eastAsiaTheme="minorEastAsia" w:hAnsi="Garamond"/>
        </w:rPr>
      </w:pPr>
    </w:p>
    <w:p w:rsidR="00312614" w:rsidRPr="00312614" w:rsidRDefault="007F67B6" w:rsidP="00652C5E">
      <w:pPr>
        <w:spacing w:line="360" w:lineRule="auto"/>
        <w:jc w:val="both"/>
        <w:rPr>
          <w:rFonts w:ascii="Garamond" w:eastAsiaTheme="minorEastAsia" w:hAnsi="Garamond"/>
        </w:rPr>
      </w:pPr>
      <w:r>
        <w:rPr>
          <w:rFonts w:ascii="Garamond" w:eastAsiaTheme="minorEastAsia" w:hAnsi="Garamond"/>
        </w:rPr>
        <w:t xml:space="preserve">We also study the trading volume of Bitcoin, with the variable provided by the data source and we aggregate up the tick level data to gain 5-minute measures of trading volume. </w:t>
      </w:r>
      <w:r w:rsidR="00312614" w:rsidRPr="00312614">
        <w:rPr>
          <w:rFonts w:ascii="Garamond" w:eastAsiaTheme="minorEastAsia" w:hAnsi="Garamond"/>
        </w:rPr>
        <w:t>Our last variable of interest is liquidity, where we employ the Amihud measure which captures price changes per unit of dollar volume (Amihud 2002). Higher Amihud values indicate more illiquidity and is calculated such that:</w:t>
      </w:r>
    </w:p>
    <w:p w:rsidR="00312614" w:rsidRPr="00312614" w:rsidRDefault="00312614" w:rsidP="00312614">
      <w:pPr>
        <w:jc w:val="both"/>
        <w:rPr>
          <w:rFonts w:ascii="Garamond" w:eastAsiaTheme="minorEastAsia" w:hAnsi="Garamond"/>
        </w:rPr>
      </w:pPr>
    </w:p>
    <w:p w:rsidR="00312614" w:rsidRPr="00312614" w:rsidRDefault="00312614" w:rsidP="00312614">
      <w:pPr>
        <w:jc w:val="both"/>
        <w:rPr>
          <w:rFonts w:ascii="Garamond" w:eastAsiaTheme="minorEastAsia" w:hAnsi="Garamond"/>
        </w:rPr>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335"/>
        <w:gridCol w:w="740"/>
      </w:tblGrid>
      <w:tr w:rsidR="00312614" w:rsidRPr="00312614" w:rsidTr="00312614">
        <w:trPr>
          <w:trHeight w:val="1008"/>
        </w:trPr>
        <w:tc>
          <w:tcPr>
            <w:tcW w:w="450" w:type="pct"/>
          </w:tcPr>
          <w:p w:rsidR="00312614" w:rsidRPr="00312614" w:rsidRDefault="00312614" w:rsidP="00312614">
            <w:pPr>
              <w:jc w:val="center"/>
              <w:rPr>
                <w:rFonts w:ascii="Garamond" w:hAnsi="Garamond"/>
              </w:rPr>
            </w:pPr>
          </w:p>
        </w:tc>
        <w:tc>
          <w:tcPr>
            <w:tcW w:w="4133" w:type="pct"/>
          </w:tcPr>
          <w:p w:rsidR="00312614" w:rsidRPr="00312614" w:rsidRDefault="00312614" w:rsidP="00312614">
            <w:pPr>
              <w:jc w:val="center"/>
              <w:rPr>
                <w:rFonts w:ascii="Garamond" w:eastAsiaTheme="minorEastAsia" w:hAnsi="Garamond"/>
              </w:rPr>
            </w:pPr>
          </w:p>
          <w:p w:rsidR="00312614" w:rsidRPr="00312614" w:rsidRDefault="00312614" w:rsidP="00312614">
            <w:pPr>
              <w:jc w:val="center"/>
              <w:rPr>
                <w:rFonts w:ascii="Garamond" w:hAnsi="Garamond"/>
              </w:rPr>
            </w:pPr>
            <m:oMathPara>
              <m:oMath>
                <m:r>
                  <w:rPr>
                    <w:rFonts w:ascii="Cambria Math" w:hAnsi="Cambria Math"/>
                  </w:rPr>
                  <m:t>Amihud=</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e>
                    </m:d>
                  </m:num>
                  <m:den>
                    <m:sSub>
                      <m:sSubPr>
                        <m:ctrlPr>
                          <w:rPr>
                            <w:rFonts w:ascii="Cambria Math" w:hAnsi="Cambria Math"/>
                            <w:i/>
                          </w:rPr>
                        </m:ctrlPr>
                      </m:sSubPr>
                      <m:e>
                        <m:r>
                          <w:rPr>
                            <w:rFonts w:ascii="Cambria Math" w:hAnsi="Cambria Math"/>
                          </w:rPr>
                          <m:t>Volume</m:t>
                        </m:r>
                      </m:e>
                      <m:sub>
                        <m:r>
                          <w:rPr>
                            <w:rFonts w:ascii="Cambria Math" w:hAnsi="Cambria Math"/>
                          </w:rPr>
                          <m:t>t</m:t>
                        </m:r>
                      </m:sub>
                    </m:sSub>
                  </m:den>
                </m:f>
                <m:r>
                  <w:rPr>
                    <w:rFonts w:ascii="Cambria Math" w:hAnsi="Cambria Math"/>
                  </w:rPr>
                  <m:t xml:space="preserve"> </m:t>
                </m:r>
              </m:oMath>
            </m:oMathPara>
          </w:p>
        </w:tc>
        <w:tc>
          <w:tcPr>
            <w:tcW w:w="417" w:type="pct"/>
          </w:tcPr>
          <w:p w:rsidR="00312614" w:rsidRPr="00312614" w:rsidRDefault="00312614" w:rsidP="00312614">
            <w:pPr>
              <w:jc w:val="center"/>
              <w:rPr>
                <w:rFonts w:ascii="Garamond" w:hAnsi="Garamond"/>
              </w:rPr>
            </w:pPr>
          </w:p>
          <w:p w:rsidR="00312614" w:rsidRPr="00312614" w:rsidRDefault="004D5A2A" w:rsidP="00312614">
            <w:pPr>
              <w:jc w:val="center"/>
              <w:rPr>
                <w:rFonts w:ascii="Garamond" w:hAnsi="Garamond"/>
              </w:rPr>
            </w:pPr>
            <w:r>
              <w:rPr>
                <w:rFonts w:ascii="Garamond" w:hAnsi="Garamond"/>
              </w:rPr>
              <w:t>(</w:t>
            </w:r>
            <w:r w:rsidR="007F67B6">
              <w:rPr>
                <w:rFonts w:ascii="Garamond" w:hAnsi="Garamond"/>
              </w:rPr>
              <w:t>3</w:t>
            </w:r>
            <w:r w:rsidR="00312614" w:rsidRPr="00312614">
              <w:rPr>
                <w:rFonts w:ascii="Garamond" w:hAnsi="Garamond"/>
              </w:rPr>
              <w:t>)</w:t>
            </w:r>
          </w:p>
        </w:tc>
      </w:tr>
    </w:tbl>
    <w:p w:rsidR="007F67B6" w:rsidRDefault="007F67B6" w:rsidP="002F33FA">
      <w:pPr>
        <w:spacing w:line="480" w:lineRule="auto"/>
        <w:jc w:val="both"/>
        <w:outlineLvl w:val="0"/>
        <w:rPr>
          <w:rFonts w:ascii="Garamond" w:eastAsiaTheme="minorEastAsia" w:hAnsi="Garamond"/>
        </w:rPr>
      </w:pPr>
    </w:p>
    <w:p w:rsidR="00AB15C5" w:rsidRDefault="00312614" w:rsidP="002F33FA">
      <w:pPr>
        <w:spacing w:line="480" w:lineRule="auto"/>
        <w:jc w:val="both"/>
        <w:outlineLvl w:val="0"/>
        <w:rPr>
          <w:rFonts w:ascii="Garamond" w:eastAsiaTheme="minorEastAsia" w:hAnsi="Garamond"/>
        </w:rPr>
      </w:pPr>
      <w:r w:rsidRPr="00312614">
        <w:rPr>
          <w:rFonts w:ascii="Garamond" w:eastAsiaTheme="minorEastAsia" w:hAnsi="Garamond"/>
        </w:rPr>
        <w:t xml:space="preserve">Where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e>
        </m:d>
      </m:oMath>
      <w:r w:rsidRPr="00312614">
        <w:rPr>
          <w:rFonts w:ascii="Garamond" w:eastAsiaTheme="minorEastAsia" w:hAnsi="Garamond"/>
        </w:rPr>
        <w:t xml:space="preserve"> is the absolute returns at time </w:t>
      </w:r>
      <w:r w:rsidRPr="00312614">
        <w:rPr>
          <w:rFonts w:ascii="Garamond" w:eastAsiaTheme="minorEastAsia" w:hAnsi="Garamond"/>
          <w:i/>
        </w:rPr>
        <w:t>t</w:t>
      </w:r>
      <w:r w:rsidRPr="00312614">
        <w:rPr>
          <w:rFonts w:ascii="Garamond" w:eastAsiaTheme="minorEastAsia" w:hAnsi="Garamond"/>
        </w:rPr>
        <w:t xml:space="preserve"> and </w:t>
      </w:r>
      <m:oMath>
        <m:sSub>
          <m:sSubPr>
            <m:ctrlPr>
              <w:rPr>
                <w:rFonts w:ascii="Cambria Math" w:hAnsi="Cambria Math"/>
                <w:i/>
              </w:rPr>
            </m:ctrlPr>
          </m:sSubPr>
          <m:e>
            <m:r>
              <w:rPr>
                <w:rFonts w:ascii="Cambria Math" w:hAnsi="Cambria Math"/>
              </w:rPr>
              <m:t>Volume</m:t>
            </m:r>
          </m:e>
          <m:sub>
            <m:r>
              <w:rPr>
                <w:rFonts w:ascii="Cambria Math" w:hAnsi="Cambria Math"/>
              </w:rPr>
              <m:t>t</m:t>
            </m:r>
          </m:sub>
        </m:sSub>
      </m:oMath>
      <w:r w:rsidRPr="00312614">
        <w:rPr>
          <w:rFonts w:ascii="Garamond" w:eastAsiaTheme="minorEastAsia" w:hAnsi="Garamond"/>
        </w:rPr>
        <w:t xml:space="preserve"> is the dollar volume on day </w:t>
      </w:r>
      <w:r w:rsidRPr="00312614">
        <w:rPr>
          <w:rFonts w:ascii="Garamond" w:eastAsiaTheme="minorEastAsia" w:hAnsi="Garamond"/>
          <w:i/>
        </w:rPr>
        <w:t>t</w:t>
      </w:r>
      <w:r w:rsidRPr="00312614">
        <w:rPr>
          <w:rFonts w:ascii="Garamond" w:eastAsiaTheme="minorEastAsia" w:hAnsi="Garamond"/>
        </w:rPr>
        <w:t xml:space="preserve">. </w:t>
      </w:r>
      <w:r>
        <w:rPr>
          <w:rFonts w:ascii="Garamond" w:eastAsiaTheme="minorEastAsia" w:hAnsi="Garamond"/>
        </w:rPr>
        <w:t>The Amihud measure is scaled by 10</w:t>
      </w:r>
      <w:r w:rsidR="00652C5E" w:rsidRPr="00652C5E">
        <w:rPr>
          <w:rFonts w:ascii="Garamond" w:eastAsiaTheme="minorEastAsia" w:hAnsi="Garamond"/>
          <w:vertAlign w:val="superscript"/>
        </w:rPr>
        <w:t>3</w:t>
      </w:r>
      <w:r>
        <w:rPr>
          <w:rFonts w:ascii="Garamond" w:eastAsiaTheme="minorEastAsia" w:hAnsi="Garamond"/>
        </w:rPr>
        <w:t xml:space="preserve"> for practical application.</w:t>
      </w:r>
      <w:r w:rsidR="007F67B6">
        <w:rPr>
          <w:rFonts w:ascii="Garamond" w:eastAsiaTheme="minorEastAsia" w:hAnsi="Garamond"/>
        </w:rPr>
        <w:t xml:space="preserve"> Therefore, a higher level of the Amihud measure indicates more illiquidity in the Bitcoin market.</w:t>
      </w:r>
    </w:p>
    <w:p w:rsidR="008A6850" w:rsidRDefault="008A6850" w:rsidP="002F33FA">
      <w:pPr>
        <w:spacing w:line="480" w:lineRule="auto"/>
        <w:jc w:val="both"/>
        <w:outlineLvl w:val="0"/>
        <w:rPr>
          <w:rFonts w:ascii="Garamond" w:eastAsiaTheme="minorEastAsia" w:hAnsi="Garamond"/>
        </w:rPr>
      </w:pPr>
    </w:p>
    <w:p w:rsidR="008A6850" w:rsidRDefault="008A6850" w:rsidP="002F33FA">
      <w:pPr>
        <w:spacing w:line="480" w:lineRule="auto"/>
        <w:jc w:val="both"/>
        <w:outlineLvl w:val="0"/>
        <w:rPr>
          <w:rFonts w:ascii="Garamond" w:eastAsiaTheme="minorEastAsia" w:hAnsi="Garamond"/>
          <w:i/>
        </w:rPr>
      </w:pPr>
      <w:r w:rsidRPr="008A6850">
        <w:rPr>
          <w:rFonts w:ascii="Garamond" w:eastAsiaTheme="minorEastAsia" w:hAnsi="Garamond"/>
          <w:i/>
        </w:rPr>
        <w:t>3.3. Methodology</w:t>
      </w:r>
    </w:p>
    <w:p w:rsidR="008A6850" w:rsidRDefault="008A6850" w:rsidP="002F33FA">
      <w:pPr>
        <w:spacing w:line="480" w:lineRule="auto"/>
        <w:jc w:val="both"/>
        <w:outlineLvl w:val="0"/>
        <w:rPr>
          <w:rFonts w:ascii="Garamond" w:eastAsiaTheme="minorEastAsia" w:hAnsi="Garamond"/>
        </w:rPr>
      </w:pPr>
      <w:r>
        <w:rPr>
          <w:rFonts w:ascii="Garamond" w:eastAsiaTheme="minorEastAsia" w:hAnsi="Garamond"/>
        </w:rPr>
        <w:t xml:space="preserve">In this paper we study the intraday dynamics of Bitcoin, where we initially examine the intraday patterns through graphical analysis. Although the graphical analysis is widely used in the literature, we also employ a simple regression analysis to examine statistically the difference in the intraday variables.  Specifically, we follow Khademalomoom and Narayan (2018) and run a simple </w:t>
      </w:r>
      <w:r w:rsidR="005F3512">
        <w:rPr>
          <w:rFonts w:ascii="Garamond" w:eastAsiaTheme="minorEastAsia" w:hAnsi="Garamond"/>
        </w:rPr>
        <w:t xml:space="preserve">GARCH </w:t>
      </w:r>
      <w:r>
        <w:rPr>
          <w:rFonts w:ascii="Garamond" w:eastAsiaTheme="minorEastAsia" w:hAnsi="Garamond"/>
        </w:rPr>
        <w:t xml:space="preserve">regression </w:t>
      </w:r>
      <w:r w:rsidR="005F3512">
        <w:rPr>
          <w:rFonts w:ascii="Garamond" w:eastAsiaTheme="minorEastAsia" w:hAnsi="Garamond"/>
        </w:rPr>
        <w:t xml:space="preserve">to ensure our test is free from heterocedasticity </w:t>
      </w:r>
      <w:r>
        <w:rPr>
          <w:rFonts w:ascii="Garamond" w:eastAsiaTheme="minorEastAsia" w:hAnsi="Garamond"/>
        </w:rPr>
        <w:t>such that:</w:t>
      </w:r>
    </w:p>
    <w:p w:rsidR="008A6850" w:rsidRDefault="008A6850" w:rsidP="002F33FA">
      <w:pPr>
        <w:spacing w:line="480" w:lineRule="auto"/>
        <w:jc w:val="both"/>
        <w:outlineLvl w:val="0"/>
        <w:rPr>
          <w:rFonts w:ascii="Garamond" w:eastAsiaTheme="minorEastAsia" w:hAnsi="Garamond"/>
        </w:rPr>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335"/>
        <w:gridCol w:w="740"/>
      </w:tblGrid>
      <w:tr w:rsidR="008A6850" w:rsidRPr="00312614" w:rsidTr="00FB4EDE">
        <w:trPr>
          <w:trHeight w:val="1008"/>
        </w:trPr>
        <w:tc>
          <w:tcPr>
            <w:tcW w:w="450" w:type="pct"/>
          </w:tcPr>
          <w:p w:rsidR="008A6850" w:rsidRPr="00312614" w:rsidRDefault="008A6850" w:rsidP="00FB4EDE">
            <w:pPr>
              <w:jc w:val="center"/>
              <w:rPr>
                <w:rFonts w:ascii="Garamond" w:hAnsi="Garamond"/>
              </w:rPr>
            </w:pPr>
          </w:p>
        </w:tc>
        <w:tc>
          <w:tcPr>
            <w:tcW w:w="4133" w:type="pct"/>
          </w:tcPr>
          <w:p w:rsidR="008A6850" w:rsidRPr="00312614" w:rsidRDefault="008A6850" w:rsidP="00FB4EDE">
            <w:pPr>
              <w:jc w:val="center"/>
              <w:rPr>
                <w:rFonts w:ascii="Garamond" w:eastAsiaTheme="minorEastAsia" w:hAnsi="Garamond"/>
              </w:rPr>
            </w:pPr>
          </w:p>
          <w:p w:rsidR="008A6850" w:rsidRPr="00905DD6" w:rsidRDefault="004075A6" w:rsidP="00FB4EDE">
            <w:pPr>
              <w:jc w:val="center"/>
              <w:rPr>
                <w:rFonts w:ascii="Garamond" w:hAnsi="Garamond"/>
              </w:rPr>
            </w:pPr>
            <m:oMathPara>
              <m:oMath>
                <m:sSub>
                  <m:sSubPr>
                    <m:ctrlPr>
                      <w:rPr>
                        <w:rFonts w:ascii="Cambria Math" w:eastAsia="PMingLiU" w:hAnsi="Cambria Math"/>
                        <w:i/>
                      </w:rPr>
                    </m:ctrlPr>
                  </m:sSubPr>
                  <m:e>
                    <m:r>
                      <w:rPr>
                        <w:rFonts w:ascii="Cambria Math" w:hAnsi="Cambria Math"/>
                      </w:rPr>
                      <m:t>R</m:t>
                    </m:r>
                  </m:e>
                  <m:sub>
                    <m:r>
                      <w:rPr>
                        <w:rFonts w:ascii="Cambria Math" w:hAnsi="Cambria Math"/>
                      </w:rPr>
                      <m:t>t</m:t>
                    </m:r>
                  </m:sub>
                </m:sSub>
                <m:r>
                  <w:rPr>
                    <w:rFonts w:ascii="Cambria Math" w:hAnsi="Cambria Math"/>
                  </w:rPr>
                  <m:t>=</m:t>
                </m:r>
                <m:nary>
                  <m:naryPr>
                    <m:chr m:val="∑"/>
                    <m:limLoc m:val="undOvr"/>
                    <m:ctrlPr>
                      <w:rPr>
                        <w:rFonts w:ascii="Cambria Math" w:eastAsia="PMingLiU" w:hAnsi="Cambria Math"/>
                        <w:i/>
                      </w:rPr>
                    </m:ctrlPr>
                  </m:naryPr>
                  <m:sub>
                    <m:r>
                      <w:rPr>
                        <w:rFonts w:ascii="Cambria Math" w:hAnsi="Cambria Math"/>
                      </w:rPr>
                      <m:t>i=1</m:t>
                    </m:r>
                  </m:sub>
                  <m:sup>
                    <m:r>
                      <w:rPr>
                        <w:rFonts w:ascii="Cambria Math" w:hAnsi="Cambria Math"/>
                      </w:rPr>
                      <m:t>288</m:t>
                    </m:r>
                  </m:sup>
                  <m:e>
                    <m:sSub>
                      <m:sSubPr>
                        <m:ctrlPr>
                          <w:rPr>
                            <w:rFonts w:ascii="Cambria Math" w:eastAsia="PMingLiU" w:hAnsi="Cambria Math"/>
                            <w:i/>
                          </w:rPr>
                        </m:ctrlPr>
                      </m:sSubPr>
                      <m:e>
                        <m:r>
                          <w:rPr>
                            <w:rFonts w:ascii="Cambria Math" w:hAnsi="Cambria Math"/>
                          </w:rPr>
                          <m:t>β</m:t>
                        </m:r>
                      </m:e>
                      <m:sub>
                        <m:r>
                          <w:rPr>
                            <w:rFonts w:ascii="Cambria Math" w:hAnsi="Cambria Math"/>
                          </w:rPr>
                          <m:t>i</m:t>
                        </m:r>
                      </m:sub>
                    </m:sSub>
                    <m:sSub>
                      <m:sSubPr>
                        <m:ctrlPr>
                          <w:rPr>
                            <w:rFonts w:ascii="Cambria Math" w:eastAsia="PMingLiU" w:hAnsi="Cambria Math"/>
                            <w:i/>
                          </w:rPr>
                        </m:ctrlPr>
                      </m:sSubPr>
                      <m:e>
                        <m:r>
                          <w:rPr>
                            <w:rFonts w:ascii="Cambria Math" w:hAnsi="Cambria Math"/>
                          </w:rPr>
                          <m:t>D</m:t>
                        </m:r>
                      </m:e>
                      <m:sub>
                        <m:r>
                          <w:rPr>
                            <w:rFonts w:ascii="Cambria Math" w:hAnsi="Cambria Math"/>
                          </w:rPr>
                          <m:t>i</m:t>
                        </m:r>
                      </m:sub>
                    </m:sSub>
                    <m:r>
                      <w:rPr>
                        <w:rFonts w:ascii="Cambria Math" w:hAnsi="Cambria Math"/>
                      </w:rPr>
                      <m:t>+</m:t>
                    </m:r>
                  </m:e>
                </m:nary>
                <m:nary>
                  <m:naryPr>
                    <m:chr m:val="∑"/>
                    <m:limLoc m:val="undOvr"/>
                    <m:ctrlPr>
                      <w:rPr>
                        <w:rFonts w:ascii="Cambria Math" w:eastAsia="PMingLiU" w:hAnsi="Cambria Math"/>
                        <w:i/>
                      </w:rPr>
                    </m:ctrlPr>
                  </m:naryPr>
                  <m:sub>
                    <m:r>
                      <w:rPr>
                        <w:rFonts w:ascii="Cambria Math" w:hAnsi="Cambria Math"/>
                      </w:rPr>
                      <m:t>j=1</m:t>
                    </m:r>
                  </m:sub>
                  <m:sup>
                    <m:r>
                      <w:rPr>
                        <w:rFonts w:ascii="Cambria Math" w:hAnsi="Cambria Math"/>
                      </w:rPr>
                      <m:t>n</m:t>
                    </m:r>
                  </m:sup>
                  <m:e>
                    <m:sSub>
                      <m:sSubPr>
                        <m:ctrlPr>
                          <w:rPr>
                            <w:rFonts w:ascii="Cambria Math" w:eastAsia="PMingLiU" w:hAnsi="Cambria Math"/>
                            <w:i/>
                          </w:rPr>
                        </m:ctrlPr>
                      </m:sSubPr>
                      <m:e>
                        <m:r>
                          <w:rPr>
                            <w:rFonts w:ascii="Cambria Math" w:hAnsi="Cambria Math"/>
                          </w:rPr>
                          <m:t>β</m:t>
                        </m:r>
                      </m:e>
                      <m:sub>
                        <m:r>
                          <w:rPr>
                            <w:rFonts w:ascii="Cambria Math" w:hAnsi="Cambria Math"/>
                          </w:rPr>
                          <m:t>j</m:t>
                        </m:r>
                      </m:sub>
                    </m:sSub>
                    <m:sSub>
                      <m:sSubPr>
                        <m:ctrlPr>
                          <w:rPr>
                            <w:rFonts w:ascii="Cambria Math" w:eastAsia="PMingLiU" w:hAnsi="Cambria Math"/>
                            <w:i/>
                          </w:rPr>
                        </m:ctrlPr>
                      </m:sSubPr>
                      <m:e>
                        <m:r>
                          <w:rPr>
                            <w:rFonts w:ascii="Cambria Math" w:hAnsi="Cambria Math"/>
                          </w:rPr>
                          <m:t>R</m:t>
                        </m:r>
                      </m:e>
                      <m:sub>
                        <m:r>
                          <w:rPr>
                            <w:rFonts w:ascii="Cambria Math" w:hAnsi="Cambria Math"/>
                          </w:rPr>
                          <m:t>t-1</m:t>
                        </m:r>
                      </m:sub>
                    </m:sSub>
                    <m:r>
                      <w:rPr>
                        <w:rFonts w:ascii="Cambria Math" w:hAnsi="Cambria Math"/>
                      </w:rPr>
                      <m:t>+</m:t>
                    </m:r>
                    <m:sSub>
                      <m:sSubPr>
                        <m:ctrlPr>
                          <w:rPr>
                            <w:rFonts w:ascii="Cambria Math" w:eastAsia="PMingLiU" w:hAnsi="Cambria Math"/>
                            <w:i/>
                          </w:rPr>
                        </m:ctrlPr>
                      </m:sSubPr>
                      <m:e>
                        <m:r>
                          <w:rPr>
                            <w:rFonts w:ascii="Cambria Math" w:hAnsi="Cambria Math"/>
                          </w:rPr>
                          <m:t>ε</m:t>
                        </m:r>
                      </m:e>
                      <m:sub>
                        <m:r>
                          <w:rPr>
                            <w:rFonts w:ascii="Cambria Math" w:hAnsi="Cambria Math"/>
                          </w:rPr>
                          <m:t>t</m:t>
                        </m:r>
                      </m:sub>
                    </m:sSub>
                  </m:e>
                </m:nary>
              </m:oMath>
            </m:oMathPara>
          </w:p>
          <w:p w:rsidR="008A6850" w:rsidRPr="00905DD6" w:rsidRDefault="008A6850" w:rsidP="00FB4EDE">
            <w:pPr>
              <w:jc w:val="center"/>
              <w:rPr>
                <w:rFonts w:ascii="Garamond" w:hAnsi="Garamond"/>
              </w:rPr>
            </w:pPr>
          </w:p>
          <w:p w:rsidR="008A6850" w:rsidRPr="00312614" w:rsidRDefault="004075A6" w:rsidP="00FB4EDE">
            <w:pPr>
              <w:jc w:val="center"/>
              <w:rPr>
                <w:rFonts w:ascii="Garamond" w:hAnsi="Garamond"/>
              </w:rPr>
            </w:pPr>
            <m:oMathPara>
              <m:oMath>
                <m:sSubSup>
                  <m:sSubSupPr>
                    <m:ctrlPr>
                      <w:rPr>
                        <w:rFonts w:ascii="Cambria Math" w:eastAsia="PMingLiU" w:hAnsi="Cambria Math"/>
                        <w:i/>
                      </w:rPr>
                    </m:ctrlPr>
                  </m:sSubSupPr>
                  <m:e>
                    <m:r>
                      <w:rPr>
                        <w:rFonts w:ascii="Cambria Math" w:eastAsia="PMingLiU" w:hAnsi="Cambria Math"/>
                      </w:rPr>
                      <m:t>σ</m:t>
                    </m:r>
                  </m:e>
                  <m:sub>
                    <m:r>
                      <w:rPr>
                        <w:rFonts w:ascii="Cambria Math" w:eastAsia="PMingLiU" w:hAnsi="Cambria Math"/>
                      </w:rPr>
                      <m:t>t</m:t>
                    </m:r>
                  </m:sub>
                  <m:sup>
                    <m:r>
                      <w:rPr>
                        <w:rFonts w:ascii="Cambria Math" w:eastAsia="PMingLiU" w:hAnsi="Cambria Math"/>
                      </w:rPr>
                      <m:t>2</m:t>
                    </m:r>
                  </m:sup>
                </m:sSubSup>
                <m:r>
                  <w:rPr>
                    <w:rFonts w:ascii="Cambria Math" w:eastAsia="PMingLiU" w:hAnsi="Cambria Math"/>
                  </w:rPr>
                  <m:t>=ω+</m:t>
                </m:r>
                <m:sSubSup>
                  <m:sSubSupPr>
                    <m:ctrlPr>
                      <w:rPr>
                        <w:rFonts w:ascii="Cambria Math" w:eastAsia="PMingLiU" w:hAnsi="Cambria Math"/>
                        <w:i/>
                      </w:rPr>
                    </m:ctrlPr>
                  </m:sSubSupPr>
                  <m:e>
                    <m:r>
                      <w:rPr>
                        <w:rFonts w:ascii="Cambria Math" w:eastAsia="PMingLiU" w:hAnsi="Cambria Math"/>
                      </w:rPr>
                      <m:t>θε</m:t>
                    </m:r>
                  </m:e>
                  <m:sub>
                    <m:r>
                      <w:rPr>
                        <w:rFonts w:ascii="Cambria Math" w:eastAsia="PMingLiU" w:hAnsi="Cambria Math"/>
                      </w:rPr>
                      <m:t>t-1</m:t>
                    </m:r>
                  </m:sub>
                  <m:sup>
                    <m:r>
                      <w:rPr>
                        <w:rFonts w:ascii="Cambria Math" w:eastAsia="PMingLiU" w:hAnsi="Cambria Math"/>
                      </w:rPr>
                      <m:t>2</m:t>
                    </m:r>
                  </m:sup>
                </m:sSubSup>
                <m:r>
                  <w:rPr>
                    <w:rFonts w:ascii="Cambria Math" w:eastAsia="PMingLiU" w:hAnsi="Cambria Math"/>
                  </w:rPr>
                  <m:t>+</m:t>
                </m:r>
                <m:sSubSup>
                  <m:sSubSupPr>
                    <m:ctrlPr>
                      <w:rPr>
                        <w:rFonts w:ascii="Cambria Math" w:eastAsia="PMingLiU" w:hAnsi="Cambria Math"/>
                        <w:i/>
                      </w:rPr>
                    </m:ctrlPr>
                  </m:sSubSupPr>
                  <m:e>
                    <m:r>
                      <w:rPr>
                        <w:rFonts w:ascii="Cambria Math" w:eastAsia="PMingLiU" w:hAnsi="Cambria Math"/>
                      </w:rPr>
                      <m:t>λσ</m:t>
                    </m:r>
                  </m:e>
                  <m:sub>
                    <m:r>
                      <w:rPr>
                        <w:rFonts w:ascii="Cambria Math" w:eastAsia="PMingLiU" w:hAnsi="Cambria Math"/>
                      </w:rPr>
                      <m:t>t-1</m:t>
                    </m:r>
                  </m:sub>
                  <m:sup>
                    <m:r>
                      <w:rPr>
                        <w:rFonts w:ascii="Cambria Math" w:eastAsia="PMingLiU" w:hAnsi="Cambria Math"/>
                      </w:rPr>
                      <m:t>2</m:t>
                    </m:r>
                  </m:sup>
                </m:sSubSup>
              </m:oMath>
            </m:oMathPara>
          </w:p>
        </w:tc>
        <w:tc>
          <w:tcPr>
            <w:tcW w:w="417" w:type="pct"/>
          </w:tcPr>
          <w:p w:rsidR="008A6850" w:rsidRPr="00312614" w:rsidRDefault="008A6850" w:rsidP="00FB4EDE">
            <w:pPr>
              <w:jc w:val="center"/>
              <w:rPr>
                <w:rFonts w:ascii="Garamond" w:hAnsi="Garamond"/>
              </w:rPr>
            </w:pPr>
          </w:p>
          <w:p w:rsidR="008A6850" w:rsidRDefault="008A6850" w:rsidP="00FB4EDE">
            <w:pPr>
              <w:jc w:val="center"/>
              <w:rPr>
                <w:rFonts w:ascii="Garamond" w:hAnsi="Garamond"/>
              </w:rPr>
            </w:pPr>
          </w:p>
          <w:p w:rsidR="008A6850" w:rsidRDefault="008A6850" w:rsidP="00FB4EDE">
            <w:pPr>
              <w:jc w:val="center"/>
              <w:rPr>
                <w:rFonts w:ascii="Garamond" w:hAnsi="Garamond"/>
              </w:rPr>
            </w:pPr>
            <w:r>
              <w:rPr>
                <w:rFonts w:ascii="Garamond" w:hAnsi="Garamond"/>
              </w:rPr>
              <w:t>(4</w:t>
            </w:r>
            <w:r w:rsidRPr="00312614">
              <w:rPr>
                <w:rFonts w:ascii="Garamond" w:hAnsi="Garamond"/>
              </w:rPr>
              <w:t>)</w:t>
            </w:r>
          </w:p>
          <w:p w:rsidR="008A6850" w:rsidRDefault="008A6850" w:rsidP="00FB4EDE">
            <w:pPr>
              <w:jc w:val="center"/>
              <w:rPr>
                <w:rFonts w:ascii="Garamond" w:hAnsi="Garamond"/>
              </w:rPr>
            </w:pPr>
          </w:p>
          <w:p w:rsidR="008A6850" w:rsidRDefault="008A6850" w:rsidP="00FB4EDE">
            <w:pPr>
              <w:jc w:val="center"/>
              <w:rPr>
                <w:rFonts w:ascii="Garamond" w:hAnsi="Garamond"/>
              </w:rPr>
            </w:pPr>
          </w:p>
          <w:p w:rsidR="008A6850" w:rsidRDefault="008A6850" w:rsidP="00FB4EDE">
            <w:pPr>
              <w:rPr>
                <w:rFonts w:ascii="Garamond" w:hAnsi="Garamond"/>
              </w:rPr>
            </w:pPr>
          </w:p>
          <w:p w:rsidR="008A6850" w:rsidRPr="00312614" w:rsidRDefault="008A6850" w:rsidP="00FB4EDE">
            <w:pPr>
              <w:jc w:val="center"/>
              <w:rPr>
                <w:rFonts w:ascii="Garamond" w:hAnsi="Garamond"/>
              </w:rPr>
            </w:pPr>
            <w:r>
              <w:rPr>
                <w:rFonts w:ascii="Garamond" w:hAnsi="Garamond"/>
              </w:rPr>
              <w:t>(5)</w:t>
            </w:r>
          </w:p>
        </w:tc>
      </w:tr>
    </w:tbl>
    <w:p w:rsidR="008A6850" w:rsidRDefault="008A6850" w:rsidP="002F33FA">
      <w:pPr>
        <w:spacing w:line="480" w:lineRule="auto"/>
        <w:jc w:val="both"/>
        <w:outlineLvl w:val="0"/>
        <w:rPr>
          <w:rFonts w:ascii="Garamond" w:eastAsiaTheme="minorEastAsia" w:hAnsi="Garamond"/>
        </w:rPr>
      </w:pPr>
    </w:p>
    <w:p w:rsidR="008A6850" w:rsidRDefault="005F3512" w:rsidP="002F33FA">
      <w:pPr>
        <w:spacing w:line="480" w:lineRule="auto"/>
        <w:jc w:val="both"/>
        <w:outlineLvl w:val="0"/>
        <w:rPr>
          <w:rFonts w:ascii="Garamond" w:eastAsiaTheme="minorEastAsia" w:hAnsi="Garamond"/>
        </w:rPr>
      </w:pPr>
      <w:r>
        <w:rPr>
          <w:rFonts w:ascii="Garamond" w:eastAsiaTheme="minorEastAsia" w:hAnsi="Garamond"/>
        </w:rPr>
        <w:t xml:space="preserve">Where </w:t>
      </w:r>
      <m:oMath>
        <m:sSub>
          <m:sSubPr>
            <m:ctrlPr>
              <w:rPr>
                <w:rFonts w:ascii="Cambria Math" w:eastAsia="PMingLiU" w:hAnsi="Cambria Math"/>
                <w:i/>
              </w:rPr>
            </m:ctrlPr>
          </m:sSubPr>
          <m:e>
            <m:r>
              <w:rPr>
                <w:rFonts w:ascii="Cambria Math" w:hAnsi="Cambria Math"/>
              </w:rPr>
              <m:t>R</m:t>
            </m:r>
          </m:e>
          <m:sub>
            <m:r>
              <w:rPr>
                <w:rFonts w:ascii="Cambria Math" w:hAnsi="Cambria Math"/>
              </w:rPr>
              <m:t>t</m:t>
            </m:r>
          </m:sub>
        </m:sSub>
      </m:oMath>
      <w:r>
        <w:rPr>
          <w:rFonts w:ascii="Garamond" w:eastAsiaTheme="minorEastAsia" w:hAnsi="Garamond"/>
        </w:rPr>
        <w:t xml:space="preserve"> is the returns and  </w:t>
      </w:r>
      <m:oMath>
        <m:sSub>
          <m:sSubPr>
            <m:ctrlPr>
              <w:rPr>
                <w:rFonts w:ascii="Cambria Math" w:eastAsia="PMingLiU" w:hAnsi="Cambria Math"/>
                <w:i/>
              </w:rPr>
            </m:ctrlPr>
          </m:sSubPr>
          <m:e>
            <m:r>
              <w:rPr>
                <w:rFonts w:ascii="Cambria Math" w:hAnsi="Cambria Math"/>
              </w:rPr>
              <m:t>D</m:t>
            </m:r>
          </m:e>
          <m:sub>
            <m:r>
              <w:rPr>
                <w:rFonts w:ascii="Cambria Math" w:hAnsi="Cambria Math"/>
              </w:rPr>
              <m:t>i</m:t>
            </m:r>
          </m:sub>
        </m:sSub>
      </m:oMath>
      <w:r>
        <w:rPr>
          <w:rFonts w:ascii="Garamond" w:eastAsiaTheme="minorEastAsia" w:hAnsi="Garamond"/>
        </w:rPr>
        <w:t xml:space="preserve"> is a dummy variable for the i</w:t>
      </w:r>
      <w:r w:rsidRPr="005F3512">
        <w:rPr>
          <w:rFonts w:ascii="Garamond" w:eastAsiaTheme="minorEastAsia" w:hAnsi="Garamond"/>
          <w:vertAlign w:val="superscript"/>
        </w:rPr>
        <w:t>th</w:t>
      </w:r>
      <w:r>
        <w:rPr>
          <w:rFonts w:ascii="Garamond" w:eastAsiaTheme="minorEastAsia" w:hAnsi="Garamond"/>
          <w:vertAlign w:val="superscript"/>
        </w:rPr>
        <w:t xml:space="preserve"> </w:t>
      </w:r>
      <w:r>
        <w:rPr>
          <w:rFonts w:ascii="Garamond" w:eastAsiaTheme="minorEastAsia" w:hAnsi="Garamond"/>
        </w:rPr>
        <w:t>interval of a day.  We lag value of the returns is included to control for autocorrelation.  We repeat this analysis for all of our variables of interest.</w:t>
      </w:r>
    </w:p>
    <w:p w:rsidR="005F3512" w:rsidRPr="005F3512" w:rsidRDefault="005F3512" w:rsidP="002F33FA">
      <w:pPr>
        <w:spacing w:line="480" w:lineRule="auto"/>
        <w:jc w:val="both"/>
        <w:outlineLvl w:val="0"/>
        <w:rPr>
          <w:rFonts w:ascii="Garamond" w:eastAsiaTheme="minorEastAsia" w:hAnsi="Garamond"/>
        </w:rPr>
      </w:pPr>
    </w:p>
    <w:p w:rsidR="008A6850" w:rsidRDefault="008A6850" w:rsidP="008A6850">
      <w:pPr>
        <w:spacing w:line="480" w:lineRule="auto"/>
        <w:jc w:val="both"/>
        <w:outlineLvl w:val="0"/>
        <w:rPr>
          <w:rFonts w:ascii="Garamond" w:eastAsiaTheme="minorEastAsia" w:hAnsi="Garamond"/>
        </w:rPr>
      </w:pPr>
      <w:r>
        <w:rPr>
          <w:rFonts w:ascii="Garamond" w:eastAsiaTheme="minorEastAsia" w:hAnsi="Garamond"/>
        </w:rPr>
        <w:t>We also employ the Granger causality test to study whether there is significant causality between the intraday variables of Bitcoin.  The Granger causality test is popular way to test if there is any temporal statistical relationship with a predictive value between two time series (Granger 1969).  This test indicates any possible short-run predictive interrelationships among the series.  If we consider two series</w:t>
      </w:r>
      <w:r w:rsidRPr="00ED15D2">
        <w:rPr>
          <w:rFonts w:ascii="Garamond" w:eastAsiaTheme="minorEastAsia" w:hAnsi="Garamond"/>
          <w:i/>
        </w:rPr>
        <w:t xml:space="preserve"> x</w:t>
      </w:r>
      <w:r w:rsidRPr="00ED15D2">
        <w:rPr>
          <w:rFonts w:ascii="Garamond" w:eastAsiaTheme="minorEastAsia" w:hAnsi="Garamond"/>
          <w:i/>
          <w:vertAlign w:val="subscript"/>
        </w:rPr>
        <w:t>t</w:t>
      </w:r>
      <w:r>
        <w:rPr>
          <w:rFonts w:ascii="Garamond" w:eastAsiaTheme="minorEastAsia" w:hAnsi="Garamond"/>
        </w:rPr>
        <w:t xml:space="preserve"> and </w:t>
      </w:r>
      <w:r w:rsidRPr="00ED15D2">
        <w:rPr>
          <w:rFonts w:ascii="Garamond" w:eastAsiaTheme="minorEastAsia" w:hAnsi="Garamond"/>
          <w:i/>
        </w:rPr>
        <w:t>y</w:t>
      </w:r>
      <w:r w:rsidRPr="00ED15D2">
        <w:rPr>
          <w:rFonts w:ascii="Garamond" w:eastAsiaTheme="minorEastAsia" w:hAnsi="Garamond"/>
          <w:i/>
          <w:vertAlign w:val="subscript"/>
        </w:rPr>
        <w:t>t</w:t>
      </w:r>
      <w:r>
        <w:rPr>
          <w:rFonts w:ascii="Garamond" w:eastAsiaTheme="minorEastAsia" w:hAnsi="Garamond"/>
        </w:rPr>
        <w:t>, then we estimate the following equations:</w:t>
      </w:r>
    </w:p>
    <w:p w:rsidR="008A6850" w:rsidRDefault="008A6850" w:rsidP="008A6850">
      <w:pPr>
        <w:spacing w:line="480" w:lineRule="auto"/>
        <w:jc w:val="both"/>
        <w:rPr>
          <w:rFonts w:ascii="Garamond" w:eastAsiaTheme="minorEastAsia" w:hAnsi="Garamond"/>
        </w:rPr>
      </w:pPr>
    </w:p>
    <w:tbl>
      <w:tblPr>
        <w:tblStyle w:val="TableGrid"/>
        <w:tblW w:w="49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335"/>
        <w:gridCol w:w="740"/>
      </w:tblGrid>
      <w:tr w:rsidR="008A6850" w:rsidRPr="00312614" w:rsidTr="00FB4EDE">
        <w:trPr>
          <w:trHeight w:val="1008"/>
        </w:trPr>
        <w:tc>
          <w:tcPr>
            <w:tcW w:w="450" w:type="pct"/>
          </w:tcPr>
          <w:p w:rsidR="008A6850" w:rsidRPr="00312614" w:rsidRDefault="008A6850" w:rsidP="00FB4EDE">
            <w:pPr>
              <w:jc w:val="center"/>
              <w:rPr>
                <w:rFonts w:ascii="Garamond" w:hAnsi="Garamond"/>
              </w:rPr>
            </w:pPr>
          </w:p>
        </w:tc>
        <w:tc>
          <w:tcPr>
            <w:tcW w:w="4133" w:type="pct"/>
          </w:tcPr>
          <w:p w:rsidR="008A6850" w:rsidRPr="00312614" w:rsidRDefault="008A6850" w:rsidP="00FB4EDE">
            <w:pPr>
              <w:jc w:val="center"/>
              <w:rPr>
                <w:rFonts w:ascii="Garamond" w:eastAsiaTheme="minorEastAsia" w:hAnsi="Garamond"/>
              </w:rPr>
            </w:pPr>
          </w:p>
          <w:p w:rsidR="008A6850" w:rsidRPr="00905DD6" w:rsidRDefault="008A6850" w:rsidP="00FB4EDE">
            <w:pPr>
              <w:jc w:val="center"/>
              <w:rPr>
                <w:rFonts w:ascii="Garamond" w:hAnsi="Garamond"/>
              </w:rPr>
            </w:pPr>
            <m:oMathPara>
              <m:oMath>
                <m:r>
                  <w:rPr>
                    <w:rFonts w:ascii="Cambria Math" w:hAnsi="Cambria Math"/>
                  </w:rPr>
                  <m:t>∆</m:t>
                </m:r>
                <m:sSub>
                  <m:sSubPr>
                    <m:ctrlPr>
                      <w:rPr>
                        <w:rFonts w:ascii="Cambria Math" w:eastAsia="PMingLiU"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eastAsia="PMingLiU"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eastAsia="PMingLiU" w:hAnsi="Cambria Math"/>
                        <w:i/>
                      </w:rPr>
                    </m:ctrlPr>
                  </m:naryPr>
                  <m:sub>
                    <m:r>
                      <w:rPr>
                        <w:rFonts w:ascii="Cambria Math" w:hAnsi="Cambria Math"/>
                      </w:rPr>
                      <m:t>i=1</m:t>
                    </m:r>
                  </m:sub>
                  <m:sup>
                    <m:r>
                      <w:rPr>
                        <w:rFonts w:ascii="Cambria Math" w:hAnsi="Cambria Math"/>
                      </w:rPr>
                      <m:t>n</m:t>
                    </m:r>
                  </m:sup>
                  <m:e>
                    <m:sSub>
                      <m:sSubPr>
                        <m:ctrlPr>
                          <w:rPr>
                            <w:rFonts w:ascii="Cambria Math" w:eastAsia="PMingLiU" w:hAnsi="Cambria Math"/>
                            <w:i/>
                          </w:rPr>
                        </m:ctrlPr>
                      </m:sSubPr>
                      <m:e>
                        <m:r>
                          <w:rPr>
                            <w:rFonts w:ascii="Cambria Math" w:hAnsi="Cambria Math"/>
                          </w:rPr>
                          <m:t>β</m:t>
                        </m:r>
                      </m:e>
                      <m:sub>
                        <m:r>
                          <w:rPr>
                            <w:rFonts w:ascii="Cambria Math" w:hAnsi="Cambria Math"/>
                          </w:rPr>
                          <m:t>1i</m:t>
                        </m:r>
                      </m:sub>
                    </m:sSub>
                    <m:sSub>
                      <m:sSubPr>
                        <m:ctrlPr>
                          <w:rPr>
                            <w:rFonts w:ascii="Cambria Math" w:eastAsia="PMingLiU" w:hAnsi="Cambria Math"/>
                            <w:i/>
                          </w:rPr>
                        </m:ctrlPr>
                      </m:sSubPr>
                      <m:e>
                        <m:r>
                          <w:rPr>
                            <w:rFonts w:ascii="Cambria Math" w:hAnsi="Cambria Math"/>
                          </w:rPr>
                          <m:t>∆x</m:t>
                        </m:r>
                      </m:e>
                      <m:sub>
                        <m:r>
                          <w:rPr>
                            <w:rFonts w:ascii="Cambria Math" w:hAnsi="Cambria Math"/>
                          </w:rPr>
                          <m:t>t-1</m:t>
                        </m:r>
                      </m:sub>
                    </m:sSub>
                    <m:r>
                      <w:rPr>
                        <w:rFonts w:ascii="Cambria Math" w:hAnsi="Cambria Math"/>
                      </w:rPr>
                      <m:t>+</m:t>
                    </m:r>
                  </m:e>
                </m:nary>
                <m:nary>
                  <m:naryPr>
                    <m:chr m:val="∑"/>
                    <m:limLoc m:val="undOvr"/>
                    <m:ctrlPr>
                      <w:rPr>
                        <w:rFonts w:ascii="Cambria Math" w:eastAsia="PMingLiU" w:hAnsi="Cambria Math"/>
                        <w:i/>
                      </w:rPr>
                    </m:ctrlPr>
                  </m:naryPr>
                  <m:sub>
                    <m:r>
                      <w:rPr>
                        <w:rFonts w:ascii="Cambria Math" w:hAnsi="Cambria Math"/>
                      </w:rPr>
                      <m:t>i=1</m:t>
                    </m:r>
                  </m:sub>
                  <m:sup>
                    <m:r>
                      <w:rPr>
                        <w:rFonts w:ascii="Cambria Math" w:hAnsi="Cambria Math"/>
                      </w:rPr>
                      <m:t>m</m:t>
                    </m:r>
                  </m:sup>
                  <m:e>
                    <m:sSub>
                      <m:sSubPr>
                        <m:ctrlPr>
                          <w:rPr>
                            <w:rFonts w:ascii="Cambria Math" w:eastAsia="PMingLiU" w:hAnsi="Cambria Math"/>
                            <w:i/>
                          </w:rPr>
                        </m:ctrlPr>
                      </m:sSubPr>
                      <m:e>
                        <m:r>
                          <w:rPr>
                            <w:rFonts w:ascii="Cambria Math" w:hAnsi="Cambria Math"/>
                          </w:rPr>
                          <m:t>β</m:t>
                        </m:r>
                      </m:e>
                      <m:sub>
                        <m:r>
                          <w:rPr>
                            <w:rFonts w:ascii="Cambria Math" w:hAnsi="Cambria Math"/>
                          </w:rPr>
                          <m:t>2i</m:t>
                        </m:r>
                      </m:sub>
                    </m:sSub>
                    <m:sSub>
                      <m:sSubPr>
                        <m:ctrlPr>
                          <w:rPr>
                            <w:rFonts w:ascii="Cambria Math" w:eastAsia="PMingLiU"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eastAsia="PMingLiU" w:hAnsi="Cambria Math"/>
                            <w:i/>
                          </w:rPr>
                        </m:ctrlPr>
                      </m:sSubPr>
                      <m:e>
                        <m:r>
                          <w:rPr>
                            <w:rFonts w:ascii="Cambria Math" w:hAnsi="Cambria Math"/>
                          </w:rPr>
                          <m:t>ε</m:t>
                        </m:r>
                      </m:e>
                      <m:sub>
                        <m:r>
                          <w:rPr>
                            <w:rFonts w:ascii="Cambria Math" w:hAnsi="Cambria Math"/>
                          </w:rPr>
                          <m:t>1t</m:t>
                        </m:r>
                      </m:sub>
                    </m:sSub>
                  </m:e>
                </m:nary>
              </m:oMath>
            </m:oMathPara>
          </w:p>
          <w:p w:rsidR="008A6850" w:rsidRPr="00905DD6" w:rsidRDefault="008A6850" w:rsidP="00FB4EDE">
            <w:pPr>
              <w:jc w:val="center"/>
              <w:rPr>
                <w:rFonts w:ascii="Garamond" w:hAnsi="Garamond"/>
              </w:rPr>
            </w:pPr>
          </w:p>
          <w:p w:rsidR="008A6850" w:rsidRPr="00312614" w:rsidRDefault="008A6850" w:rsidP="00FB4EDE">
            <w:pPr>
              <w:jc w:val="center"/>
              <w:rPr>
                <w:rFonts w:ascii="Garamond" w:hAnsi="Garamond"/>
              </w:rPr>
            </w:pPr>
            <m:oMathPara>
              <m:oMath>
                <m:r>
                  <w:rPr>
                    <w:rFonts w:ascii="Cambria Math" w:hAnsi="Cambria Math"/>
                  </w:rPr>
                  <m:t>∆</m:t>
                </m:r>
                <m:sSub>
                  <m:sSubPr>
                    <m:ctrlPr>
                      <w:rPr>
                        <w:rFonts w:ascii="Cambria Math" w:eastAsia="PMingLiU"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eastAsia="PMingLiU" w:hAnsi="Cambria Math"/>
                        <w:i/>
                      </w:rPr>
                    </m:ctrlPr>
                  </m:sSubPr>
                  <m:e>
                    <m:r>
                      <w:rPr>
                        <w:rFonts w:ascii="Cambria Math" w:hAnsi="Cambria Math"/>
                      </w:rPr>
                      <m:t>δ</m:t>
                    </m:r>
                  </m:e>
                  <m:sub>
                    <m:r>
                      <w:rPr>
                        <w:rFonts w:ascii="Cambria Math" w:hAnsi="Cambria Math"/>
                      </w:rPr>
                      <m:t>0</m:t>
                    </m:r>
                  </m:sub>
                </m:sSub>
                <m:r>
                  <w:rPr>
                    <w:rFonts w:ascii="Cambria Math" w:hAnsi="Cambria Math"/>
                  </w:rPr>
                  <m:t>+</m:t>
                </m:r>
                <m:nary>
                  <m:naryPr>
                    <m:chr m:val="∑"/>
                    <m:limLoc m:val="undOvr"/>
                    <m:ctrlPr>
                      <w:rPr>
                        <w:rFonts w:ascii="Cambria Math" w:eastAsia="PMingLiU" w:hAnsi="Cambria Math"/>
                        <w:i/>
                      </w:rPr>
                    </m:ctrlPr>
                  </m:naryPr>
                  <m:sub>
                    <m:r>
                      <w:rPr>
                        <w:rFonts w:ascii="Cambria Math" w:hAnsi="Cambria Math"/>
                      </w:rPr>
                      <m:t>i=1</m:t>
                    </m:r>
                  </m:sub>
                  <m:sup>
                    <m:r>
                      <w:rPr>
                        <w:rFonts w:ascii="Cambria Math" w:hAnsi="Cambria Math"/>
                      </w:rPr>
                      <m:t>n</m:t>
                    </m:r>
                  </m:sup>
                  <m:e>
                    <m:sSub>
                      <m:sSubPr>
                        <m:ctrlPr>
                          <w:rPr>
                            <w:rFonts w:ascii="Cambria Math" w:eastAsia="PMingLiU" w:hAnsi="Cambria Math"/>
                            <w:i/>
                          </w:rPr>
                        </m:ctrlPr>
                      </m:sSubPr>
                      <m:e>
                        <m:r>
                          <w:rPr>
                            <w:rFonts w:ascii="Cambria Math" w:hAnsi="Cambria Math"/>
                          </w:rPr>
                          <m:t>δ</m:t>
                        </m:r>
                      </m:e>
                      <m:sub>
                        <m:r>
                          <w:rPr>
                            <w:rFonts w:ascii="Cambria Math" w:hAnsi="Cambria Math"/>
                          </w:rPr>
                          <m:t>1i</m:t>
                        </m:r>
                      </m:sub>
                    </m:sSub>
                    <m:sSub>
                      <m:sSubPr>
                        <m:ctrlPr>
                          <w:rPr>
                            <w:rFonts w:ascii="Cambria Math" w:eastAsia="PMingLiU" w:hAnsi="Cambria Math"/>
                            <w:i/>
                          </w:rPr>
                        </m:ctrlPr>
                      </m:sSubPr>
                      <m:e>
                        <m:r>
                          <w:rPr>
                            <w:rFonts w:ascii="Cambria Math" w:hAnsi="Cambria Math"/>
                          </w:rPr>
                          <m:t>∆y</m:t>
                        </m:r>
                      </m:e>
                      <m:sub>
                        <m:r>
                          <w:rPr>
                            <w:rFonts w:ascii="Cambria Math" w:hAnsi="Cambria Math"/>
                          </w:rPr>
                          <m:t>t-1</m:t>
                        </m:r>
                      </m:sub>
                    </m:sSub>
                    <m:r>
                      <w:rPr>
                        <w:rFonts w:ascii="Cambria Math" w:hAnsi="Cambria Math"/>
                      </w:rPr>
                      <m:t>+</m:t>
                    </m:r>
                  </m:e>
                </m:nary>
                <m:nary>
                  <m:naryPr>
                    <m:chr m:val="∑"/>
                    <m:limLoc m:val="undOvr"/>
                    <m:ctrlPr>
                      <w:rPr>
                        <w:rFonts w:ascii="Cambria Math" w:eastAsia="PMingLiU" w:hAnsi="Cambria Math"/>
                        <w:i/>
                      </w:rPr>
                    </m:ctrlPr>
                  </m:naryPr>
                  <m:sub>
                    <m:r>
                      <w:rPr>
                        <w:rFonts w:ascii="Cambria Math" w:hAnsi="Cambria Math"/>
                      </w:rPr>
                      <m:t>i=1</m:t>
                    </m:r>
                  </m:sub>
                  <m:sup>
                    <m:r>
                      <w:rPr>
                        <w:rFonts w:ascii="Cambria Math" w:hAnsi="Cambria Math"/>
                      </w:rPr>
                      <m:t>m</m:t>
                    </m:r>
                  </m:sup>
                  <m:e>
                    <m:sSub>
                      <m:sSubPr>
                        <m:ctrlPr>
                          <w:rPr>
                            <w:rFonts w:ascii="Cambria Math" w:eastAsia="PMingLiU" w:hAnsi="Cambria Math"/>
                            <w:i/>
                          </w:rPr>
                        </m:ctrlPr>
                      </m:sSubPr>
                      <m:e>
                        <m:r>
                          <w:rPr>
                            <w:rFonts w:ascii="Cambria Math" w:hAnsi="Cambria Math"/>
                          </w:rPr>
                          <m:t>δ</m:t>
                        </m:r>
                      </m:e>
                      <m:sub>
                        <m:r>
                          <w:rPr>
                            <w:rFonts w:ascii="Cambria Math" w:hAnsi="Cambria Math"/>
                          </w:rPr>
                          <m:t>2i</m:t>
                        </m:r>
                      </m:sub>
                    </m:sSub>
                    <m:sSub>
                      <m:sSubPr>
                        <m:ctrlPr>
                          <w:rPr>
                            <w:rFonts w:ascii="Cambria Math" w:eastAsia="PMingLiU"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eastAsia="PMingLiU" w:hAnsi="Cambria Math"/>
                            <w:i/>
                          </w:rPr>
                        </m:ctrlPr>
                      </m:sSubPr>
                      <m:e>
                        <m:r>
                          <w:rPr>
                            <w:rFonts w:ascii="Cambria Math" w:hAnsi="Cambria Math"/>
                          </w:rPr>
                          <m:t>ε</m:t>
                        </m:r>
                      </m:e>
                      <m:sub>
                        <m:r>
                          <w:rPr>
                            <w:rFonts w:ascii="Cambria Math" w:hAnsi="Cambria Math"/>
                          </w:rPr>
                          <m:t>1t</m:t>
                        </m:r>
                      </m:sub>
                    </m:sSub>
                  </m:e>
                </m:nary>
              </m:oMath>
            </m:oMathPara>
          </w:p>
        </w:tc>
        <w:tc>
          <w:tcPr>
            <w:tcW w:w="417" w:type="pct"/>
          </w:tcPr>
          <w:p w:rsidR="008A6850" w:rsidRPr="00312614" w:rsidRDefault="008A6850" w:rsidP="00FB4EDE">
            <w:pPr>
              <w:jc w:val="center"/>
              <w:rPr>
                <w:rFonts w:ascii="Garamond" w:hAnsi="Garamond"/>
              </w:rPr>
            </w:pPr>
          </w:p>
          <w:p w:rsidR="008A6850" w:rsidRDefault="008A6850" w:rsidP="00FB4EDE">
            <w:pPr>
              <w:jc w:val="center"/>
              <w:rPr>
                <w:rFonts w:ascii="Garamond" w:hAnsi="Garamond"/>
              </w:rPr>
            </w:pPr>
          </w:p>
          <w:p w:rsidR="008A6850" w:rsidRDefault="008A6850" w:rsidP="00FB4EDE">
            <w:pPr>
              <w:jc w:val="center"/>
              <w:rPr>
                <w:rFonts w:ascii="Garamond" w:hAnsi="Garamond"/>
              </w:rPr>
            </w:pPr>
            <w:r>
              <w:rPr>
                <w:rFonts w:ascii="Garamond" w:hAnsi="Garamond"/>
              </w:rPr>
              <w:t>(</w:t>
            </w:r>
            <w:r w:rsidR="005F3512">
              <w:rPr>
                <w:rFonts w:ascii="Garamond" w:hAnsi="Garamond"/>
              </w:rPr>
              <w:t>6</w:t>
            </w:r>
            <w:r w:rsidRPr="00312614">
              <w:rPr>
                <w:rFonts w:ascii="Garamond" w:hAnsi="Garamond"/>
              </w:rPr>
              <w:t>)</w:t>
            </w:r>
          </w:p>
          <w:p w:rsidR="008A6850" w:rsidRDefault="008A6850" w:rsidP="00FB4EDE">
            <w:pPr>
              <w:jc w:val="center"/>
              <w:rPr>
                <w:rFonts w:ascii="Garamond" w:hAnsi="Garamond"/>
              </w:rPr>
            </w:pPr>
          </w:p>
          <w:p w:rsidR="008A6850" w:rsidRDefault="008A6850" w:rsidP="00FB4EDE">
            <w:pPr>
              <w:jc w:val="center"/>
              <w:rPr>
                <w:rFonts w:ascii="Garamond" w:hAnsi="Garamond"/>
              </w:rPr>
            </w:pPr>
          </w:p>
          <w:p w:rsidR="008A6850" w:rsidRDefault="008A6850" w:rsidP="00FB4EDE">
            <w:pPr>
              <w:rPr>
                <w:rFonts w:ascii="Garamond" w:hAnsi="Garamond"/>
              </w:rPr>
            </w:pPr>
          </w:p>
          <w:p w:rsidR="008A6850" w:rsidRPr="00312614" w:rsidRDefault="008A6850" w:rsidP="00FB4EDE">
            <w:pPr>
              <w:jc w:val="center"/>
              <w:rPr>
                <w:rFonts w:ascii="Garamond" w:hAnsi="Garamond"/>
              </w:rPr>
            </w:pPr>
            <w:r>
              <w:rPr>
                <w:rFonts w:ascii="Garamond" w:hAnsi="Garamond"/>
              </w:rPr>
              <w:t>(</w:t>
            </w:r>
            <w:r w:rsidR="005F3512">
              <w:rPr>
                <w:rFonts w:ascii="Garamond" w:hAnsi="Garamond"/>
              </w:rPr>
              <w:t>7</w:t>
            </w:r>
            <w:r>
              <w:rPr>
                <w:rFonts w:ascii="Garamond" w:hAnsi="Garamond"/>
              </w:rPr>
              <w:t>)</w:t>
            </w:r>
          </w:p>
        </w:tc>
      </w:tr>
    </w:tbl>
    <w:p w:rsidR="008A6850" w:rsidRDefault="008A6850" w:rsidP="008A6850">
      <w:pPr>
        <w:spacing w:line="480" w:lineRule="auto"/>
        <w:jc w:val="both"/>
        <w:rPr>
          <w:rFonts w:ascii="Garamond" w:eastAsiaTheme="minorEastAsia" w:hAnsi="Garamond"/>
        </w:rPr>
      </w:pPr>
    </w:p>
    <w:p w:rsidR="008A6850" w:rsidRDefault="008A6850" w:rsidP="008A6850">
      <w:pPr>
        <w:spacing w:line="480" w:lineRule="auto"/>
        <w:jc w:val="both"/>
        <w:rPr>
          <w:rFonts w:ascii="Garamond" w:eastAsiaTheme="minorEastAsia" w:hAnsi="Garamond"/>
        </w:rPr>
      </w:pPr>
      <w:r>
        <w:rPr>
          <w:rFonts w:ascii="Garamond" w:eastAsiaTheme="minorEastAsia" w:hAnsi="Garamond"/>
        </w:rPr>
        <w:t xml:space="preserve">After estimating the Granger-causality test, we run an F-test for joint insignificance of the coefficients.  Assuming the null hypothesis that </w:t>
      </w:r>
      <w:r w:rsidRPr="00ED15D2">
        <w:rPr>
          <w:rFonts w:ascii="Garamond" w:eastAsiaTheme="minorEastAsia" w:hAnsi="Garamond"/>
          <w:i/>
        </w:rPr>
        <w:t>x</w:t>
      </w:r>
      <w:r w:rsidRPr="00ED15D2">
        <w:rPr>
          <w:rFonts w:ascii="Garamond" w:eastAsiaTheme="minorEastAsia" w:hAnsi="Garamond"/>
          <w:i/>
          <w:vertAlign w:val="subscript"/>
        </w:rPr>
        <w:t>t</w:t>
      </w:r>
      <w:r>
        <w:rPr>
          <w:rFonts w:ascii="Garamond" w:eastAsiaTheme="minorEastAsia" w:hAnsi="Garamond"/>
        </w:rPr>
        <w:t xml:space="preserve"> does not Granger cause </w:t>
      </w:r>
      <w:r w:rsidRPr="00ED15D2">
        <w:rPr>
          <w:rFonts w:ascii="Garamond" w:eastAsiaTheme="minorEastAsia" w:hAnsi="Garamond"/>
          <w:i/>
        </w:rPr>
        <w:t>y</w:t>
      </w:r>
      <w:r w:rsidRPr="00ED15D2">
        <w:rPr>
          <w:rFonts w:ascii="Garamond" w:eastAsiaTheme="minorEastAsia" w:hAnsi="Garamond"/>
          <w:i/>
          <w:vertAlign w:val="subscript"/>
        </w:rPr>
        <w:t>t</w:t>
      </w:r>
      <w:r>
        <w:rPr>
          <w:rFonts w:ascii="Garamond" w:eastAsiaTheme="minorEastAsia" w:hAnsi="Garamond"/>
        </w:rPr>
        <w:t xml:space="preserve">, a rejection of the null hypothesis shows a presence of Granger causality. </w:t>
      </w:r>
    </w:p>
    <w:p w:rsidR="008A6850" w:rsidRPr="008A6850" w:rsidRDefault="008A6850" w:rsidP="002F33FA">
      <w:pPr>
        <w:spacing w:line="480" w:lineRule="auto"/>
        <w:jc w:val="both"/>
        <w:outlineLvl w:val="0"/>
        <w:rPr>
          <w:rFonts w:ascii="Garamond" w:eastAsiaTheme="minorEastAsia" w:hAnsi="Garamond"/>
        </w:rPr>
      </w:pPr>
    </w:p>
    <w:p w:rsidR="008A6850" w:rsidRPr="008A6850" w:rsidRDefault="008A6850" w:rsidP="002F33FA">
      <w:pPr>
        <w:spacing w:line="480" w:lineRule="auto"/>
        <w:jc w:val="both"/>
        <w:outlineLvl w:val="0"/>
        <w:rPr>
          <w:rFonts w:ascii="Garamond" w:eastAsiaTheme="minorEastAsia" w:hAnsi="Garamond"/>
        </w:rPr>
      </w:pPr>
    </w:p>
    <w:p w:rsidR="00D34F83" w:rsidRPr="00583BBF" w:rsidRDefault="00D34F83" w:rsidP="00D34F83">
      <w:pPr>
        <w:spacing w:line="480" w:lineRule="auto"/>
        <w:jc w:val="both"/>
        <w:rPr>
          <w:rFonts w:ascii="Garamond" w:eastAsiaTheme="minorEastAsia" w:hAnsi="Garamond"/>
        </w:rPr>
      </w:pPr>
    </w:p>
    <w:p w:rsidR="00D34F83" w:rsidRPr="00583BBF" w:rsidRDefault="008A6850" w:rsidP="00D34F83">
      <w:pPr>
        <w:spacing w:line="480" w:lineRule="auto"/>
        <w:jc w:val="both"/>
        <w:outlineLvl w:val="0"/>
        <w:rPr>
          <w:rFonts w:ascii="Garamond" w:eastAsiaTheme="minorEastAsia" w:hAnsi="Garamond"/>
          <w:b/>
        </w:rPr>
      </w:pPr>
      <w:r>
        <w:rPr>
          <w:rFonts w:ascii="Garamond" w:eastAsiaTheme="minorEastAsia" w:hAnsi="Garamond"/>
          <w:b/>
        </w:rPr>
        <w:t>4</w:t>
      </w:r>
      <w:r w:rsidR="00D34F83" w:rsidRPr="00583BBF">
        <w:rPr>
          <w:rFonts w:ascii="Garamond" w:eastAsiaTheme="minorEastAsia" w:hAnsi="Garamond"/>
          <w:b/>
        </w:rPr>
        <w:t>. Empirical Results</w:t>
      </w:r>
    </w:p>
    <w:p w:rsidR="00D34F83" w:rsidRDefault="00D34F83" w:rsidP="00D34F83">
      <w:pPr>
        <w:spacing w:line="480" w:lineRule="auto"/>
        <w:jc w:val="both"/>
        <w:rPr>
          <w:rFonts w:ascii="Garamond" w:eastAsiaTheme="minorEastAsia" w:hAnsi="Garamond"/>
        </w:rPr>
      </w:pPr>
      <w:r w:rsidRPr="00583BBF">
        <w:rPr>
          <w:rFonts w:ascii="Garamond" w:eastAsiaTheme="minorEastAsia" w:hAnsi="Garamond"/>
        </w:rPr>
        <w:t xml:space="preserve">This section provides the </w:t>
      </w:r>
      <w:r w:rsidR="00C679CF">
        <w:rPr>
          <w:rFonts w:ascii="Garamond" w:eastAsiaTheme="minorEastAsia" w:hAnsi="Garamond"/>
        </w:rPr>
        <w:t xml:space="preserve">descriptive statistics and the empirical </w:t>
      </w:r>
      <w:r w:rsidRPr="00583BBF">
        <w:rPr>
          <w:rFonts w:ascii="Garamond" w:eastAsiaTheme="minorEastAsia" w:hAnsi="Garamond"/>
        </w:rPr>
        <w:t>results for intraday patterns of Bitcoin as well as t</w:t>
      </w:r>
      <w:r>
        <w:rPr>
          <w:rFonts w:ascii="Garamond" w:eastAsiaTheme="minorEastAsia" w:hAnsi="Garamond"/>
        </w:rPr>
        <w:t>he</w:t>
      </w:r>
      <w:r w:rsidRPr="00583BBF">
        <w:rPr>
          <w:rFonts w:ascii="Garamond" w:eastAsiaTheme="minorEastAsia" w:hAnsi="Garamond"/>
        </w:rPr>
        <w:t xml:space="preserve"> correlation and lead-lag relationships between the intraday variables.</w:t>
      </w:r>
      <w:r w:rsidR="007F67B6">
        <w:rPr>
          <w:rStyle w:val="FootnoteReference"/>
          <w:rFonts w:ascii="Garamond" w:eastAsiaTheme="minorEastAsia" w:hAnsi="Garamond"/>
        </w:rPr>
        <w:footnoteReference w:id="9"/>
      </w:r>
    </w:p>
    <w:p w:rsidR="00C679CF" w:rsidRDefault="00C679CF" w:rsidP="00D34F83">
      <w:pPr>
        <w:spacing w:line="480" w:lineRule="auto"/>
        <w:jc w:val="both"/>
        <w:rPr>
          <w:rFonts w:ascii="Garamond" w:eastAsiaTheme="minorEastAsia" w:hAnsi="Garamond"/>
        </w:rPr>
      </w:pPr>
    </w:p>
    <w:p w:rsidR="00C679CF" w:rsidRPr="00C679CF" w:rsidRDefault="008A6850" w:rsidP="00D34F83">
      <w:pPr>
        <w:spacing w:line="480" w:lineRule="auto"/>
        <w:jc w:val="both"/>
        <w:rPr>
          <w:rFonts w:ascii="Garamond" w:eastAsiaTheme="minorEastAsia" w:hAnsi="Garamond"/>
          <w:i/>
        </w:rPr>
      </w:pPr>
      <w:r>
        <w:rPr>
          <w:rFonts w:ascii="Garamond" w:eastAsiaTheme="minorEastAsia" w:hAnsi="Garamond"/>
          <w:i/>
        </w:rPr>
        <w:t>4</w:t>
      </w:r>
      <w:r w:rsidR="00C679CF" w:rsidRPr="00C679CF">
        <w:rPr>
          <w:rFonts w:ascii="Garamond" w:eastAsiaTheme="minorEastAsia" w:hAnsi="Garamond"/>
          <w:i/>
        </w:rPr>
        <w:t>.1. Descriptive Statistics</w:t>
      </w:r>
    </w:p>
    <w:p w:rsidR="00C679CF" w:rsidRPr="00583BBF" w:rsidRDefault="00C679CF" w:rsidP="00C679CF">
      <w:pPr>
        <w:spacing w:line="480" w:lineRule="auto"/>
        <w:jc w:val="both"/>
        <w:rPr>
          <w:rFonts w:ascii="Garamond" w:eastAsiaTheme="minorEastAsia" w:hAnsi="Garamond"/>
        </w:rPr>
      </w:pPr>
      <w:r w:rsidRPr="00583BBF">
        <w:rPr>
          <w:rFonts w:ascii="Garamond" w:eastAsiaTheme="minorEastAsia" w:hAnsi="Garamond"/>
        </w:rPr>
        <w:t xml:space="preserve">Table 1 reports the descriptive statistics for </w:t>
      </w:r>
      <w:r>
        <w:rPr>
          <w:rFonts w:ascii="Garamond" w:eastAsiaTheme="minorEastAsia" w:hAnsi="Garamond"/>
        </w:rPr>
        <w:t>Bitstamp</w:t>
      </w:r>
      <w:r w:rsidRPr="00583BBF">
        <w:rPr>
          <w:rFonts w:ascii="Garamond" w:eastAsiaTheme="minorEastAsia" w:hAnsi="Garamond"/>
        </w:rPr>
        <w:t xml:space="preserve"> </w:t>
      </w:r>
      <w:r>
        <w:rPr>
          <w:rFonts w:ascii="Garamond" w:eastAsiaTheme="minorEastAsia" w:hAnsi="Garamond"/>
        </w:rPr>
        <w:t>for the four subsample years employed in this study.</w:t>
      </w:r>
      <w:r w:rsidRPr="00583BBF">
        <w:rPr>
          <w:rFonts w:ascii="Garamond" w:eastAsiaTheme="minorEastAsia" w:hAnsi="Garamond"/>
        </w:rPr>
        <w:t xml:space="preserve">  </w:t>
      </w:r>
      <w:r>
        <w:rPr>
          <w:rFonts w:ascii="Garamond" w:eastAsiaTheme="minorEastAsia" w:hAnsi="Garamond"/>
        </w:rPr>
        <w:t>We can see that that the mean return in 2014 was negative, since then, each year has documented a continued increase in the mean 5-minute returns.  For instance in 2017, the 5-minute mean return was 0.0025, an over 700% increase in mean return from the 0.0003 mean return in 2015. Since 2015, returns have negative skewness and excess kurtosis, indicating a leptokurtic distribution.  The volume of trading descriptive statistics show that the mean trading volume is fairly consistent in years 2014, 2015 and 2017 at 48.65, 54.58 and 44.81 respectively.  But the mean trading volume in 2016 is 19.50 which is substantially less than the other years indicating that Bitcoin did not attract that much trading attention from investors in 2016 compared to the other three years examined.  The descriptive statistics of the RV show that the mean RV was highest in 2017 and lowest in 2016, which is consistent with the lower trading volume in 2016. Our measure of liquidity shows that liquidity has varied over time, but has become substantially more liquid in the 2017 compared to the previous three years.  Therefore our descriptive statistics show that there is quite a large variation in the behaviour the Bitcoin variables during 2014 to 2017. To examine this further, we study the intraday behaviour of these variables in the following section.</w:t>
      </w:r>
    </w:p>
    <w:p w:rsidR="00D34F83" w:rsidRDefault="00D34F83" w:rsidP="00D34F83">
      <w:pPr>
        <w:spacing w:line="480" w:lineRule="auto"/>
        <w:jc w:val="both"/>
        <w:outlineLvl w:val="0"/>
        <w:rPr>
          <w:rFonts w:ascii="Garamond" w:eastAsiaTheme="minorEastAsia" w:hAnsi="Garamond"/>
        </w:rPr>
      </w:pPr>
    </w:p>
    <w:p w:rsidR="00D34F83" w:rsidRPr="00583BBF" w:rsidRDefault="008A6850" w:rsidP="00D34F83">
      <w:pPr>
        <w:spacing w:line="480" w:lineRule="auto"/>
        <w:jc w:val="both"/>
        <w:outlineLvl w:val="0"/>
        <w:rPr>
          <w:rFonts w:ascii="Garamond" w:eastAsiaTheme="minorEastAsia" w:hAnsi="Garamond"/>
          <w:i/>
        </w:rPr>
      </w:pPr>
      <w:r>
        <w:rPr>
          <w:rFonts w:ascii="Garamond" w:eastAsiaTheme="minorEastAsia" w:hAnsi="Garamond"/>
          <w:i/>
        </w:rPr>
        <w:t>4</w:t>
      </w:r>
      <w:r w:rsidR="00C679CF">
        <w:rPr>
          <w:rFonts w:ascii="Garamond" w:eastAsiaTheme="minorEastAsia" w:hAnsi="Garamond"/>
          <w:i/>
        </w:rPr>
        <w:t>.2</w:t>
      </w:r>
      <w:r w:rsidR="00D34F83" w:rsidRPr="00583BBF">
        <w:rPr>
          <w:rFonts w:ascii="Garamond" w:eastAsiaTheme="minorEastAsia" w:hAnsi="Garamond"/>
          <w:i/>
        </w:rPr>
        <w:t>. Intraday Patterns</w:t>
      </w:r>
    </w:p>
    <w:p w:rsidR="00D34F83" w:rsidRDefault="00D34F83" w:rsidP="00D34F83">
      <w:pPr>
        <w:spacing w:line="480" w:lineRule="auto"/>
        <w:jc w:val="both"/>
        <w:rPr>
          <w:rFonts w:ascii="Garamond" w:eastAsiaTheme="minorEastAsia" w:hAnsi="Garamond"/>
        </w:rPr>
      </w:pPr>
      <w:r w:rsidRPr="00583BBF">
        <w:rPr>
          <w:rFonts w:ascii="Garamond" w:eastAsiaTheme="minorEastAsia" w:hAnsi="Garamond"/>
        </w:rPr>
        <w:t xml:space="preserve">Figure </w:t>
      </w:r>
      <w:r>
        <w:rPr>
          <w:rFonts w:ascii="Garamond" w:eastAsiaTheme="minorEastAsia" w:hAnsi="Garamond"/>
        </w:rPr>
        <w:t>2</w:t>
      </w:r>
      <w:r w:rsidRPr="00583BBF">
        <w:rPr>
          <w:rFonts w:ascii="Garamond" w:eastAsiaTheme="minorEastAsia" w:hAnsi="Garamond"/>
        </w:rPr>
        <w:t xml:space="preserve"> presents the intraday mean volume and we see that volume is fairly low until 07:00 when trading volume increases until 10:30, therefore suggesting an inverted U-shape for </w:t>
      </w:r>
      <w:r>
        <w:rPr>
          <w:rFonts w:ascii="Garamond" w:eastAsiaTheme="minorEastAsia" w:hAnsi="Garamond"/>
        </w:rPr>
        <w:t>all four-sample  periods studied</w:t>
      </w:r>
      <w:r w:rsidRPr="00583BBF">
        <w:rPr>
          <w:rFonts w:ascii="Garamond" w:eastAsiaTheme="minorEastAsia" w:hAnsi="Garamond"/>
        </w:rPr>
        <w:t>.  Volume again peaks at 14:00 and then gradually decreases over the rest of the day.  This pattern is consistent with the idea that volume of certain currency markets increases when European and North American markets open.  This suggests that European and North American investors are the main drivers of the volume traded of USD denominated Bitcoin.</w:t>
      </w:r>
      <w:r w:rsidRPr="00583BBF">
        <w:rPr>
          <w:rStyle w:val="FootnoteReference"/>
          <w:rFonts w:ascii="Garamond" w:eastAsiaTheme="minorEastAsia" w:hAnsi="Garamond"/>
        </w:rPr>
        <w:footnoteReference w:id="10"/>
      </w:r>
      <w:r w:rsidRPr="00583BBF">
        <w:rPr>
          <w:rFonts w:ascii="Garamond" w:eastAsiaTheme="minorEastAsia" w:hAnsi="Garamond"/>
        </w:rPr>
        <w:t xml:space="preserve">  </w:t>
      </w:r>
      <w:r>
        <w:rPr>
          <w:rFonts w:ascii="Garamond" w:eastAsiaTheme="minorEastAsia" w:hAnsi="Garamond"/>
        </w:rPr>
        <w:t xml:space="preserve">Consistent with our previous analysis, the </w:t>
      </w:r>
      <w:r w:rsidR="00304113">
        <w:rPr>
          <w:rFonts w:ascii="Garamond" w:eastAsiaTheme="minorEastAsia" w:hAnsi="Garamond"/>
        </w:rPr>
        <w:t xml:space="preserve">volume </w:t>
      </w:r>
      <w:r>
        <w:rPr>
          <w:rFonts w:ascii="Garamond" w:eastAsiaTheme="minorEastAsia" w:hAnsi="Garamond"/>
        </w:rPr>
        <w:t xml:space="preserve">of trading during 2016 is substantially less than the other years studied.  </w:t>
      </w:r>
      <w:r w:rsidRPr="00583BBF">
        <w:rPr>
          <w:rFonts w:ascii="Garamond" w:eastAsiaTheme="minorEastAsia" w:hAnsi="Garamond"/>
        </w:rPr>
        <w:t xml:space="preserve">Intraday RV is shown in Figure </w:t>
      </w:r>
      <w:r>
        <w:rPr>
          <w:rFonts w:ascii="Garamond" w:eastAsiaTheme="minorEastAsia" w:hAnsi="Garamond"/>
        </w:rPr>
        <w:t>3</w:t>
      </w:r>
      <w:r w:rsidRPr="00583BBF">
        <w:rPr>
          <w:rFonts w:ascii="Garamond" w:eastAsiaTheme="minorEastAsia" w:hAnsi="Garamond"/>
        </w:rPr>
        <w:t xml:space="preserve"> and we can see that it is at its highest from 07:00 and declines after 18:00, again indicating that the variation in Bitcoin is at its strongest during the open periods of European and North American markets. These intraday patterns for volume and volatility are broadly reminiscent of patterns observed in the foreign exchange market and are consistent with the idea that volume and volatility are correlated.</w:t>
      </w:r>
      <w:r>
        <w:rPr>
          <w:rFonts w:ascii="Garamond" w:eastAsiaTheme="minorEastAsia" w:hAnsi="Garamond"/>
        </w:rPr>
        <w:t xml:space="preserve">  Figure 4 shows the intraday liquidity over time and we show that the liquidity measure is highest during the beginning of the day, indicating higher illiquidity in the market during this time period.  Liquidity is highest from 10:00 and throughout the rest of the day indicating that liquidity is highest when all three of the main stock exchanges are open.  Also, as expected liquidity has generally improved over time, as our liquidity measure gets smaller for each time period studied.</w:t>
      </w:r>
    </w:p>
    <w:p w:rsidR="00D34F83" w:rsidRPr="00583BBF" w:rsidRDefault="00D34F83" w:rsidP="00D34F83">
      <w:pPr>
        <w:spacing w:line="480" w:lineRule="auto"/>
        <w:jc w:val="both"/>
        <w:rPr>
          <w:rFonts w:ascii="Garamond" w:eastAsiaTheme="minorEastAsia" w:hAnsi="Garamond"/>
        </w:rPr>
      </w:pPr>
    </w:p>
    <w:p w:rsidR="00D34F83" w:rsidRPr="00583BBF" w:rsidRDefault="00D34F83" w:rsidP="00D34F83">
      <w:pPr>
        <w:spacing w:line="480" w:lineRule="auto"/>
        <w:jc w:val="both"/>
        <w:rPr>
          <w:rFonts w:ascii="Garamond" w:eastAsiaTheme="minorEastAsia" w:hAnsi="Garamond"/>
        </w:rPr>
      </w:pPr>
      <w:r w:rsidRPr="00583BBF">
        <w:rPr>
          <w:rFonts w:ascii="Garamond" w:eastAsiaTheme="minorEastAsia" w:hAnsi="Garamond"/>
        </w:rPr>
        <w:t xml:space="preserve">All the intraday patterns are consistent across the sample periods, indicating that there hasn’t been a </w:t>
      </w:r>
      <w:r>
        <w:rPr>
          <w:rFonts w:ascii="Garamond" w:eastAsiaTheme="minorEastAsia" w:hAnsi="Garamond"/>
        </w:rPr>
        <w:t xml:space="preserve">dramatic change </w:t>
      </w:r>
      <w:r w:rsidR="007F67B6">
        <w:rPr>
          <w:rFonts w:ascii="Garamond" w:eastAsiaTheme="minorEastAsia" w:hAnsi="Garamond"/>
        </w:rPr>
        <w:t>i</w:t>
      </w:r>
      <w:r w:rsidRPr="00583BBF">
        <w:rPr>
          <w:rFonts w:ascii="Garamond" w:eastAsiaTheme="minorEastAsia" w:hAnsi="Garamond"/>
        </w:rPr>
        <w:t xml:space="preserve">n the intraday behaviour of Bitcoin over </w:t>
      </w:r>
      <w:r>
        <w:rPr>
          <w:rFonts w:ascii="Garamond" w:eastAsiaTheme="minorEastAsia" w:hAnsi="Garamond"/>
        </w:rPr>
        <w:t>the sample periods</w:t>
      </w:r>
      <w:r w:rsidRPr="00583BBF">
        <w:rPr>
          <w:rFonts w:ascii="Garamond" w:eastAsiaTheme="minorEastAsia" w:hAnsi="Garamond"/>
        </w:rPr>
        <w:t xml:space="preserve">. </w:t>
      </w:r>
      <w:r>
        <w:rPr>
          <w:rFonts w:ascii="Garamond" w:eastAsiaTheme="minorEastAsia" w:hAnsi="Garamond"/>
        </w:rPr>
        <w:t xml:space="preserve"> </w:t>
      </w:r>
      <w:r w:rsidRPr="00583BBF">
        <w:rPr>
          <w:rFonts w:ascii="Garamond" w:eastAsiaTheme="minorEastAsia" w:hAnsi="Garamond"/>
        </w:rPr>
        <w:t>In the next section, we examine the relationship between the intraday v</w:t>
      </w:r>
      <w:r>
        <w:rPr>
          <w:rFonts w:ascii="Garamond" w:eastAsiaTheme="minorEastAsia" w:hAnsi="Garamond"/>
        </w:rPr>
        <w:t>ariables over our subsample periods.</w:t>
      </w:r>
    </w:p>
    <w:p w:rsidR="00D34F83" w:rsidRPr="00583BBF" w:rsidRDefault="00D34F83" w:rsidP="00D34F83">
      <w:pPr>
        <w:spacing w:line="480" w:lineRule="auto"/>
        <w:jc w:val="both"/>
        <w:rPr>
          <w:rFonts w:ascii="Garamond" w:eastAsiaTheme="minorEastAsia" w:hAnsi="Garamond"/>
        </w:rPr>
      </w:pPr>
    </w:p>
    <w:p w:rsidR="00D34F83" w:rsidRPr="00583BBF" w:rsidRDefault="008A6850" w:rsidP="00D34F83">
      <w:pPr>
        <w:spacing w:line="480" w:lineRule="auto"/>
        <w:jc w:val="both"/>
        <w:outlineLvl w:val="0"/>
        <w:rPr>
          <w:rFonts w:ascii="Garamond" w:eastAsiaTheme="minorEastAsia" w:hAnsi="Garamond"/>
          <w:i/>
        </w:rPr>
      </w:pPr>
      <w:r>
        <w:rPr>
          <w:rFonts w:ascii="Garamond" w:eastAsiaTheme="minorEastAsia" w:hAnsi="Garamond"/>
          <w:i/>
        </w:rPr>
        <w:t>4</w:t>
      </w:r>
      <w:r w:rsidR="00C679CF">
        <w:rPr>
          <w:rFonts w:ascii="Garamond" w:eastAsiaTheme="minorEastAsia" w:hAnsi="Garamond"/>
          <w:i/>
        </w:rPr>
        <w:t>.3.</w:t>
      </w:r>
      <w:r w:rsidR="00D34F83" w:rsidRPr="00583BBF">
        <w:rPr>
          <w:rFonts w:ascii="Garamond" w:eastAsiaTheme="minorEastAsia" w:hAnsi="Garamond"/>
          <w:i/>
        </w:rPr>
        <w:t xml:space="preserve"> Correlation Matrix</w:t>
      </w:r>
    </w:p>
    <w:p w:rsidR="00D34F83" w:rsidRDefault="00ED15D2" w:rsidP="00D34F83">
      <w:pPr>
        <w:spacing w:line="480" w:lineRule="auto"/>
        <w:jc w:val="both"/>
        <w:rPr>
          <w:rFonts w:ascii="Garamond" w:hAnsi="Garamond"/>
        </w:rPr>
      </w:pPr>
      <w:r>
        <w:rPr>
          <w:rFonts w:ascii="Garamond" w:hAnsi="Garamond"/>
        </w:rPr>
        <w:t>In Table 2, w</w:t>
      </w:r>
      <w:r w:rsidR="00D34F83" w:rsidRPr="00583BBF">
        <w:rPr>
          <w:rFonts w:ascii="Garamond" w:hAnsi="Garamond"/>
        </w:rPr>
        <w:t>e examine the correlation matrix for Bitcoin to determine how the intraday variables are</w:t>
      </w:r>
      <w:r w:rsidR="00D34F83">
        <w:rPr>
          <w:rFonts w:ascii="Garamond" w:hAnsi="Garamond"/>
        </w:rPr>
        <w:t xml:space="preserve"> related to each other for the four years examined</w:t>
      </w:r>
      <w:r w:rsidR="005D1C1A">
        <w:rPr>
          <w:rFonts w:ascii="Garamond" w:hAnsi="Garamond"/>
        </w:rPr>
        <w:t>. Our correlation matrix reports very small correlation coefficients, indicating that the relationships between our variables of interest are not substantial.</w:t>
      </w:r>
      <w:r w:rsidR="00D34F83">
        <w:rPr>
          <w:rFonts w:ascii="Garamond" w:hAnsi="Garamond"/>
        </w:rPr>
        <w:t xml:space="preserve"> </w:t>
      </w:r>
      <w:r w:rsidR="005D1C1A">
        <w:rPr>
          <w:rFonts w:ascii="Garamond" w:hAnsi="Garamond"/>
        </w:rPr>
        <w:t>W</w:t>
      </w:r>
      <w:r w:rsidR="00D34F83">
        <w:rPr>
          <w:rFonts w:ascii="Garamond" w:hAnsi="Garamond"/>
        </w:rPr>
        <w:t>e consistently find that returns and volume are negative</w:t>
      </w:r>
      <w:r w:rsidR="005D1C1A">
        <w:rPr>
          <w:rFonts w:ascii="Garamond" w:hAnsi="Garamond"/>
        </w:rPr>
        <w:t>ly</w:t>
      </w:r>
      <w:r w:rsidR="00D34F83">
        <w:rPr>
          <w:rFonts w:ascii="Garamond" w:hAnsi="Garamond"/>
        </w:rPr>
        <w:t xml:space="preserve"> correlated, indicated that when returns are higher (lower), the trading volume of returns is lower (higher)</w:t>
      </w:r>
      <w:r w:rsidR="005D1C1A">
        <w:rPr>
          <w:rFonts w:ascii="Garamond" w:hAnsi="Garamond"/>
        </w:rPr>
        <w:t>, although this negative correlation is quite small in magnitude</w:t>
      </w:r>
      <w:r w:rsidR="00D34F83">
        <w:rPr>
          <w:rFonts w:ascii="Garamond" w:hAnsi="Garamond"/>
        </w:rPr>
        <w:t>.  Retur</w:t>
      </w:r>
      <w:r w:rsidR="00304113">
        <w:rPr>
          <w:rFonts w:ascii="Garamond" w:hAnsi="Garamond"/>
        </w:rPr>
        <w:t>ns also have</w:t>
      </w:r>
      <w:r w:rsidR="00D34F83">
        <w:rPr>
          <w:rFonts w:ascii="Garamond" w:hAnsi="Garamond"/>
        </w:rPr>
        <w:t xml:space="preserve"> a positive relationship with RV only in the 2014 period, and a negative relationship in the 2015, 2016 and 2017 periods</w:t>
      </w:r>
      <w:r w:rsidR="005D1C1A">
        <w:rPr>
          <w:rFonts w:ascii="Garamond" w:hAnsi="Garamond"/>
        </w:rPr>
        <w:t>, again the relationship is not large in magnitude</w:t>
      </w:r>
      <w:r w:rsidR="00D34F83">
        <w:rPr>
          <w:rFonts w:ascii="Garamond" w:hAnsi="Garamond"/>
        </w:rPr>
        <w:t xml:space="preserve">.  RV and volume have a positive relationship in all four years which is expected.  Liquidity </w:t>
      </w:r>
      <w:r w:rsidR="005D1C1A">
        <w:rPr>
          <w:rFonts w:ascii="Garamond" w:hAnsi="Garamond"/>
        </w:rPr>
        <w:t>is</w:t>
      </w:r>
      <w:r w:rsidR="00D34F83">
        <w:rPr>
          <w:rFonts w:ascii="Garamond" w:hAnsi="Garamond"/>
        </w:rPr>
        <w:t xml:space="preserve"> negatively correlated with volume in each sample period, although there appears to be little or no evidence of any correlation between liquidity and the other variables examined in this study.  </w:t>
      </w:r>
    </w:p>
    <w:p w:rsidR="00D34F83" w:rsidRPr="00583BBF" w:rsidRDefault="00D34F83" w:rsidP="00D34F83">
      <w:pPr>
        <w:spacing w:line="480" w:lineRule="auto"/>
        <w:jc w:val="both"/>
        <w:rPr>
          <w:rFonts w:ascii="Garamond" w:eastAsiaTheme="minorEastAsia" w:hAnsi="Garamond"/>
        </w:rPr>
      </w:pPr>
    </w:p>
    <w:p w:rsidR="00D34F83" w:rsidRPr="00583BBF" w:rsidRDefault="008A6850" w:rsidP="00D34F83">
      <w:pPr>
        <w:spacing w:line="480" w:lineRule="auto"/>
        <w:jc w:val="both"/>
        <w:outlineLvl w:val="0"/>
        <w:rPr>
          <w:rFonts w:ascii="Garamond" w:hAnsi="Garamond"/>
          <w:i/>
        </w:rPr>
      </w:pPr>
      <w:r>
        <w:rPr>
          <w:rFonts w:ascii="Garamond" w:hAnsi="Garamond"/>
          <w:i/>
        </w:rPr>
        <w:t>4</w:t>
      </w:r>
      <w:r w:rsidR="00C679CF">
        <w:rPr>
          <w:rFonts w:ascii="Garamond" w:hAnsi="Garamond"/>
          <w:i/>
        </w:rPr>
        <w:t>.4</w:t>
      </w:r>
      <w:r w:rsidR="00D34F83" w:rsidRPr="00583BBF">
        <w:rPr>
          <w:rFonts w:ascii="Garamond" w:hAnsi="Garamond"/>
          <w:i/>
        </w:rPr>
        <w:t>. Lead-Lag Relationships</w:t>
      </w:r>
    </w:p>
    <w:p w:rsidR="00D34F83" w:rsidRPr="00583BBF" w:rsidRDefault="00D34F83" w:rsidP="00D34F83">
      <w:pPr>
        <w:spacing w:line="480" w:lineRule="auto"/>
        <w:jc w:val="both"/>
        <w:rPr>
          <w:rFonts w:ascii="Garamond" w:eastAsia="MTSY" w:hAnsi="Garamond"/>
        </w:rPr>
      </w:pPr>
      <w:r w:rsidRPr="00583BBF">
        <w:rPr>
          <w:rFonts w:ascii="Garamond" w:hAnsi="Garamond"/>
        </w:rPr>
        <w:t xml:space="preserve">In the previous section, we find that intraday </w:t>
      </w:r>
      <w:r>
        <w:rPr>
          <w:rFonts w:ascii="Garamond" w:hAnsi="Garamond"/>
        </w:rPr>
        <w:t xml:space="preserve">returns, </w:t>
      </w:r>
      <w:r w:rsidRPr="00583BBF">
        <w:rPr>
          <w:rFonts w:ascii="Garamond" w:hAnsi="Garamond"/>
        </w:rPr>
        <w:t>volume</w:t>
      </w:r>
      <w:r>
        <w:rPr>
          <w:rFonts w:ascii="Garamond" w:hAnsi="Garamond"/>
        </w:rPr>
        <w:t>, volatility</w:t>
      </w:r>
      <w:r w:rsidRPr="00583BBF">
        <w:rPr>
          <w:rFonts w:ascii="Garamond" w:hAnsi="Garamond"/>
        </w:rPr>
        <w:t xml:space="preserve"> </w:t>
      </w:r>
      <w:r>
        <w:rPr>
          <w:rFonts w:ascii="Garamond" w:hAnsi="Garamond"/>
        </w:rPr>
        <w:t xml:space="preserve">and liquidity </w:t>
      </w:r>
      <w:r w:rsidRPr="00583BBF">
        <w:rPr>
          <w:rFonts w:ascii="Garamond" w:hAnsi="Garamond"/>
        </w:rPr>
        <w:t xml:space="preserve">of Bitcoin </w:t>
      </w:r>
      <w:r>
        <w:rPr>
          <w:rFonts w:ascii="Garamond" w:hAnsi="Garamond"/>
        </w:rPr>
        <w:t xml:space="preserve">may </w:t>
      </w:r>
      <w:r w:rsidR="00304113">
        <w:rPr>
          <w:rFonts w:ascii="Garamond" w:hAnsi="Garamond"/>
        </w:rPr>
        <w:t>be</w:t>
      </w:r>
      <w:r>
        <w:rPr>
          <w:rFonts w:ascii="Garamond" w:hAnsi="Garamond"/>
        </w:rPr>
        <w:t xml:space="preserve"> correlat</w:t>
      </w:r>
      <w:r w:rsidR="00304113">
        <w:rPr>
          <w:rFonts w:ascii="Garamond" w:hAnsi="Garamond"/>
        </w:rPr>
        <w:t>ed</w:t>
      </w:r>
      <w:r>
        <w:rPr>
          <w:rFonts w:ascii="Garamond" w:hAnsi="Garamond"/>
        </w:rPr>
        <w:t xml:space="preserve"> with one another.</w:t>
      </w:r>
      <w:r w:rsidRPr="00583BBF">
        <w:rPr>
          <w:rFonts w:ascii="Garamond" w:hAnsi="Garamond"/>
        </w:rPr>
        <w:t xml:space="preserve">  We therefore examine the origins of these relationships to determine which variable is driving the relationships.  We examine the cross-correlation coefficient where one variable is at time interval </w:t>
      </w:r>
      <w:r w:rsidRPr="00583BBF">
        <w:rPr>
          <w:rFonts w:ascii="Garamond" w:hAnsi="Garamond"/>
          <w:i/>
        </w:rPr>
        <w:t>t</w:t>
      </w:r>
      <w:r w:rsidRPr="00583BBF">
        <w:rPr>
          <w:rFonts w:ascii="Garamond" w:hAnsi="Garamond"/>
        </w:rPr>
        <w:t xml:space="preserve"> and the other at time interval </w:t>
      </w:r>
      <w:r w:rsidRPr="00583BBF">
        <w:rPr>
          <w:rFonts w:ascii="Garamond" w:hAnsi="Garamond"/>
          <w:i/>
        </w:rPr>
        <w:t>t + j</w:t>
      </w:r>
      <w:r w:rsidRPr="00583BBF">
        <w:rPr>
          <w:rFonts w:ascii="Garamond" w:hAnsi="Garamond"/>
        </w:rPr>
        <w:t xml:space="preserve">, where </w:t>
      </w:r>
      <w:r w:rsidRPr="00583BBF">
        <w:rPr>
          <w:rFonts w:ascii="Garamond" w:hAnsi="Garamond"/>
          <w:i/>
        </w:rPr>
        <w:t xml:space="preserve">j </w:t>
      </w:r>
      <w:r w:rsidRPr="00583BBF">
        <w:rPr>
          <w:rFonts w:ascii="Cambria Math" w:eastAsia="MTSY" w:hAnsi="Cambria Math" w:cs="Cambria Math"/>
        </w:rPr>
        <w:t>∈</w:t>
      </w:r>
      <w:r w:rsidRPr="00583BBF">
        <w:rPr>
          <w:rFonts w:ascii="Garamond" w:eastAsia="MTSY" w:hAnsi="Garamond"/>
        </w:rPr>
        <w:t xml:space="preserve"> {-</w:t>
      </w:r>
      <w:r w:rsidR="00E73018">
        <w:rPr>
          <w:rFonts w:ascii="Garamond" w:eastAsia="MTSY" w:hAnsi="Garamond"/>
        </w:rPr>
        <w:t>1</w:t>
      </w:r>
      <w:r>
        <w:rPr>
          <w:rFonts w:ascii="Garamond" w:eastAsia="MTSY" w:hAnsi="Garamond"/>
        </w:rPr>
        <w:t>0</w:t>
      </w:r>
      <w:r w:rsidRPr="00583BBF">
        <w:rPr>
          <w:rFonts w:ascii="Garamond" w:eastAsia="MTSY" w:hAnsi="Garamond"/>
        </w:rPr>
        <w:t xml:space="preserve">, . . . , </w:t>
      </w:r>
      <w:r w:rsidR="00E73018">
        <w:rPr>
          <w:rFonts w:ascii="Garamond" w:eastAsia="MTSY" w:hAnsi="Garamond"/>
        </w:rPr>
        <w:t>1</w:t>
      </w:r>
      <w:r>
        <w:rPr>
          <w:rFonts w:ascii="Garamond" w:eastAsia="MTSY" w:hAnsi="Garamond"/>
        </w:rPr>
        <w:t>0}</w:t>
      </w:r>
      <w:r w:rsidRPr="00583BBF">
        <w:rPr>
          <w:rFonts w:ascii="Garamond" w:eastAsia="MTSY" w:hAnsi="Garamond"/>
        </w:rPr>
        <w:t>.</w:t>
      </w:r>
      <w:r w:rsidRPr="00B5228B">
        <w:rPr>
          <w:rStyle w:val="FootnoteReference"/>
          <w:rFonts w:ascii="Garamond" w:eastAsia="MTSY" w:hAnsi="Garamond"/>
        </w:rPr>
        <w:footnoteReference w:id="11"/>
      </w:r>
      <w:r w:rsidRPr="00B5228B">
        <w:rPr>
          <w:rFonts w:ascii="Garamond" w:eastAsia="MTSY" w:hAnsi="Garamond"/>
          <w:vertAlign w:val="superscript"/>
        </w:rPr>
        <w:t>,</w:t>
      </w:r>
      <w:r w:rsidRPr="00B5228B">
        <w:rPr>
          <w:rStyle w:val="FootnoteReference"/>
          <w:rFonts w:ascii="Garamond" w:eastAsia="MTSY" w:hAnsi="Garamond"/>
        </w:rPr>
        <w:footnoteReference w:id="12"/>
      </w:r>
      <w:r w:rsidRPr="00B5228B">
        <w:rPr>
          <w:rFonts w:ascii="Garamond" w:eastAsia="MTSY" w:hAnsi="Garamond"/>
          <w:vertAlign w:val="superscript"/>
        </w:rPr>
        <w:t xml:space="preserve"> </w:t>
      </w:r>
      <w:r w:rsidRPr="00583BBF">
        <w:rPr>
          <w:rFonts w:ascii="Garamond" w:eastAsia="MTSY" w:hAnsi="Garamond"/>
        </w:rPr>
        <w:t xml:space="preserve"> Figure </w:t>
      </w:r>
      <w:r>
        <w:rPr>
          <w:rFonts w:ascii="Garamond" w:eastAsia="MTSY" w:hAnsi="Garamond"/>
        </w:rPr>
        <w:t>5</w:t>
      </w:r>
      <w:r w:rsidRPr="00583BBF">
        <w:rPr>
          <w:rFonts w:ascii="Garamond" w:eastAsia="MTSY" w:hAnsi="Garamond"/>
        </w:rPr>
        <w:t xml:space="preserve"> reports the cross-correlation between Bitcoin returns and volume and shows that the correlation is negative for a number of lagged volumes.  This suggests that returns may be systematically related to the preceding volume.  We also find that returns are correlated with volume in the proceeding 5-minutes, with the first two leads not near zero.  This suggests a bilateral lead-lag relationship between returns and volume.  Figure </w:t>
      </w:r>
      <w:r>
        <w:rPr>
          <w:rFonts w:ascii="Garamond" w:eastAsia="MTSY" w:hAnsi="Garamond"/>
        </w:rPr>
        <w:t>6</w:t>
      </w:r>
      <w:r w:rsidRPr="00583BBF">
        <w:rPr>
          <w:rFonts w:ascii="Garamond" w:eastAsia="MTSY" w:hAnsi="Garamond"/>
        </w:rPr>
        <w:t xml:space="preserve"> shows the correlation coefficient is negative at a number of lagged RV, while r</w:t>
      </w:r>
      <w:r w:rsidR="000E6D30">
        <w:rPr>
          <w:rFonts w:ascii="Garamond" w:eastAsia="MTSY" w:hAnsi="Garamond"/>
        </w:rPr>
        <w:t>eturns are correlated with RV in</w:t>
      </w:r>
      <w:r w:rsidRPr="00583BBF">
        <w:rPr>
          <w:rFonts w:ascii="Garamond" w:eastAsia="MTSY" w:hAnsi="Garamond"/>
        </w:rPr>
        <w:t xml:space="preserve"> the preceding couple of leads, indicating a bilateral lead-lag relationship between returns and RV. Figure </w:t>
      </w:r>
      <w:r>
        <w:rPr>
          <w:rFonts w:ascii="Garamond" w:eastAsia="MTSY" w:hAnsi="Garamond"/>
        </w:rPr>
        <w:t>7</w:t>
      </w:r>
      <w:r w:rsidRPr="00583BBF">
        <w:rPr>
          <w:rFonts w:ascii="Garamond" w:eastAsia="MTSY" w:hAnsi="Garamond"/>
        </w:rPr>
        <w:t xml:space="preserve"> presents a bilateral relationship between Bitcoin volume and RV which seems symmetrical in ma</w:t>
      </w:r>
      <w:r>
        <w:rPr>
          <w:rFonts w:ascii="Garamond" w:eastAsia="MTSY" w:hAnsi="Garamond"/>
        </w:rPr>
        <w:t>gnitude indicating a symmetric positive c</w:t>
      </w:r>
      <w:r w:rsidRPr="00583BBF">
        <w:rPr>
          <w:rFonts w:ascii="Garamond" w:eastAsia="MTSY" w:hAnsi="Garamond"/>
        </w:rPr>
        <w:t xml:space="preserve">orrelation between Bitcoin volume and RV.  </w:t>
      </w:r>
      <w:r>
        <w:rPr>
          <w:rFonts w:ascii="Garamond" w:eastAsia="MTSY" w:hAnsi="Garamond"/>
        </w:rPr>
        <w:t xml:space="preserve"> This is clear across all four subsample periods indicating the strength and consistency of this relationship. Finally, Figure 8 reports the cross-correlation between volume of trading and liquidity and shows a symmetric negative correlation that decreases in magnitude as the number of lags increases.  This relationship is strongest for the 2016 subsample, with little or no pattern whatsoever for the 2015 subsample.</w:t>
      </w:r>
    </w:p>
    <w:p w:rsidR="00D34F83" w:rsidRPr="00583BBF" w:rsidRDefault="00D34F83" w:rsidP="00D34F83">
      <w:pPr>
        <w:spacing w:line="480" w:lineRule="auto"/>
        <w:jc w:val="both"/>
        <w:rPr>
          <w:rFonts w:ascii="Garamond" w:eastAsia="MTSY" w:hAnsi="Garamond"/>
        </w:rPr>
      </w:pPr>
    </w:p>
    <w:p w:rsidR="00D34F83" w:rsidRPr="00583BBF" w:rsidRDefault="00D34F83" w:rsidP="00D34F83">
      <w:pPr>
        <w:spacing w:line="480" w:lineRule="auto"/>
        <w:jc w:val="both"/>
        <w:rPr>
          <w:rFonts w:ascii="Garamond" w:eastAsia="MTSY" w:hAnsi="Garamond"/>
        </w:rPr>
      </w:pPr>
      <w:r w:rsidRPr="00583BBF">
        <w:rPr>
          <w:rFonts w:ascii="Garamond" w:eastAsia="MTSY" w:hAnsi="Garamond"/>
        </w:rPr>
        <w:t>Therefore our results suggest that there is strong evidence of some lead-lag relationships between the intraday variables of Bitcoin.  However, one issue is that the cross-correlation analysis excludes partial cross-correlations (</w:t>
      </w:r>
      <w:r w:rsidRPr="00583BBF">
        <w:rPr>
          <w:rFonts w:ascii="Garamond" w:hAnsi="Garamond"/>
        </w:rPr>
        <w:t>Masset and Wallmeier 2010)</w:t>
      </w:r>
      <w:r w:rsidRPr="00583BBF">
        <w:rPr>
          <w:rFonts w:ascii="Garamond" w:eastAsia="MTSY" w:hAnsi="Garamond"/>
        </w:rPr>
        <w:t xml:space="preserve">.  It could be the case that correlations computed for lags greater than 2 are completely due to the correlation at lag = 1.  A more detailed study is therefore necessary to identify causality and the number of lagged intraday variables which have an impact on other intraday variables of Bitcoin.  </w:t>
      </w:r>
    </w:p>
    <w:p w:rsidR="00D34F83" w:rsidRPr="00583BBF" w:rsidRDefault="00D34F83" w:rsidP="00D34F83">
      <w:pPr>
        <w:spacing w:line="480" w:lineRule="auto"/>
        <w:jc w:val="both"/>
        <w:rPr>
          <w:rFonts w:ascii="Garamond" w:eastAsia="MTSY" w:hAnsi="Garamond"/>
        </w:rPr>
      </w:pPr>
    </w:p>
    <w:p w:rsidR="00D34F83" w:rsidRPr="00583BBF" w:rsidRDefault="008A6850" w:rsidP="00D34F83">
      <w:pPr>
        <w:spacing w:line="480" w:lineRule="auto"/>
        <w:jc w:val="both"/>
        <w:outlineLvl w:val="0"/>
        <w:rPr>
          <w:rFonts w:ascii="Garamond" w:eastAsia="MTSY" w:hAnsi="Garamond"/>
          <w:i/>
        </w:rPr>
      </w:pPr>
      <w:r>
        <w:rPr>
          <w:rFonts w:ascii="Garamond" w:eastAsia="MTSY" w:hAnsi="Garamond"/>
          <w:i/>
        </w:rPr>
        <w:t>4</w:t>
      </w:r>
      <w:r w:rsidR="00C679CF">
        <w:rPr>
          <w:rFonts w:ascii="Garamond" w:eastAsia="MTSY" w:hAnsi="Garamond"/>
          <w:i/>
        </w:rPr>
        <w:t>.5</w:t>
      </w:r>
      <w:r w:rsidR="00D34F83" w:rsidRPr="00583BBF">
        <w:rPr>
          <w:rFonts w:ascii="Garamond" w:eastAsia="MTSY" w:hAnsi="Garamond"/>
          <w:i/>
        </w:rPr>
        <w:t>. Granger Causality</w:t>
      </w:r>
    </w:p>
    <w:p w:rsidR="00D34F83" w:rsidRPr="008A6850" w:rsidRDefault="00D34F83" w:rsidP="00D34F83">
      <w:pPr>
        <w:spacing w:line="480" w:lineRule="auto"/>
        <w:jc w:val="both"/>
        <w:rPr>
          <w:rFonts w:ascii="Garamond" w:eastAsiaTheme="minorEastAsia" w:hAnsi="Garamond"/>
        </w:rPr>
      </w:pPr>
      <w:r w:rsidRPr="00583BBF">
        <w:rPr>
          <w:rFonts w:ascii="Garamond" w:eastAsiaTheme="minorEastAsia" w:hAnsi="Garamond"/>
        </w:rPr>
        <w:t xml:space="preserve">The Granger causality test is implemented to determine the causality between our intraday variables.  Table 3 summarises the results of the Wald </w:t>
      </w:r>
      <w:r w:rsidRPr="00583BBF">
        <w:rPr>
          <w:rFonts w:ascii="Garamond" w:eastAsiaTheme="minorEastAsia" w:hAnsi="Garamond"/>
          <w:i/>
        </w:rPr>
        <w:t>F</w:t>
      </w:r>
      <w:r w:rsidRPr="00583BBF">
        <w:rPr>
          <w:rFonts w:ascii="Garamond" w:eastAsiaTheme="minorEastAsia" w:hAnsi="Garamond"/>
        </w:rPr>
        <w:t>-test for the fu</w:t>
      </w:r>
      <w:r>
        <w:rPr>
          <w:rFonts w:ascii="Garamond" w:eastAsiaTheme="minorEastAsia" w:hAnsi="Garamond"/>
        </w:rPr>
        <w:t>ll sample period for up to ten</w:t>
      </w:r>
      <w:r w:rsidRPr="00583BBF">
        <w:rPr>
          <w:rFonts w:ascii="Garamond" w:eastAsiaTheme="minorEastAsia" w:hAnsi="Garamond"/>
        </w:rPr>
        <w:t xml:space="preserve"> lags (</w:t>
      </w:r>
      <w:r w:rsidRPr="00583BBF">
        <w:rPr>
          <w:rFonts w:ascii="Garamond" w:eastAsiaTheme="minorEastAsia" w:hAnsi="Garamond"/>
          <w:i/>
        </w:rPr>
        <w:t>p</w:t>
      </w:r>
      <w:r>
        <w:rPr>
          <w:rFonts w:ascii="Garamond" w:eastAsiaTheme="minorEastAsia" w:hAnsi="Garamond"/>
        </w:rPr>
        <w:t xml:space="preserve"> = 10</w:t>
      </w:r>
      <w:r w:rsidRPr="00583BBF">
        <w:rPr>
          <w:rFonts w:ascii="Garamond" w:eastAsiaTheme="minorEastAsia" w:hAnsi="Garamond"/>
        </w:rPr>
        <w:t>).</w:t>
      </w:r>
      <w:r w:rsidR="00E73018">
        <w:rPr>
          <w:rStyle w:val="FootnoteReference"/>
          <w:rFonts w:ascii="Garamond" w:eastAsiaTheme="minorEastAsia" w:hAnsi="Garamond"/>
        </w:rPr>
        <w:footnoteReference w:id="13"/>
      </w:r>
      <w:r w:rsidRPr="00583BBF">
        <w:rPr>
          <w:rFonts w:ascii="Garamond" w:eastAsiaTheme="minorEastAsia" w:hAnsi="Garamond"/>
        </w:rPr>
        <w:t xml:space="preserve">  We report the </w:t>
      </w:r>
      <w:r w:rsidRPr="00583BBF">
        <w:rPr>
          <w:rFonts w:ascii="Garamond" w:eastAsiaTheme="minorEastAsia" w:hAnsi="Garamond"/>
          <w:i/>
        </w:rPr>
        <w:t>F</w:t>
      </w:r>
      <w:r w:rsidRPr="00583BBF">
        <w:rPr>
          <w:rFonts w:ascii="Garamond" w:eastAsiaTheme="minorEastAsia" w:hAnsi="Garamond"/>
        </w:rPr>
        <w:t xml:space="preserve">-statistic and their significance and find bi-directional causality between </w:t>
      </w:r>
      <w:r>
        <w:rPr>
          <w:rFonts w:ascii="Garamond" w:eastAsiaTheme="minorEastAsia" w:hAnsi="Garamond"/>
        </w:rPr>
        <w:t>returns, RV and volume</w:t>
      </w:r>
      <w:r w:rsidRPr="00583BBF">
        <w:rPr>
          <w:rFonts w:ascii="Garamond" w:eastAsiaTheme="minorEastAsia" w:hAnsi="Garamond"/>
        </w:rPr>
        <w:t xml:space="preserve">. That, is, each relationship studied rejects the null hypothesis of no causality indicating that one past variable does contribute to the explanation of the current variable.  Although all are significant at least at the 5% level, some relationships are stronger than others.  For instance, the relationship between RV and </w:t>
      </w:r>
      <w:r>
        <w:rPr>
          <w:rFonts w:ascii="Garamond" w:eastAsiaTheme="minorEastAsia" w:hAnsi="Garamond"/>
        </w:rPr>
        <w:t xml:space="preserve">volume in 2014 only generates a F-stat of 13.17, but the same relationship in 2017 is 746.02.  </w:t>
      </w:r>
      <w:r w:rsidRPr="00583BBF">
        <w:rPr>
          <w:rFonts w:ascii="Garamond" w:eastAsiaTheme="minorEastAsia" w:hAnsi="Garamond"/>
        </w:rPr>
        <w:t xml:space="preserve"> </w:t>
      </w:r>
      <w:r>
        <w:rPr>
          <w:rFonts w:ascii="Garamond" w:eastAsiaTheme="minorEastAsia" w:hAnsi="Garamond"/>
        </w:rPr>
        <w:t>However the liquidity results indicating that there is no causality between returns and liquidity, as well as between RV and liquidity.  In each subsample period, the F-statistic is insignificant indicating no causality between these variables.  However there is granger causality between volume and liquidity in the 2014 and 2017 subsamples, and bidirectional causality between volume and liquidity in the 2016 subsample.  Therefore this indicates that the relationship between these intraday variables does vary over time and investors should be wary of such changes.</w:t>
      </w:r>
    </w:p>
    <w:p w:rsidR="00D34F83" w:rsidRPr="00583BBF" w:rsidRDefault="00D34F83" w:rsidP="00D34F83">
      <w:pPr>
        <w:spacing w:line="480" w:lineRule="auto"/>
        <w:jc w:val="both"/>
        <w:rPr>
          <w:rFonts w:ascii="Garamond" w:hAnsi="Garamond"/>
          <w:color w:val="000000"/>
          <w:lang w:eastAsia="zh-TW"/>
        </w:rPr>
      </w:pPr>
    </w:p>
    <w:p w:rsidR="00D34F83" w:rsidRPr="00D34F83" w:rsidRDefault="00D34F83" w:rsidP="00D34F83">
      <w:pPr>
        <w:spacing w:line="480" w:lineRule="auto"/>
        <w:jc w:val="both"/>
        <w:outlineLvl w:val="0"/>
        <w:rPr>
          <w:rFonts w:ascii="Garamond" w:hAnsi="Garamond"/>
          <w:b/>
          <w:color w:val="000000"/>
          <w:lang w:eastAsia="zh-TW"/>
        </w:rPr>
      </w:pPr>
      <w:r>
        <w:rPr>
          <w:rFonts w:ascii="Garamond" w:hAnsi="Garamond"/>
          <w:b/>
          <w:color w:val="000000"/>
        </w:rPr>
        <w:t>4</w:t>
      </w:r>
      <w:r w:rsidRPr="00583BBF">
        <w:rPr>
          <w:rFonts w:ascii="Garamond" w:hAnsi="Garamond"/>
          <w:b/>
          <w:color w:val="000000"/>
        </w:rPr>
        <w:t xml:space="preserve">. Summary and Conclusions </w:t>
      </w:r>
    </w:p>
    <w:p w:rsidR="00D34F83" w:rsidRPr="00583BBF" w:rsidRDefault="00D34F83" w:rsidP="00D34F83">
      <w:pPr>
        <w:spacing w:line="480" w:lineRule="auto"/>
        <w:jc w:val="both"/>
        <w:rPr>
          <w:rFonts w:ascii="Garamond" w:hAnsi="Garamond"/>
          <w:lang w:eastAsia="zh-TW"/>
        </w:rPr>
      </w:pPr>
      <w:r w:rsidRPr="00583BBF">
        <w:rPr>
          <w:rFonts w:ascii="Garamond" w:hAnsi="Garamond"/>
          <w:lang w:eastAsia="zh-TW"/>
        </w:rPr>
        <w:t>It is well known that equity markets and currencies exhibit intraday patterns and that there are relationships between intraday</w:t>
      </w:r>
      <w:r w:rsidR="000E6D30">
        <w:rPr>
          <w:rFonts w:ascii="Garamond" w:hAnsi="Garamond"/>
          <w:lang w:eastAsia="zh-TW"/>
        </w:rPr>
        <w:t xml:space="preserve"> returns</w:t>
      </w:r>
      <w:r w:rsidRPr="00583BBF">
        <w:rPr>
          <w:rFonts w:ascii="Garamond" w:hAnsi="Garamond"/>
          <w:lang w:eastAsia="zh-TW"/>
        </w:rPr>
        <w:t>, volume</w:t>
      </w:r>
      <w:r>
        <w:rPr>
          <w:rFonts w:ascii="Garamond" w:hAnsi="Garamond"/>
          <w:lang w:eastAsia="zh-TW"/>
        </w:rPr>
        <w:t>,</w:t>
      </w:r>
      <w:r w:rsidRPr="00583BBF">
        <w:rPr>
          <w:rFonts w:ascii="Garamond" w:hAnsi="Garamond"/>
          <w:lang w:eastAsia="zh-TW"/>
        </w:rPr>
        <w:t xml:space="preserve"> volatility</w:t>
      </w:r>
      <w:r>
        <w:rPr>
          <w:rFonts w:ascii="Garamond" w:hAnsi="Garamond"/>
          <w:lang w:eastAsia="zh-TW"/>
        </w:rPr>
        <w:t xml:space="preserve"> and liquidity</w:t>
      </w:r>
      <w:r w:rsidRPr="00583BBF">
        <w:rPr>
          <w:rFonts w:ascii="Garamond" w:hAnsi="Garamond"/>
          <w:lang w:eastAsia="zh-TW"/>
        </w:rPr>
        <w:t xml:space="preserve">. Bitcoin is a relatively new financial instrument which has created considerable debate in the media as well as the academic literature.  However, there is relatively little known about Bitcoin from an investor and academic viewpoint.  Therefore we add to the sparse literature by examining the intraday stylized facts of Bitcoin volume, realised volatility and </w:t>
      </w:r>
      <w:r>
        <w:rPr>
          <w:rFonts w:ascii="Garamond" w:hAnsi="Garamond"/>
          <w:lang w:eastAsia="zh-TW"/>
        </w:rPr>
        <w:t>liquidity</w:t>
      </w:r>
      <w:r w:rsidRPr="00583BBF">
        <w:rPr>
          <w:rFonts w:ascii="Garamond" w:hAnsi="Garamond"/>
          <w:lang w:eastAsia="zh-TW"/>
        </w:rPr>
        <w:t xml:space="preserve"> throughout the day as well as the dynamics between these variables.  We aggregate tick data to the 5-minutely frequency of the </w:t>
      </w:r>
      <w:r>
        <w:rPr>
          <w:rFonts w:ascii="Garamond" w:hAnsi="Garamond"/>
          <w:lang w:eastAsia="zh-TW"/>
        </w:rPr>
        <w:t>Bitstamp</w:t>
      </w:r>
      <w:r w:rsidRPr="00583BBF">
        <w:rPr>
          <w:rFonts w:ascii="Garamond" w:hAnsi="Garamond"/>
          <w:lang w:eastAsia="zh-TW"/>
        </w:rPr>
        <w:t xml:space="preserve"> exchange and</w:t>
      </w:r>
      <w:r>
        <w:rPr>
          <w:rFonts w:ascii="Garamond" w:hAnsi="Garamond"/>
          <w:lang w:eastAsia="zh-TW"/>
        </w:rPr>
        <w:t xml:space="preserve"> study the behaviour of Bitcoin variables from 2014-2017 in 4 equally-sized sample periods. We</w:t>
      </w:r>
      <w:r w:rsidRPr="00583BBF">
        <w:rPr>
          <w:rFonts w:ascii="Garamond" w:hAnsi="Garamond"/>
          <w:lang w:eastAsia="zh-TW"/>
        </w:rPr>
        <w:t xml:space="preserve"> find that Bitcoin returns have increased over time, while trading volume and volatility have gradually decreased.  We also find that</w:t>
      </w:r>
      <w:r>
        <w:rPr>
          <w:rFonts w:ascii="Garamond" w:hAnsi="Garamond"/>
          <w:lang w:eastAsia="zh-TW"/>
        </w:rPr>
        <w:t xml:space="preserve"> </w:t>
      </w:r>
      <w:r w:rsidRPr="00583BBF">
        <w:rPr>
          <w:rFonts w:ascii="Garamond" w:hAnsi="Garamond"/>
          <w:lang w:eastAsia="zh-TW"/>
        </w:rPr>
        <w:t>volume increases throughout the day and falls from around</w:t>
      </w:r>
      <w:r w:rsidR="00A32389">
        <w:rPr>
          <w:rFonts w:ascii="Garamond" w:hAnsi="Garamond"/>
          <w:lang w:eastAsia="zh-TW"/>
        </w:rPr>
        <w:t xml:space="preserve"> 2</w:t>
      </w:r>
      <w:r w:rsidRPr="00583BBF">
        <w:rPr>
          <w:rFonts w:ascii="Garamond" w:hAnsi="Garamond"/>
          <w:lang w:eastAsia="zh-TW"/>
        </w:rPr>
        <w:t xml:space="preserve">pm until midnight, which is consistent with the intraday patterns found in currency markets.  Realised volatility </w:t>
      </w:r>
      <w:r w:rsidR="00EC5917">
        <w:rPr>
          <w:rFonts w:ascii="Garamond" w:hAnsi="Garamond"/>
          <w:lang w:eastAsia="zh-TW"/>
        </w:rPr>
        <w:t>is</w:t>
      </w:r>
      <w:r w:rsidRPr="00583BBF">
        <w:rPr>
          <w:rFonts w:ascii="Garamond" w:hAnsi="Garamond"/>
          <w:lang w:eastAsia="zh-TW"/>
        </w:rPr>
        <w:t xml:space="preserve"> </w:t>
      </w:r>
      <w:r>
        <w:rPr>
          <w:rFonts w:ascii="Garamond" w:hAnsi="Garamond"/>
          <w:lang w:eastAsia="zh-TW"/>
        </w:rPr>
        <w:t>fairly consistent throughout the day although it is highest during the opening times of the three major global stock markets.  Also liquidity is highest during the opening times of the major global exchanges and the markets are illiquid during the early morning.</w:t>
      </w:r>
    </w:p>
    <w:p w:rsidR="00D34F83" w:rsidRPr="00583BBF" w:rsidRDefault="00D34F83" w:rsidP="00D34F83">
      <w:pPr>
        <w:spacing w:line="480" w:lineRule="auto"/>
        <w:jc w:val="both"/>
        <w:rPr>
          <w:rFonts w:ascii="Garamond" w:hAnsi="Garamond"/>
          <w:lang w:eastAsia="zh-TW"/>
        </w:rPr>
      </w:pPr>
    </w:p>
    <w:p w:rsidR="00D34F83" w:rsidRPr="00583BBF" w:rsidRDefault="00D34F83" w:rsidP="00D34F83">
      <w:pPr>
        <w:spacing w:line="480" w:lineRule="auto"/>
        <w:jc w:val="both"/>
        <w:rPr>
          <w:rFonts w:ascii="Garamond" w:hAnsi="Garamond"/>
          <w:lang w:eastAsia="zh-TW"/>
        </w:rPr>
      </w:pPr>
      <w:r w:rsidRPr="00583BBF">
        <w:rPr>
          <w:rFonts w:ascii="Garamond" w:hAnsi="Garamond"/>
          <w:lang w:eastAsia="zh-TW"/>
        </w:rPr>
        <w:t>We also examine the relationships between our variables and find a significant negative relationship between returns and volatility, which is consistent with the literature.  However, we find that this relationship is not return- or volatility-driven but is a bilateral relationship according to Granger causality. We find a significant positive relationship between volatility and volume which is consistent with the mixture of distributions hypothesis (MDH) by Clark (1973) that argues that volatility and volume move together</w:t>
      </w:r>
      <w:r w:rsidR="00EC5917">
        <w:rPr>
          <w:rFonts w:ascii="Garamond" w:hAnsi="Garamond"/>
          <w:lang w:eastAsia="zh-TW"/>
        </w:rPr>
        <w:t xml:space="preserve"> and</w:t>
      </w:r>
      <w:r w:rsidRPr="00583BBF">
        <w:rPr>
          <w:rFonts w:ascii="Garamond" w:hAnsi="Garamond"/>
          <w:lang w:eastAsia="zh-TW"/>
        </w:rPr>
        <w:t xml:space="preserve"> that this relationship is bilateral according to the Granger causality test.   </w:t>
      </w:r>
      <w:r>
        <w:rPr>
          <w:rFonts w:ascii="Garamond" w:hAnsi="Garamond"/>
          <w:lang w:eastAsia="zh-TW"/>
        </w:rPr>
        <w:t xml:space="preserve"> However liquidity is not related to returns or RV and there is no Granger causality between these variables in any of the sample periods examined.</w:t>
      </w:r>
    </w:p>
    <w:p w:rsidR="00D34F83" w:rsidRDefault="00D34F83" w:rsidP="00D34F83">
      <w:pPr>
        <w:spacing w:line="480" w:lineRule="auto"/>
        <w:jc w:val="both"/>
        <w:rPr>
          <w:rFonts w:ascii="Garamond" w:hAnsi="Garamond"/>
          <w:lang w:eastAsia="zh-TW"/>
        </w:rPr>
      </w:pPr>
    </w:p>
    <w:p w:rsidR="00D34F83" w:rsidRDefault="00D34F83" w:rsidP="00D34F83">
      <w:pPr>
        <w:spacing w:line="480" w:lineRule="auto"/>
        <w:jc w:val="both"/>
        <w:rPr>
          <w:rFonts w:ascii="Garamond" w:hAnsi="Garamond"/>
          <w:lang w:eastAsia="zh-TW"/>
        </w:rPr>
      </w:pPr>
      <w:r>
        <w:rPr>
          <w:rFonts w:ascii="Garamond" w:hAnsi="Garamond"/>
          <w:lang w:eastAsia="zh-TW"/>
        </w:rPr>
        <w:t xml:space="preserve">Therefore our </w:t>
      </w:r>
      <w:r w:rsidR="00A32389">
        <w:rPr>
          <w:rFonts w:ascii="Garamond" w:hAnsi="Garamond"/>
          <w:lang w:eastAsia="zh-TW"/>
        </w:rPr>
        <w:t xml:space="preserve">paper is the first </w:t>
      </w:r>
      <w:r>
        <w:rPr>
          <w:rFonts w:ascii="Garamond" w:hAnsi="Garamond"/>
          <w:lang w:eastAsia="zh-TW"/>
        </w:rPr>
        <w:t>to examine the intraday dynamics of Bitcoin variables at the 5-minute frequency.  We show that the relationship between and the intraday behaviour of these intraday variables do vary over time indicating that researchers should be careful to guard against this when examining any aspects of this popular cryptocurrency.</w:t>
      </w:r>
    </w:p>
    <w:p w:rsidR="00D34F83" w:rsidRDefault="00D34F83" w:rsidP="00D34F83"/>
    <w:p w:rsidR="00B067B4" w:rsidRPr="00583BBF" w:rsidRDefault="00B067B4" w:rsidP="002F33FA">
      <w:pPr>
        <w:pageBreakBefore/>
        <w:jc w:val="both"/>
        <w:outlineLvl w:val="0"/>
        <w:rPr>
          <w:rFonts w:ascii="Garamond" w:hAnsi="Garamond"/>
          <w:b/>
          <w:lang w:val="de-DE"/>
        </w:rPr>
      </w:pPr>
      <w:r w:rsidRPr="00583BBF">
        <w:rPr>
          <w:rFonts w:ascii="Garamond" w:hAnsi="Garamond"/>
          <w:b/>
          <w:lang w:val="de-DE"/>
        </w:rPr>
        <w:t>References</w:t>
      </w:r>
    </w:p>
    <w:p w:rsidR="001E4914" w:rsidRPr="00E44800" w:rsidRDefault="00B17DA8" w:rsidP="00E44800">
      <w:pPr>
        <w:widowControl w:val="0"/>
        <w:ind w:left="720" w:hanging="720"/>
        <w:jc w:val="both"/>
        <w:rPr>
          <w:rFonts w:ascii="Garamond" w:hAnsi="Garamond"/>
        </w:rPr>
      </w:pPr>
      <w:r w:rsidRPr="00E44800">
        <w:rPr>
          <w:rFonts w:ascii="Garamond" w:hAnsi="Garamond"/>
          <w:lang w:val="de-DE"/>
        </w:rPr>
        <w:t xml:space="preserve">Admati, A. R., Pfleiderer, P. (1988). </w:t>
      </w:r>
      <w:r w:rsidRPr="00E44800">
        <w:rPr>
          <w:rFonts w:ascii="Garamond" w:hAnsi="Garamond"/>
        </w:rPr>
        <w:t xml:space="preserve">A theory of intraday patterns: volume and price variability. </w:t>
      </w:r>
      <w:r w:rsidRPr="00E44800">
        <w:rPr>
          <w:rFonts w:ascii="Garamond" w:hAnsi="Garamond"/>
          <w:i/>
        </w:rPr>
        <w:t>Review of Financial Studies</w:t>
      </w:r>
      <w:r w:rsidRPr="00E44800">
        <w:rPr>
          <w:rFonts w:ascii="Garamond" w:hAnsi="Garamond"/>
        </w:rPr>
        <w:t>, 1, 3-40.</w:t>
      </w:r>
    </w:p>
    <w:p w:rsidR="00385A1A" w:rsidRDefault="00385A1A" w:rsidP="00E44800">
      <w:pPr>
        <w:widowControl w:val="0"/>
        <w:ind w:left="720" w:hanging="720"/>
        <w:jc w:val="both"/>
        <w:rPr>
          <w:rFonts w:ascii="Garamond" w:hAnsi="Garamond"/>
        </w:rPr>
      </w:pPr>
      <w:r w:rsidRPr="00E44800">
        <w:rPr>
          <w:rFonts w:ascii="Garamond" w:hAnsi="Garamond"/>
        </w:rPr>
        <w:t xml:space="preserve">Ali, R., Barrdear, J., Clews, R., Southgate, J. (2014). The economics of digital currencies. </w:t>
      </w:r>
      <w:r w:rsidRPr="00E44800">
        <w:rPr>
          <w:rFonts w:ascii="Garamond" w:hAnsi="Garamond"/>
          <w:i/>
        </w:rPr>
        <w:t>Bank of England Quarterly Bulletin, Q3</w:t>
      </w:r>
      <w:r w:rsidRPr="00E44800">
        <w:rPr>
          <w:rFonts w:ascii="Garamond" w:hAnsi="Garamond"/>
        </w:rPr>
        <w:t>, 1-11.</w:t>
      </w:r>
    </w:p>
    <w:p w:rsidR="00AB7C48" w:rsidRDefault="00AB7C48" w:rsidP="00E44800">
      <w:pPr>
        <w:widowControl w:val="0"/>
        <w:ind w:left="720" w:hanging="720"/>
        <w:jc w:val="both"/>
        <w:rPr>
          <w:rFonts w:ascii="Garamond" w:hAnsi="Garamond"/>
        </w:rPr>
      </w:pPr>
      <w:r>
        <w:rPr>
          <w:rFonts w:ascii="Garamond" w:hAnsi="Garamond"/>
        </w:rPr>
        <w:t xml:space="preserve">Amihud, Y. (2002). Illiquidity and stock returns: cross-section and time-series effects. </w:t>
      </w:r>
      <w:r>
        <w:rPr>
          <w:rFonts w:ascii="Garamond" w:hAnsi="Garamond"/>
          <w:i/>
        </w:rPr>
        <w:t>Journal of Financial Markets</w:t>
      </w:r>
      <w:r>
        <w:rPr>
          <w:rFonts w:ascii="Garamond" w:hAnsi="Garamond"/>
        </w:rPr>
        <w:t>, 5(1), 31-56.</w:t>
      </w:r>
    </w:p>
    <w:p w:rsidR="005230A2" w:rsidRPr="005230A2" w:rsidRDefault="005230A2" w:rsidP="00E44800">
      <w:pPr>
        <w:widowControl w:val="0"/>
        <w:ind w:left="720" w:hanging="720"/>
        <w:jc w:val="both"/>
        <w:rPr>
          <w:rFonts w:ascii="Garamond" w:hAnsi="Garamond"/>
        </w:rPr>
      </w:pPr>
      <w:r>
        <w:rPr>
          <w:rFonts w:ascii="Garamond" w:hAnsi="Garamond"/>
        </w:rPr>
        <w:t xml:space="preserve">Anderson, T. G. (2000). Some reflections on analysis of high-frequency data. </w:t>
      </w:r>
      <w:r>
        <w:rPr>
          <w:rFonts w:ascii="Garamond" w:hAnsi="Garamond"/>
          <w:i/>
        </w:rPr>
        <w:t>Journal of Business, Economics and Statistics</w:t>
      </w:r>
      <w:r>
        <w:rPr>
          <w:rFonts w:ascii="Garamond" w:hAnsi="Garamond"/>
        </w:rPr>
        <w:t>, 18, 146-153.</w:t>
      </w:r>
    </w:p>
    <w:p w:rsidR="00385A1A" w:rsidRPr="00E44800" w:rsidRDefault="00385A1A" w:rsidP="00E44800">
      <w:pPr>
        <w:widowControl w:val="0"/>
        <w:ind w:left="720" w:hanging="720"/>
        <w:jc w:val="both"/>
        <w:rPr>
          <w:rFonts w:ascii="Garamond" w:hAnsi="Garamond"/>
        </w:rPr>
      </w:pPr>
      <w:r w:rsidRPr="00E44800">
        <w:rPr>
          <w:rFonts w:ascii="Garamond" w:hAnsi="Garamond"/>
        </w:rPr>
        <w:t xml:space="preserve">Angel, J., J., McCabe, D. (2015). The ethics of payments: </w:t>
      </w:r>
      <w:r w:rsidR="00E62602" w:rsidRPr="00E44800">
        <w:rPr>
          <w:rFonts w:ascii="Garamond" w:hAnsi="Garamond"/>
        </w:rPr>
        <w:t>paper</w:t>
      </w:r>
      <w:r w:rsidRPr="00E44800">
        <w:rPr>
          <w:rFonts w:ascii="Garamond" w:hAnsi="Garamond"/>
        </w:rPr>
        <w:t>, plastic</w:t>
      </w:r>
      <w:r w:rsidR="00E62602" w:rsidRPr="00E44800">
        <w:rPr>
          <w:rFonts w:ascii="Garamond" w:hAnsi="Garamond"/>
        </w:rPr>
        <w:t>,</w:t>
      </w:r>
      <w:r w:rsidRPr="00E44800">
        <w:rPr>
          <w:rFonts w:ascii="Garamond" w:hAnsi="Garamond"/>
        </w:rPr>
        <w:t xml:space="preserve"> o</w:t>
      </w:r>
      <w:r w:rsidR="00E62602" w:rsidRPr="00E44800">
        <w:rPr>
          <w:rFonts w:ascii="Garamond" w:hAnsi="Garamond"/>
        </w:rPr>
        <w:t>r</w:t>
      </w:r>
      <w:r w:rsidRPr="00E44800">
        <w:rPr>
          <w:rFonts w:ascii="Garamond" w:hAnsi="Garamond"/>
        </w:rPr>
        <w:t xml:space="preserve"> </w:t>
      </w:r>
      <w:r w:rsidR="00E278E9" w:rsidRPr="00E44800">
        <w:rPr>
          <w:rFonts w:ascii="Garamond" w:hAnsi="Garamond"/>
        </w:rPr>
        <w:t>Bitcoin</w:t>
      </w:r>
      <w:r w:rsidRPr="00E44800">
        <w:rPr>
          <w:rFonts w:ascii="Garamond" w:hAnsi="Garamond"/>
        </w:rPr>
        <w:t xml:space="preserve">? </w:t>
      </w:r>
      <w:r w:rsidRPr="00E44800">
        <w:rPr>
          <w:rFonts w:ascii="Garamond" w:hAnsi="Garamond"/>
          <w:i/>
        </w:rPr>
        <w:t>Journal of Business Ethics</w:t>
      </w:r>
      <w:r w:rsidRPr="00E44800">
        <w:rPr>
          <w:rFonts w:ascii="Garamond" w:hAnsi="Garamond"/>
        </w:rPr>
        <w:t>, 132, 603-611.</w:t>
      </w:r>
    </w:p>
    <w:p w:rsidR="00EC5917" w:rsidRPr="00E44800" w:rsidRDefault="0060370F" w:rsidP="00E44800">
      <w:pPr>
        <w:widowControl w:val="0"/>
        <w:ind w:left="720" w:hanging="720"/>
        <w:jc w:val="both"/>
        <w:rPr>
          <w:rFonts w:ascii="Garamond" w:hAnsi="Garamond"/>
        </w:rPr>
      </w:pPr>
      <w:r w:rsidRPr="00E44800">
        <w:rPr>
          <w:rFonts w:ascii="Garamond" w:hAnsi="Garamond"/>
        </w:rPr>
        <w:t>ap Gwilym, O., Sutcliffe, C. (1999). High-frequency financial market data: sources, applications and market microstructure. Risk Books.</w:t>
      </w:r>
    </w:p>
    <w:p w:rsidR="00B17DA8" w:rsidRPr="00E44800" w:rsidRDefault="00B17DA8" w:rsidP="00E44800">
      <w:pPr>
        <w:widowControl w:val="0"/>
        <w:ind w:left="720" w:hanging="720"/>
        <w:jc w:val="both"/>
        <w:rPr>
          <w:rFonts w:ascii="Garamond" w:hAnsi="Garamond"/>
        </w:rPr>
      </w:pPr>
      <w:r w:rsidRPr="00E44800">
        <w:rPr>
          <w:rFonts w:ascii="Garamond" w:hAnsi="Garamond"/>
        </w:rPr>
        <w:t xml:space="preserve">Baillie, R. T., Bollerslev, T. (1990). Intraday and inter-market volatility in foreign exchange rates. </w:t>
      </w:r>
      <w:r w:rsidRPr="00E44800">
        <w:rPr>
          <w:rFonts w:ascii="Garamond" w:hAnsi="Garamond"/>
          <w:i/>
        </w:rPr>
        <w:t>Review of Economic Studies</w:t>
      </w:r>
      <w:r w:rsidRPr="00E44800">
        <w:rPr>
          <w:rFonts w:ascii="Garamond" w:hAnsi="Garamond"/>
        </w:rPr>
        <w:t>, 58, 565-585.</w:t>
      </w:r>
    </w:p>
    <w:p w:rsidR="00EC5917" w:rsidRDefault="00EC5917" w:rsidP="00E44800">
      <w:pPr>
        <w:ind w:left="720" w:hanging="720"/>
        <w:jc w:val="both"/>
        <w:rPr>
          <w:rFonts w:ascii="Garamond" w:hAnsi="Garamond"/>
          <w:color w:val="000000" w:themeColor="text1"/>
        </w:rPr>
      </w:pPr>
      <w:r w:rsidRPr="00E44800">
        <w:rPr>
          <w:rFonts w:ascii="Garamond" w:hAnsi="Garamond"/>
          <w:color w:val="000000" w:themeColor="text1"/>
        </w:rPr>
        <w:t xml:space="preserve">Bariviera, A. F. (2017). The inefficiency of Bitcoin revisited: A dynamic approach. </w:t>
      </w:r>
      <w:r w:rsidRPr="00E44800">
        <w:rPr>
          <w:rFonts w:ascii="Garamond" w:hAnsi="Garamond"/>
          <w:i/>
          <w:color w:val="000000" w:themeColor="text1"/>
        </w:rPr>
        <w:t>Economics Letters</w:t>
      </w:r>
      <w:r w:rsidRPr="00E44800">
        <w:rPr>
          <w:rFonts w:ascii="Garamond" w:hAnsi="Garamond"/>
          <w:color w:val="000000" w:themeColor="text1"/>
        </w:rPr>
        <w:t>, 161, 1-4.</w:t>
      </w:r>
    </w:p>
    <w:p w:rsidR="006B3ACD" w:rsidRPr="006B3ACD" w:rsidRDefault="006B3ACD" w:rsidP="00E44800">
      <w:pPr>
        <w:ind w:left="720" w:hanging="720"/>
        <w:jc w:val="both"/>
        <w:rPr>
          <w:rFonts w:ascii="Garamond" w:hAnsi="Garamond"/>
          <w:color w:val="000000" w:themeColor="text1"/>
        </w:rPr>
      </w:pPr>
      <w:r>
        <w:rPr>
          <w:rFonts w:ascii="Garamond" w:hAnsi="Garamond"/>
          <w:color w:val="000000" w:themeColor="text1"/>
        </w:rPr>
        <w:t xml:space="preserve">Batten, J., Lucey, B., McGroarty, F., Peat, M., Urquhart, A. (2017). Stylized facts of intraday precious metals. </w:t>
      </w:r>
      <w:r>
        <w:rPr>
          <w:rFonts w:ascii="Garamond" w:hAnsi="Garamond"/>
          <w:i/>
          <w:color w:val="000000" w:themeColor="text1"/>
        </w:rPr>
        <w:t>PLOS ONE</w:t>
      </w:r>
      <w:r>
        <w:rPr>
          <w:rFonts w:ascii="Garamond" w:hAnsi="Garamond"/>
          <w:color w:val="000000" w:themeColor="text1"/>
        </w:rPr>
        <w:t>, 12(4): e0174232.</w:t>
      </w:r>
    </w:p>
    <w:p w:rsidR="00190AD7" w:rsidRPr="00E44800" w:rsidRDefault="00190AD7" w:rsidP="00E44800">
      <w:pPr>
        <w:widowControl w:val="0"/>
        <w:ind w:left="720" w:hanging="720"/>
        <w:jc w:val="both"/>
        <w:rPr>
          <w:rFonts w:ascii="Garamond" w:hAnsi="Garamond"/>
        </w:rPr>
      </w:pPr>
      <w:r w:rsidRPr="00E44800">
        <w:rPr>
          <w:rFonts w:ascii="Garamond" w:hAnsi="Garamond"/>
        </w:rPr>
        <w:t>Baur, D. G., Hong, K., Lee, A. D. (201</w:t>
      </w:r>
      <w:r w:rsidR="00EC5917" w:rsidRPr="00E44800">
        <w:rPr>
          <w:rFonts w:ascii="Garamond" w:hAnsi="Garamond"/>
        </w:rPr>
        <w:t>8</w:t>
      </w:r>
      <w:r w:rsidRPr="00E44800">
        <w:rPr>
          <w:rFonts w:ascii="Garamond" w:hAnsi="Garamond"/>
        </w:rPr>
        <w:t xml:space="preserve">). Bitcoin: Currency or Investment? </w:t>
      </w:r>
      <w:r w:rsidR="00EC5917" w:rsidRPr="00E44800">
        <w:rPr>
          <w:rFonts w:ascii="Garamond" w:hAnsi="Garamond"/>
          <w:i/>
          <w:lang w:eastAsia="zh-TW"/>
        </w:rPr>
        <w:t>Journal of International Financial Markets, Institutions and Money</w:t>
      </w:r>
      <w:r w:rsidR="00EC5917" w:rsidRPr="00E44800">
        <w:rPr>
          <w:rFonts w:ascii="Garamond" w:hAnsi="Garamond"/>
          <w:lang w:eastAsia="zh-TW"/>
        </w:rPr>
        <w:t>, forthcoming.</w:t>
      </w:r>
    </w:p>
    <w:p w:rsidR="00B067B4" w:rsidRPr="00E44800" w:rsidRDefault="00DA2B09" w:rsidP="00E44800">
      <w:pPr>
        <w:widowControl w:val="0"/>
        <w:ind w:left="720" w:hanging="720"/>
        <w:jc w:val="both"/>
        <w:rPr>
          <w:rFonts w:ascii="Garamond" w:hAnsi="Garamond"/>
        </w:rPr>
      </w:pPr>
      <w:r w:rsidRPr="00E44800">
        <w:rPr>
          <w:rFonts w:ascii="Garamond" w:hAnsi="Garamond"/>
        </w:rPr>
        <w:t>Bek</w:t>
      </w:r>
      <w:r w:rsidR="00B067B4" w:rsidRPr="00E44800">
        <w:rPr>
          <w:rFonts w:ascii="Garamond" w:hAnsi="Garamond"/>
        </w:rPr>
        <w:t>a</w:t>
      </w:r>
      <w:r w:rsidRPr="00E44800">
        <w:rPr>
          <w:rFonts w:ascii="Garamond" w:hAnsi="Garamond"/>
        </w:rPr>
        <w:t>e</w:t>
      </w:r>
      <w:r w:rsidR="00B067B4" w:rsidRPr="00E44800">
        <w:rPr>
          <w:rFonts w:ascii="Garamond" w:hAnsi="Garamond"/>
        </w:rPr>
        <w:t xml:space="preserve">rt, G., Wu, G. (2000). Asymmetric volatility and risk in equity markets. </w:t>
      </w:r>
      <w:r w:rsidR="00B067B4" w:rsidRPr="00E44800">
        <w:rPr>
          <w:rFonts w:ascii="Garamond" w:hAnsi="Garamond"/>
          <w:i/>
        </w:rPr>
        <w:t>Review of Financial Studies</w:t>
      </w:r>
      <w:r w:rsidR="00B067B4" w:rsidRPr="00E44800">
        <w:rPr>
          <w:rFonts w:ascii="Garamond" w:hAnsi="Garamond"/>
        </w:rPr>
        <w:t>, 13, 1-42.</w:t>
      </w:r>
    </w:p>
    <w:p w:rsidR="00B067B4" w:rsidRPr="00E44800" w:rsidRDefault="00B067B4" w:rsidP="00E44800">
      <w:pPr>
        <w:widowControl w:val="0"/>
        <w:ind w:left="720" w:hanging="720"/>
        <w:jc w:val="both"/>
        <w:rPr>
          <w:rFonts w:ascii="Garamond" w:hAnsi="Garamond"/>
        </w:rPr>
      </w:pPr>
      <w:r w:rsidRPr="00E44800">
        <w:rPr>
          <w:rFonts w:ascii="Garamond" w:hAnsi="Garamond"/>
        </w:rPr>
        <w:t xml:space="preserve">Black, F. (1976). Studies of stock price volatility changes, </w:t>
      </w:r>
      <w:r w:rsidRPr="00E44800">
        <w:rPr>
          <w:rFonts w:ascii="Garamond" w:hAnsi="Garamond"/>
          <w:i/>
        </w:rPr>
        <w:t xml:space="preserve">Proceedings of the meetings of the American Statistical Association, Business and Economics Section, Chicago, </w:t>
      </w:r>
      <w:r w:rsidRPr="00E44800">
        <w:rPr>
          <w:rFonts w:ascii="Garamond" w:hAnsi="Garamond"/>
        </w:rPr>
        <w:t>177-181.</w:t>
      </w:r>
    </w:p>
    <w:p w:rsidR="00B067B4" w:rsidRPr="00E44800" w:rsidRDefault="00B067B4" w:rsidP="00E44800">
      <w:pPr>
        <w:widowControl w:val="0"/>
        <w:ind w:left="720" w:hanging="720"/>
        <w:jc w:val="both"/>
        <w:rPr>
          <w:rFonts w:ascii="Garamond" w:hAnsi="Garamond"/>
        </w:rPr>
      </w:pPr>
      <w:r w:rsidRPr="00E44800">
        <w:rPr>
          <w:rFonts w:ascii="Garamond" w:hAnsi="Garamond"/>
        </w:rPr>
        <w:t xml:space="preserve">Bollerslev, T., Litvinova, J., Tauchen, G. (2006). Leverage and volatility feedback efforts in high-frequency data. </w:t>
      </w:r>
      <w:r w:rsidRPr="00E44800">
        <w:rPr>
          <w:rFonts w:ascii="Garamond" w:hAnsi="Garamond"/>
          <w:i/>
        </w:rPr>
        <w:t>Journal of Financial Econometrics</w:t>
      </w:r>
      <w:r w:rsidRPr="00E44800">
        <w:rPr>
          <w:rFonts w:ascii="Garamond" w:hAnsi="Garamond"/>
        </w:rPr>
        <w:t>, 4, 353-384.</w:t>
      </w:r>
    </w:p>
    <w:p w:rsidR="00131BC7" w:rsidRPr="00E44800" w:rsidRDefault="00131BC7" w:rsidP="00E44800">
      <w:pPr>
        <w:widowControl w:val="0"/>
        <w:ind w:left="720" w:hanging="720"/>
        <w:jc w:val="both"/>
        <w:rPr>
          <w:rFonts w:ascii="Garamond" w:hAnsi="Garamond"/>
        </w:rPr>
      </w:pPr>
      <w:r w:rsidRPr="00E44800">
        <w:rPr>
          <w:rFonts w:ascii="Garamond" w:hAnsi="Garamond"/>
        </w:rPr>
        <w:t>Bouri, E., M</w:t>
      </w:r>
      <w:r w:rsidRPr="00E44800">
        <w:rPr>
          <w:rFonts w:ascii="Garamond" w:hAnsi="Garamond"/>
          <w:color w:val="000000" w:themeColor="text1"/>
        </w:rPr>
        <w:t>oln</w:t>
      </w:r>
      <w:r w:rsidR="006C3A8C" w:rsidRPr="00E44800">
        <w:rPr>
          <w:rFonts w:ascii="Garamond" w:hAnsi="Garamond"/>
          <w:color w:val="000000" w:themeColor="text1"/>
        </w:rPr>
        <w:t xml:space="preserve">ár, P., Azzi, G, Roubaud, D., Hagfors, L. I. (2017). On the hedge and safe haven properties of Bitcoin: Is it really more than a diversifier? </w:t>
      </w:r>
      <w:r w:rsidR="006C3A8C" w:rsidRPr="00E44800">
        <w:rPr>
          <w:rFonts w:ascii="Garamond" w:hAnsi="Garamond"/>
          <w:i/>
          <w:color w:val="000000" w:themeColor="text1"/>
        </w:rPr>
        <w:t>Finance Research Letters</w:t>
      </w:r>
      <w:r w:rsidR="006C3A8C" w:rsidRPr="00E44800">
        <w:rPr>
          <w:rFonts w:ascii="Garamond" w:hAnsi="Garamond"/>
          <w:color w:val="000000" w:themeColor="text1"/>
        </w:rPr>
        <w:t>, 20, 192-198.</w:t>
      </w:r>
    </w:p>
    <w:p w:rsidR="00B067B4" w:rsidRPr="00E44800" w:rsidRDefault="00B067B4" w:rsidP="00E44800">
      <w:pPr>
        <w:widowControl w:val="0"/>
        <w:ind w:left="720" w:hanging="720"/>
        <w:jc w:val="both"/>
        <w:rPr>
          <w:rFonts w:ascii="Garamond" w:hAnsi="Garamond"/>
          <w:color w:val="000000"/>
          <w:lang w:eastAsia="zh-TW"/>
        </w:rPr>
      </w:pPr>
      <w:r w:rsidRPr="00E44800">
        <w:rPr>
          <w:rFonts w:ascii="Garamond" w:hAnsi="Garamond"/>
        </w:rPr>
        <w:t>Brandvold, M., Moln</w:t>
      </w:r>
      <w:r w:rsidRPr="00E44800">
        <w:rPr>
          <w:rFonts w:ascii="Garamond" w:hAnsi="Garamond"/>
          <w:color w:val="000000"/>
        </w:rPr>
        <w:t xml:space="preserve">ár, P., Vagstad, K., Valstad, O. C. A. (2015). Price discovery on </w:t>
      </w:r>
      <w:r w:rsidR="00E278E9" w:rsidRPr="00E44800">
        <w:rPr>
          <w:rFonts w:ascii="Garamond" w:hAnsi="Garamond"/>
          <w:color w:val="000000"/>
        </w:rPr>
        <w:t>Bitcoin</w:t>
      </w:r>
      <w:r w:rsidRPr="00E44800">
        <w:rPr>
          <w:rFonts w:ascii="Garamond" w:hAnsi="Garamond"/>
          <w:color w:val="000000"/>
        </w:rPr>
        <w:t xml:space="preserve"> exchanges. </w:t>
      </w:r>
      <w:r w:rsidRPr="00E44800">
        <w:rPr>
          <w:rFonts w:ascii="Garamond" w:hAnsi="Garamond"/>
          <w:i/>
          <w:color w:val="000000"/>
        </w:rPr>
        <w:t>Journal of International Financial Markets, Institutions and Money</w:t>
      </w:r>
      <w:r w:rsidRPr="00E44800">
        <w:rPr>
          <w:rFonts w:ascii="Garamond" w:hAnsi="Garamond"/>
          <w:color w:val="000000"/>
        </w:rPr>
        <w:t>, 36, 18-35.</w:t>
      </w:r>
    </w:p>
    <w:p w:rsidR="003F704D" w:rsidRPr="00E44800" w:rsidRDefault="003F704D" w:rsidP="00E44800">
      <w:pPr>
        <w:widowControl w:val="0"/>
        <w:ind w:left="720" w:hanging="720"/>
        <w:jc w:val="both"/>
        <w:rPr>
          <w:rFonts w:ascii="Garamond" w:hAnsi="Garamond"/>
          <w:color w:val="000000"/>
          <w:lang w:eastAsia="zh-TW"/>
        </w:rPr>
      </w:pPr>
      <w:r w:rsidRPr="00E44800">
        <w:rPr>
          <w:rFonts w:ascii="Garamond" w:hAnsi="Garamond"/>
          <w:color w:val="000000"/>
          <w:lang w:eastAsia="zh-TW"/>
        </w:rPr>
        <w:t xml:space="preserve">Breedon, F., Ranaldo, A. (2013). Intraday Patterns in FX Returns and Order Flow. </w:t>
      </w:r>
      <w:r w:rsidRPr="00E44800">
        <w:rPr>
          <w:rFonts w:ascii="Garamond" w:hAnsi="Garamond"/>
          <w:i/>
          <w:color w:val="000000"/>
          <w:lang w:eastAsia="zh-TW"/>
        </w:rPr>
        <w:t>Journal of Money, Credit and Banking</w:t>
      </w:r>
      <w:r w:rsidRPr="00E44800">
        <w:rPr>
          <w:rFonts w:ascii="Garamond" w:hAnsi="Garamond"/>
          <w:color w:val="000000"/>
          <w:lang w:eastAsia="zh-TW"/>
        </w:rPr>
        <w:t>, 45(5), 953-965.</w:t>
      </w:r>
    </w:p>
    <w:p w:rsidR="00B067B4" w:rsidRPr="00E44800" w:rsidRDefault="00B067B4" w:rsidP="00E44800">
      <w:pPr>
        <w:widowControl w:val="0"/>
        <w:ind w:left="720" w:hanging="720"/>
        <w:jc w:val="both"/>
        <w:rPr>
          <w:rFonts w:ascii="Garamond" w:hAnsi="Garamond"/>
          <w:color w:val="000000"/>
        </w:rPr>
      </w:pPr>
      <w:r w:rsidRPr="00E44800">
        <w:rPr>
          <w:rFonts w:ascii="Garamond" w:hAnsi="Garamond"/>
          <w:color w:val="000000"/>
        </w:rPr>
        <w:t xml:space="preserve">Brock, W. A., Kleidon, A. W. (1992). Periodic market closure and trading volume: A model of intra-day bids and asks. </w:t>
      </w:r>
      <w:r w:rsidRPr="00E44800">
        <w:rPr>
          <w:rFonts w:ascii="Garamond" w:hAnsi="Garamond"/>
          <w:i/>
          <w:color w:val="000000"/>
        </w:rPr>
        <w:t>Journal of Economic Dynamics and Control</w:t>
      </w:r>
      <w:r w:rsidRPr="00E44800">
        <w:rPr>
          <w:rFonts w:ascii="Garamond" w:hAnsi="Garamond"/>
          <w:color w:val="000000"/>
        </w:rPr>
        <w:t>, 16, 451-489.</w:t>
      </w:r>
    </w:p>
    <w:p w:rsidR="0060370F" w:rsidRPr="00E44800" w:rsidRDefault="0060370F" w:rsidP="00E44800">
      <w:pPr>
        <w:widowControl w:val="0"/>
        <w:ind w:left="720" w:hanging="720"/>
        <w:jc w:val="both"/>
        <w:rPr>
          <w:rFonts w:ascii="Garamond" w:hAnsi="Garamond"/>
          <w:color w:val="000000"/>
        </w:rPr>
      </w:pPr>
      <w:r w:rsidRPr="00E44800">
        <w:rPr>
          <w:rFonts w:ascii="Garamond" w:hAnsi="Garamond"/>
          <w:color w:val="000000"/>
        </w:rPr>
        <w:t xml:space="preserve">Cai, C. X., Hudson, R., Keasey, K. (2004). Intraday bid-ask spreads, trading volume and volatility: Recent empirical evidence from the London Stock Exchange. </w:t>
      </w:r>
      <w:r w:rsidRPr="00E44800">
        <w:rPr>
          <w:rFonts w:ascii="Garamond" w:hAnsi="Garamond"/>
          <w:i/>
          <w:color w:val="000000"/>
        </w:rPr>
        <w:t xml:space="preserve">Journal </w:t>
      </w:r>
      <w:r w:rsidR="008E241F" w:rsidRPr="00E44800">
        <w:rPr>
          <w:rFonts w:ascii="Garamond" w:hAnsi="Garamond"/>
          <w:i/>
          <w:color w:val="000000"/>
        </w:rPr>
        <w:t>of</w:t>
      </w:r>
      <w:r w:rsidRPr="00E44800">
        <w:rPr>
          <w:rFonts w:ascii="Garamond" w:hAnsi="Garamond"/>
          <w:i/>
          <w:color w:val="000000"/>
        </w:rPr>
        <w:t xml:space="preserve"> Business Finance and Accounting, </w:t>
      </w:r>
      <w:r w:rsidRPr="00E44800">
        <w:rPr>
          <w:rFonts w:ascii="Garamond" w:hAnsi="Garamond"/>
          <w:color w:val="000000"/>
        </w:rPr>
        <w:t>31, 647-676.</w:t>
      </w:r>
    </w:p>
    <w:p w:rsidR="00EC5917" w:rsidRPr="00E44800" w:rsidRDefault="00EC5917" w:rsidP="00E44800">
      <w:pPr>
        <w:widowControl w:val="0"/>
        <w:ind w:left="720" w:hanging="720"/>
        <w:jc w:val="both"/>
        <w:rPr>
          <w:rFonts w:ascii="Garamond" w:hAnsi="Garamond"/>
          <w:color w:val="000000"/>
        </w:rPr>
      </w:pPr>
      <w:r w:rsidRPr="00E44800">
        <w:rPr>
          <w:rFonts w:ascii="Garamond" w:hAnsi="Garamond"/>
          <w:color w:val="000000"/>
        </w:rPr>
        <w:t xml:space="preserve">Caporale, G. M., Gils-Alana, L., Plastun, A. (2018). Persistence in the cryptocurrency market. </w:t>
      </w:r>
      <w:r w:rsidRPr="00E44800">
        <w:rPr>
          <w:rFonts w:ascii="Garamond" w:hAnsi="Garamond"/>
          <w:i/>
          <w:color w:val="000000"/>
        </w:rPr>
        <w:t>Research in International Business and Finance</w:t>
      </w:r>
      <w:r w:rsidRPr="00E44800">
        <w:rPr>
          <w:rFonts w:ascii="Garamond" w:hAnsi="Garamond"/>
          <w:color w:val="000000"/>
        </w:rPr>
        <w:t>, forthcoming.</w:t>
      </w:r>
    </w:p>
    <w:p w:rsidR="00B067B4" w:rsidRPr="00E44800" w:rsidRDefault="00B067B4" w:rsidP="00E44800">
      <w:pPr>
        <w:widowControl w:val="0"/>
        <w:ind w:left="720" w:hanging="720"/>
        <w:jc w:val="both"/>
        <w:rPr>
          <w:rFonts w:ascii="Garamond" w:hAnsi="Garamond"/>
          <w:color w:val="000000"/>
        </w:rPr>
      </w:pPr>
      <w:r w:rsidRPr="00E44800">
        <w:rPr>
          <w:rFonts w:ascii="Garamond" w:hAnsi="Garamond"/>
          <w:color w:val="000000"/>
        </w:rPr>
        <w:t xml:space="preserve">Cheah, E-T., Fry J. (2015). Speculative bubbles in </w:t>
      </w:r>
      <w:r w:rsidR="00E278E9" w:rsidRPr="00E44800">
        <w:rPr>
          <w:rFonts w:ascii="Garamond" w:hAnsi="Garamond"/>
          <w:color w:val="000000"/>
        </w:rPr>
        <w:t>Bitcoin</w:t>
      </w:r>
      <w:r w:rsidRPr="00E44800">
        <w:rPr>
          <w:rFonts w:ascii="Garamond" w:hAnsi="Garamond"/>
          <w:color w:val="000000"/>
        </w:rPr>
        <w:t xml:space="preserve"> markets? An empirical investigation into the fundamental value of </w:t>
      </w:r>
      <w:r w:rsidR="00E278E9" w:rsidRPr="00E44800">
        <w:rPr>
          <w:rFonts w:ascii="Garamond" w:hAnsi="Garamond"/>
          <w:color w:val="000000"/>
        </w:rPr>
        <w:t>Bitcoin</w:t>
      </w:r>
      <w:r w:rsidRPr="00E44800">
        <w:rPr>
          <w:rFonts w:ascii="Garamond" w:hAnsi="Garamond"/>
          <w:color w:val="000000"/>
        </w:rPr>
        <w:t xml:space="preserve">. </w:t>
      </w:r>
      <w:r w:rsidRPr="00E44800">
        <w:rPr>
          <w:rFonts w:ascii="Garamond" w:hAnsi="Garamond"/>
          <w:i/>
          <w:color w:val="000000"/>
        </w:rPr>
        <w:t>Economics Letters</w:t>
      </w:r>
      <w:r w:rsidRPr="00E44800">
        <w:rPr>
          <w:rFonts w:ascii="Garamond" w:hAnsi="Garamond"/>
          <w:color w:val="000000"/>
        </w:rPr>
        <w:t>, 130, 32-36.</w:t>
      </w:r>
    </w:p>
    <w:p w:rsidR="00B067B4" w:rsidRPr="00E44800" w:rsidRDefault="00B067B4" w:rsidP="00E44800">
      <w:pPr>
        <w:widowControl w:val="0"/>
        <w:ind w:left="720" w:hanging="720"/>
        <w:jc w:val="both"/>
        <w:rPr>
          <w:rFonts w:ascii="Garamond" w:hAnsi="Garamond"/>
          <w:color w:val="000000"/>
        </w:rPr>
      </w:pPr>
      <w:r w:rsidRPr="00E44800">
        <w:rPr>
          <w:rFonts w:ascii="Garamond" w:hAnsi="Garamond"/>
          <w:color w:val="000000"/>
        </w:rPr>
        <w:t xml:space="preserve">Chen, X., Ghysels, E. (2007). News – good or bad – and its impact over multiple horizons. </w:t>
      </w:r>
      <w:r w:rsidRPr="00E44800">
        <w:rPr>
          <w:rFonts w:ascii="Garamond" w:hAnsi="Garamond"/>
          <w:i/>
          <w:color w:val="000000"/>
        </w:rPr>
        <w:t>Review of Financial Studies</w:t>
      </w:r>
      <w:r w:rsidRPr="00E44800">
        <w:rPr>
          <w:rFonts w:ascii="Garamond" w:hAnsi="Garamond"/>
          <w:color w:val="000000"/>
        </w:rPr>
        <w:t>, 42, 46-81.</w:t>
      </w:r>
    </w:p>
    <w:p w:rsidR="00B067B4" w:rsidRPr="00E44800" w:rsidRDefault="00B067B4" w:rsidP="00E44800">
      <w:pPr>
        <w:widowControl w:val="0"/>
        <w:ind w:left="720" w:hanging="720"/>
        <w:jc w:val="both"/>
        <w:rPr>
          <w:rFonts w:ascii="Garamond" w:hAnsi="Garamond"/>
          <w:color w:val="000000"/>
        </w:rPr>
      </w:pPr>
      <w:r w:rsidRPr="00E44800">
        <w:rPr>
          <w:rFonts w:ascii="Garamond" w:hAnsi="Garamond"/>
          <w:color w:val="000000"/>
        </w:rPr>
        <w:t xml:space="preserve">Christie, A. (1982). The stochastic behaviour of common stock variances: value, leverage and interest rate effects. </w:t>
      </w:r>
      <w:r w:rsidRPr="00E44800">
        <w:rPr>
          <w:rFonts w:ascii="Garamond" w:hAnsi="Garamond"/>
          <w:i/>
          <w:color w:val="000000"/>
        </w:rPr>
        <w:t>Journal of Financial Economics</w:t>
      </w:r>
      <w:r w:rsidRPr="00E44800">
        <w:rPr>
          <w:rFonts w:ascii="Garamond" w:hAnsi="Garamond"/>
          <w:color w:val="000000"/>
        </w:rPr>
        <w:t>, 10, 407-432.</w:t>
      </w:r>
    </w:p>
    <w:p w:rsidR="00004232" w:rsidRPr="00E44800" w:rsidRDefault="004D2076" w:rsidP="00E44800">
      <w:pPr>
        <w:widowControl w:val="0"/>
        <w:ind w:left="720" w:hanging="720"/>
        <w:jc w:val="both"/>
        <w:rPr>
          <w:rFonts w:ascii="Garamond" w:hAnsi="Garamond"/>
          <w:color w:val="000000"/>
        </w:rPr>
      </w:pPr>
      <w:r>
        <w:rPr>
          <w:rFonts w:ascii="Garamond" w:hAnsi="Garamond"/>
          <w:color w:val="000000"/>
        </w:rPr>
        <w:t>Clark, P. K. (1973</w:t>
      </w:r>
      <w:r w:rsidR="00004232" w:rsidRPr="00E44800">
        <w:rPr>
          <w:rFonts w:ascii="Garamond" w:hAnsi="Garamond"/>
          <w:color w:val="000000"/>
        </w:rPr>
        <w:t xml:space="preserve">). A subordinated stochastic model with finite variance for speculative prices. </w:t>
      </w:r>
      <w:r w:rsidR="00004232" w:rsidRPr="00E44800">
        <w:rPr>
          <w:rFonts w:ascii="Garamond" w:hAnsi="Garamond"/>
          <w:i/>
          <w:color w:val="000000"/>
        </w:rPr>
        <w:t>Econometrica</w:t>
      </w:r>
      <w:r w:rsidR="00004232" w:rsidRPr="00E44800">
        <w:rPr>
          <w:rFonts w:ascii="Garamond" w:hAnsi="Garamond"/>
          <w:color w:val="000000"/>
        </w:rPr>
        <w:t>, 41, 135-155.</w:t>
      </w:r>
    </w:p>
    <w:p w:rsidR="00B659CB" w:rsidRPr="00E44800" w:rsidRDefault="00B659CB" w:rsidP="00E44800">
      <w:pPr>
        <w:widowControl w:val="0"/>
        <w:ind w:left="720" w:hanging="720"/>
        <w:jc w:val="both"/>
        <w:rPr>
          <w:rFonts w:ascii="Garamond" w:hAnsi="Garamond"/>
          <w:color w:val="000000"/>
        </w:rPr>
      </w:pPr>
      <w:r w:rsidRPr="00E44800">
        <w:rPr>
          <w:rFonts w:ascii="Garamond" w:hAnsi="Garamond"/>
          <w:color w:val="000000"/>
        </w:rPr>
        <w:t xml:space="preserve">Copeland, T. (1976). A model of asset trading under the assumption of sequential information arrival. </w:t>
      </w:r>
      <w:r w:rsidRPr="00E44800">
        <w:rPr>
          <w:rFonts w:ascii="Garamond" w:hAnsi="Garamond"/>
          <w:i/>
          <w:color w:val="000000"/>
        </w:rPr>
        <w:t>Journal of Finance</w:t>
      </w:r>
      <w:r w:rsidRPr="00E44800">
        <w:rPr>
          <w:rFonts w:ascii="Garamond" w:hAnsi="Garamond"/>
          <w:color w:val="000000"/>
        </w:rPr>
        <w:t>, 31, 1149-1168.</w:t>
      </w:r>
    </w:p>
    <w:p w:rsidR="00E44800" w:rsidRPr="00E44800" w:rsidRDefault="00E44800" w:rsidP="00E44800">
      <w:pPr>
        <w:ind w:left="720" w:hanging="720"/>
        <w:jc w:val="both"/>
        <w:rPr>
          <w:rFonts w:ascii="Garamond" w:hAnsi="Garamond"/>
          <w:color w:val="000000" w:themeColor="text1"/>
        </w:rPr>
      </w:pPr>
      <w:r w:rsidRPr="00E44800">
        <w:rPr>
          <w:rFonts w:ascii="Garamond" w:hAnsi="Garamond"/>
          <w:color w:val="000000" w:themeColor="text1"/>
        </w:rPr>
        <w:t xml:space="preserve">Corbet, S., Lucey, B., Yarovaya, L. (2018a). Datestamping the Bitcoin and Ethereum bubbles. </w:t>
      </w:r>
      <w:r w:rsidRPr="00E44800">
        <w:rPr>
          <w:rFonts w:ascii="Garamond" w:hAnsi="Garamond"/>
          <w:i/>
          <w:color w:val="000000" w:themeColor="text1"/>
        </w:rPr>
        <w:t>Finance Research Letters</w:t>
      </w:r>
      <w:r w:rsidRPr="00E44800">
        <w:rPr>
          <w:rFonts w:ascii="Garamond" w:hAnsi="Garamond"/>
          <w:color w:val="000000" w:themeColor="text1"/>
        </w:rPr>
        <w:t>, forthcoming.</w:t>
      </w:r>
    </w:p>
    <w:p w:rsidR="00E44800" w:rsidRPr="0038122F" w:rsidRDefault="00E44800" w:rsidP="0038122F">
      <w:pPr>
        <w:ind w:left="720" w:hanging="720"/>
        <w:jc w:val="both"/>
        <w:rPr>
          <w:rFonts w:ascii="Garamond" w:hAnsi="Garamond"/>
          <w:color w:val="000000" w:themeColor="text1"/>
          <w:shd w:val="clear" w:color="auto" w:fill="FFFFFF"/>
        </w:rPr>
      </w:pPr>
      <w:r w:rsidRPr="00E44800">
        <w:rPr>
          <w:rFonts w:ascii="Garamond" w:hAnsi="Garamond"/>
        </w:rPr>
        <w:t xml:space="preserve">Corbet, S., Meegan, A., </w:t>
      </w:r>
      <w:r w:rsidRPr="0038122F">
        <w:rPr>
          <w:rFonts w:ascii="Garamond" w:hAnsi="Garamond"/>
          <w:color w:val="000000" w:themeColor="text1"/>
        </w:rPr>
        <w:t xml:space="preserve">Larkin, C., Lucey, B., Yarovaya, L. (2018b). Exploring the Dynamic Relationships between Cryptocurrencies and Other Financial Assets. </w:t>
      </w:r>
      <w:r w:rsidRPr="0038122F">
        <w:rPr>
          <w:rFonts w:ascii="Garamond" w:hAnsi="Garamond"/>
          <w:i/>
          <w:color w:val="000000" w:themeColor="text1"/>
          <w:shd w:val="clear" w:color="auto" w:fill="FFFFFF"/>
        </w:rPr>
        <w:t xml:space="preserve">Economics Letters, </w:t>
      </w:r>
      <w:r w:rsidR="00553BF4" w:rsidRPr="0038122F">
        <w:rPr>
          <w:rFonts w:ascii="Garamond" w:hAnsi="Garamond"/>
          <w:color w:val="000000" w:themeColor="text1"/>
          <w:shd w:val="clear" w:color="auto" w:fill="FFFFFF"/>
        </w:rPr>
        <w:t>165, 28-34.</w:t>
      </w:r>
    </w:p>
    <w:p w:rsidR="0038122F" w:rsidRPr="009E5408" w:rsidRDefault="0038122F" w:rsidP="0038122F">
      <w:pPr>
        <w:ind w:left="720" w:hanging="720"/>
        <w:jc w:val="both"/>
        <w:rPr>
          <w:rFonts w:ascii="Garamond" w:hAnsi="Garamond"/>
          <w:color w:val="000000" w:themeColor="text1"/>
        </w:rPr>
      </w:pPr>
      <w:r w:rsidRPr="0038122F">
        <w:rPr>
          <w:rFonts w:ascii="Garamond" w:hAnsi="Garamond"/>
          <w:color w:val="000000" w:themeColor="text1"/>
        </w:rPr>
        <w:t xml:space="preserve">Corbet, S., Lucey, B., Urquhart, A., Yarovaya, L. (2018c). Cryptocurrencies as a Financial Asset: A Systematic Analysis, </w:t>
      </w:r>
      <w:r w:rsidR="009E5408">
        <w:rPr>
          <w:rFonts w:ascii="Garamond" w:hAnsi="Garamond"/>
          <w:i/>
          <w:color w:val="000000" w:themeColor="text1"/>
          <w:shd w:val="clear" w:color="auto" w:fill="FFFFFF"/>
        </w:rPr>
        <w:t>International Review of Financial Analysis</w:t>
      </w:r>
      <w:r w:rsidR="009E5408">
        <w:rPr>
          <w:rFonts w:ascii="Garamond" w:hAnsi="Garamond"/>
          <w:color w:val="000000" w:themeColor="text1"/>
          <w:shd w:val="clear" w:color="auto" w:fill="FFFFFF"/>
        </w:rPr>
        <w:t>, forthcoming.</w:t>
      </w:r>
    </w:p>
    <w:p w:rsidR="00E4022F" w:rsidRPr="00E4022F" w:rsidRDefault="00E4022F" w:rsidP="0038122F">
      <w:pPr>
        <w:ind w:left="720" w:hanging="720"/>
        <w:jc w:val="both"/>
        <w:rPr>
          <w:rFonts w:ascii="Garamond" w:hAnsi="Garamond"/>
          <w:color w:val="000000" w:themeColor="text1"/>
        </w:rPr>
      </w:pPr>
      <w:r>
        <w:rPr>
          <w:rFonts w:ascii="Garamond" w:hAnsi="Garamond"/>
          <w:color w:val="000000" w:themeColor="text1"/>
        </w:rPr>
        <w:t>Corbet S., Lucey, B., Peat, M., Vigne, S. (2018</w:t>
      </w:r>
      <w:r w:rsidR="00AA5029">
        <w:rPr>
          <w:rFonts w:ascii="Garamond" w:hAnsi="Garamond"/>
          <w:color w:val="000000" w:themeColor="text1"/>
        </w:rPr>
        <w:t>d</w:t>
      </w:r>
      <w:r>
        <w:rPr>
          <w:rFonts w:ascii="Garamond" w:hAnsi="Garamond"/>
          <w:color w:val="000000" w:themeColor="text1"/>
        </w:rPr>
        <w:t xml:space="preserve">). Bitcoin Futures – What use are they? </w:t>
      </w:r>
      <w:r>
        <w:rPr>
          <w:rFonts w:ascii="Garamond" w:hAnsi="Garamond"/>
          <w:i/>
          <w:color w:val="000000" w:themeColor="text1"/>
        </w:rPr>
        <w:t>Economics Letters</w:t>
      </w:r>
      <w:r>
        <w:rPr>
          <w:rFonts w:ascii="Garamond" w:hAnsi="Garamond"/>
          <w:color w:val="000000" w:themeColor="text1"/>
        </w:rPr>
        <w:t>, 172, 23-27.</w:t>
      </w:r>
    </w:p>
    <w:p w:rsidR="00B17DA8" w:rsidRPr="0038122F" w:rsidRDefault="00B17DA8" w:rsidP="0038122F">
      <w:pPr>
        <w:widowControl w:val="0"/>
        <w:ind w:left="720" w:hanging="720"/>
        <w:jc w:val="both"/>
        <w:rPr>
          <w:rFonts w:ascii="Garamond" w:hAnsi="Garamond"/>
          <w:color w:val="000000" w:themeColor="text1"/>
        </w:rPr>
      </w:pPr>
      <w:r w:rsidRPr="0038122F">
        <w:rPr>
          <w:rFonts w:ascii="Garamond" w:hAnsi="Garamond"/>
          <w:color w:val="000000" w:themeColor="text1"/>
        </w:rPr>
        <w:t>Danielsson, J. Payne, R. (2001). Measuring and explaining liquidity on an electronic limit order book: evidence from Reuters D2000-2. EFA 2001 Barcelona Meetings.</w:t>
      </w:r>
    </w:p>
    <w:p w:rsidR="00BC7780" w:rsidRPr="0038122F" w:rsidRDefault="00BC7780" w:rsidP="0038122F">
      <w:pPr>
        <w:widowControl w:val="0"/>
        <w:ind w:left="720" w:hanging="720"/>
        <w:jc w:val="both"/>
        <w:rPr>
          <w:rFonts w:ascii="Garamond" w:hAnsi="Garamond"/>
          <w:color w:val="000000" w:themeColor="text1"/>
        </w:rPr>
      </w:pPr>
      <w:r w:rsidRPr="0038122F">
        <w:rPr>
          <w:rFonts w:ascii="Garamond" w:hAnsi="Garamond"/>
          <w:color w:val="000000" w:themeColor="text1"/>
        </w:rPr>
        <w:t xml:space="preserve">Dennis, P., Mayhew, S., Stivers, C. (2006). Stock returns, implied volatility innovations, and the </w:t>
      </w:r>
      <w:r w:rsidR="00BA6B07" w:rsidRPr="0038122F">
        <w:rPr>
          <w:rFonts w:ascii="Garamond" w:hAnsi="Garamond"/>
          <w:color w:val="000000" w:themeColor="text1"/>
        </w:rPr>
        <w:t>asymmetric</w:t>
      </w:r>
      <w:r w:rsidRPr="0038122F">
        <w:rPr>
          <w:rFonts w:ascii="Garamond" w:hAnsi="Garamond"/>
          <w:color w:val="000000" w:themeColor="text1"/>
        </w:rPr>
        <w:t xml:space="preserve"> volatility phenomenon. </w:t>
      </w:r>
      <w:r w:rsidRPr="0038122F">
        <w:rPr>
          <w:rFonts w:ascii="Garamond" w:hAnsi="Garamond"/>
          <w:i/>
          <w:color w:val="000000" w:themeColor="text1"/>
        </w:rPr>
        <w:t>Journal of Financial and Quantitative Analysis</w:t>
      </w:r>
      <w:r w:rsidRPr="0038122F">
        <w:rPr>
          <w:rFonts w:ascii="Garamond" w:hAnsi="Garamond"/>
          <w:color w:val="000000" w:themeColor="text1"/>
        </w:rPr>
        <w:t>, 41, 381-406.</w:t>
      </w:r>
    </w:p>
    <w:p w:rsidR="00B067B4" w:rsidRPr="00E44800" w:rsidRDefault="00B067B4" w:rsidP="0038122F">
      <w:pPr>
        <w:widowControl w:val="0"/>
        <w:ind w:left="720" w:hanging="720"/>
        <w:jc w:val="both"/>
        <w:rPr>
          <w:rFonts w:ascii="Garamond" w:hAnsi="Garamond"/>
          <w:color w:val="000000"/>
        </w:rPr>
      </w:pPr>
      <w:r w:rsidRPr="0038122F">
        <w:rPr>
          <w:rFonts w:ascii="Garamond" w:hAnsi="Garamond"/>
          <w:color w:val="000000" w:themeColor="text1"/>
        </w:rPr>
        <w:t xml:space="preserve">Dufour, J., Garcia, R., Taamouti, A. (2012). Measuring High-Frequency Causality </w:t>
      </w:r>
      <w:r w:rsidRPr="00E44800">
        <w:rPr>
          <w:rFonts w:ascii="Garamond" w:hAnsi="Garamond"/>
          <w:color w:val="000000"/>
        </w:rPr>
        <w:t xml:space="preserve">Between Returns, Realized Volatility and Implied Volatility. </w:t>
      </w:r>
      <w:r w:rsidRPr="00E44800">
        <w:rPr>
          <w:rFonts w:ascii="Garamond" w:hAnsi="Garamond"/>
          <w:i/>
          <w:color w:val="000000"/>
        </w:rPr>
        <w:t>Journal of Financial Econometrics</w:t>
      </w:r>
      <w:r w:rsidRPr="00E44800">
        <w:rPr>
          <w:rFonts w:ascii="Garamond" w:hAnsi="Garamond"/>
          <w:color w:val="000000"/>
        </w:rPr>
        <w:t>, 10, 124-163.</w:t>
      </w:r>
    </w:p>
    <w:p w:rsidR="002D0B4E" w:rsidRPr="00E44800" w:rsidRDefault="00CB5C2B" w:rsidP="00E44800">
      <w:pPr>
        <w:widowControl w:val="0"/>
        <w:ind w:left="720" w:hanging="720"/>
        <w:jc w:val="both"/>
        <w:rPr>
          <w:rFonts w:ascii="Garamond" w:hAnsi="Garamond"/>
          <w:color w:val="000000"/>
        </w:rPr>
      </w:pPr>
      <w:r>
        <w:rPr>
          <w:rFonts w:ascii="Garamond" w:hAnsi="Garamond"/>
          <w:color w:val="000000"/>
        </w:rPr>
        <w:t>Dwyer, G. P. (2015</w:t>
      </w:r>
      <w:r w:rsidR="002D0B4E" w:rsidRPr="00E44800">
        <w:rPr>
          <w:rFonts w:ascii="Garamond" w:hAnsi="Garamond"/>
          <w:color w:val="000000"/>
        </w:rPr>
        <w:t xml:space="preserve">). The economics of </w:t>
      </w:r>
      <w:r w:rsidR="00E278E9" w:rsidRPr="00E44800">
        <w:rPr>
          <w:rFonts w:ascii="Garamond" w:hAnsi="Garamond"/>
          <w:color w:val="000000"/>
        </w:rPr>
        <w:t>Bitcoin</w:t>
      </w:r>
      <w:r w:rsidR="002D0B4E" w:rsidRPr="00E44800">
        <w:rPr>
          <w:rFonts w:ascii="Garamond" w:hAnsi="Garamond"/>
          <w:color w:val="000000"/>
        </w:rPr>
        <w:t xml:space="preserve"> and similar private digital currencies. </w:t>
      </w:r>
      <w:r w:rsidR="002D0B4E" w:rsidRPr="00E44800">
        <w:rPr>
          <w:rFonts w:ascii="Garamond" w:hAnsi="Garamond"/>
          <w:i/>
          <w:color w:val="000000"/>
        </w:rPr>
        <w:t xml:space="preserve">Journal of Financial Stability, </w:t>
      </w:r>
      <w:r w:rsidR="002D0B4E" w:rsidRPr="00E44800">
        <w:rPr>
          <w:rFonts w:ascii="Garamond" w:hAnsi="Garamond"/>
          <w:color w:val="000000"/>
        </w:rPr>
        <w:t>17, 81-91.</w:t>
      </w:r>
    </w:p>
    <w:p w:rsidR="006E2B85" w:rsidRPr="00E44800" w:rsidRDefault="006E2B85" w:rsidP="00E44800">
      <w:pPr>
        <w:widowControl w:val="0"/>
        <w:ind w:left="720" w:hanging="720"/>
        <w:jc w:val="both"/>
        <w:rPr>
          <w:rFonts w:ascii="Garamond" w:hAnsi="Garamond"/>
          <w:color w:val="000000"/>
          <w:lang w:eastAsia="zh-TW"/>
        </w:rPr>
      </w:pPr>
      <w:r w:rsidRPr="00E44800">
        <w:rPr>
          <w:rFonts w:ascii="Garamond" w:hAnsi="Garamond"/>
          <w:color w:val="000000"/>
        </w:rPr>
        <w:t xml:space="preserve">Dyhrberg, A. H. (2016a). </w:t>
      </w:r>
      <w:r w:rsidR="00E278E9" w:rsidRPr="00E44800">
        <w:rPr>
          <w:rFonts w:ascii="Garamond" w:hAnsi="Garamond"/>
          <w:color w:val="000000"/>
        </w:rPr>
        <w:t>Bitcoin</w:t>
      </w:r>
      <w:r w:rsidRPr="00E44800">
        <w:rPr>
          <w:rFonts w:ascii="Garamond" w:hAnsi="Garamond"/>
          <w:color w:val="000000"/>
        </w:rPr>
        <w:t>, gold and the dollar – a GARCH volatility analysis.</w:t>
      </w:r>
      <w:r w:rsidRPr="00E44800">
        <w:rPr>
          <w:rFonts w:ascii="Garamond" w:hAnsi="Garamond"/>
          <w:i/>
          <w:color w:val="000000"/>
          <w:lang w:eastAsia="zh-TW"/>
        </w:rPr>
        <w:t xml:space="preserve"> Finance Research Letters</w:t>
      </w:r>
      <w:r w:rsidRPr="00E44800">
        <w:rPr>
          <w:rFonts w:ascii="Garamond" w:hAnsi="Garamond"/>
          <w:color w:val="000000"/>
          <w:lang w:eastAsia="zh-TW"/>
        </w:rPr>
        <w:t xml:space="preserve">, </w:t>
      </w:r>
      <w:r w:rsidR="008E241F" w:rsidRPr="00E44800">
        <w:rPr>
          <w:rFonts w:ascii="Garamond" w:hAnsi="Garamond"/>
          <w:color w:val="000000"/>
          <w:lang w:eastAsia="zh-TW"/>
        </w:rPr>
        <w:t>16, 85-92.</w:t>
      </w:r>
    </w:p>
    <w:p w:rsidR="006E2B85" w:rsidRPr="00E44800" w:rsidRDefault="006E2B85" w:rsidP="00E44800">
      <w:pPr>
        <w:widowControl w:val="0"/>
        <w:ind w:left="720" w:hanging="720"/>
        <w:jc w:val="both"/>
        <w:rPr>
          <w:rFonts w:ascii="Garamond" w:hAnsi="Garamond"/>
          <w:color w:val="000000"/>
          <w:lang w:eastAsia="zh-TW"/>
        </w:rPr>
      </w:pPr>
      <w:r w:rsidRPr="00E44800">
        <w:rPr>
          <w:rFonts w:ascii="Garamond" w:hAnsi="Garamond"/>
          <w:color w:val="000000"/>
          <w:lang w:eastAsia="zh-TW"/>
        </w:rPr>
        <w:t xml:space="preserve">Dyhrberg, A. H. (2016b). Hedging capabilities of </w:t>
      </w:r>
      <w:r w:rsidR="00E278E9" w:rsidRPr="00E44800">
        <w:rPr>
          <w:rFonts w:ascii="Garamond" w:hAnsi="Garamond"/>
          <w:color w:val="000000"/>
          <w:lang w:eastAsia="zh-TW"/>
        </w:rPr>
        <w:t>Bitcoin</w:t>
      </w:r>
      <w:r w:rsidRPr="00E44800">
        <w:rPr>
          <w:rFonts w:ascii="Garamond" w:hAnsi="Garamond"/>
          <w:color w:val="000000"/>
          <w:lang w:eastAsia="zh-TW"/>
        </w:rPr>
        <w:t xml:space="preserve">. Is it the virtual gold? </w:t>
      </w:r>
      <w:r w:rsidRPr="00E44800">
        <w:rPr>
          <w:rFonts w:ascii="Garamond" w:hAnsi="Garamond"/>
          <w:i/>
          <w:color w:val="000000"/>
          <w:lang w:eastAsia="zh-TW"/>
        </w:rPr>
        <w:t>Finance Research Letters</w:t>
      </w:r>
      <w:r w:rsidRPr="00E44800">
        <w:rPr>
          <w:rFonts w:ascii="Garamond" w:hAnsi="Garamond"/>
          <w:color w:val="000000"/>
          <w:lang w:eastAsia="zh-TW"/>
        </w:rPr>
        <w:t xml:space="preserve">, </w:t>
      </w:r>
      <w:r w:rsidR="008E241F" w:rsidRPr="00E44800">
        <w:rPr>
          <w:rFonts w:ascii="Garamond" w:hAnsi="Garamond"/>
          <w:color w:val="000000"/>
          <w:lang w:eastAsia="zh-TW"/>
        </w:rPr>
        <w:t>16, 139-144.</w:t>
      </w:r>
    </w:p>
    <w:p w:rsidR="00B067B4" w:rsidRPr="00E44800" w:rsidRDefault="00B067B4" w:rsidP="00E44800">
      <w:pPr>
        <w:widowControl w:val="0"/>
        <w:ind w:left="720" w:hanging="720"/>
        <w:jc w:val="both"/>
        <w:rPr>
          <w:rFonts w:ascii="Garamond" w:hAnsi="Garamond"/>
          <w:color w:val="000000"/>
        </w:rPr>
      </w:pPr>
      <w:r w:rsidRPr="00E44800">
        <w:rPr>
          <w:rFonts w:ascii="Garamond" w:hAnsi="Garamond"/>
          <w:color w:val="000000"/>
        </w:rPr>
        <w:t>Ellul, A., Shin, H. S., Tonks, I. (2002). Towards deep and liquid markets: Lessons from open and close at the London Stock Exchange. LSE Financial Markets Group Working Paper.</w:t>
      </w:r>
    </w:p>
    <w:p w:rsidR="00385A1A" w:rsidRPr="00E44800" w:rsidRDefault="00385A1A" w:rsidP="00E44800">
      <w:pPr>
        <w:widowControl w:val="0"/>
        <w:ind w:left="720" w:hanging="720"/>
        <w:jc w:val="both"/>
        <w:rPr>
          <w:rFonts w:ascii="Garamond" w:hAnsi="Garamond"/>
          <w:lang w:val="fr-FR"/>
        </w:rPr>
      </w:pPr>
      <w:r w:rsidRPr="00E44800">
        <w:rPr>
          <w:rFonts w:ascii="Garamond" w:hAnsi="Garamond"/>
          <w:color w:val="000000"/>
        </w:rPr>
        <w:t xml:space="preserve">European Central Bank (2012). Virtual currency schemes. </w:t>
      </w:r>
      <w:r w:rsidRPr="00E44800">
        <w:rPr>
          <w:rFonts w:ascii="Garamond" w:hAnsi="Garamond"/>
          <w:color w:val="000000"/>
          <w:lang w:val="fr-FR"/>
        </w:rPr>
        <w:t xml:space="preserve">Preprint. </w:t>
      </w:r>
      <w:hyperlink r:id="rId9" w:history="1">
        <w:r w:rsidRPr="00E44800">
          <w:rPr>
            <w:rStyle w:val="Hyperlink"/>
            <w:rFonts w:ascii="Garamond" w:hAnsi="Garamond"/>
            <w:lang w:val="fr-FR"/>
          </w:rPr>
          <w:t>https://www.ecb.europa.eu/pub/pdf/other/virtualcurrencyschemes201210en.pdf</w:t>
        </w:r>
      </w:hyperlink>
      <w:r w:rsidRPr="00E44800">
        <w:rPr>
          <w:rFonts w:ascii="Garamond" w:hAnsi="Garamond"/>
          <w:lang w:val="fr-FR"/>
        </w:rPr>
        <w:t xml:space="preserve">. </w:t>
      </w:r>
    </w:p>
    <w:p w:rsidR="0060370F" w:rsidRDefault="0060370F" w:rsidP="00E44800">
      <w:pPr>
        <w:widowControl w:val="0"/>
        <w:ind w:left="720" w:hanging="720"/>
        <w:jc w:val="both"/>
        <w:rPr>
          <w:rFonts w:ascii="Garamond" w:hAnsi="Garamond"/>
        </w:rPr>
      </w:pPr>
      <w:r w:rsidRPr="00E44800">
        <w:rPr>
          <w:rFonts w:ascii="Garamond" w:hAnsi="Garamond"/>
        </w:rPr>
        <w:t xml:space="preserve">French, K., Schwert, G., Stambaugh, R. (1987). Expected stock returns and volatility. </w:t>
      </w:r>
      <w:r w:rsidRPr="00E44800">
        <w:rPr>
          <w:rFonts w:ascii="Garamond" w:hAnsi="Garamond"/>
          <w:i/>
        </w:rPr>
        <w:t>Journal of Financial Economics</w:t>
      </w:r>
      <w:r w:rsidRPr="00E44800">
        <w:rPr>
          <w:rFonts w:ascii="Garamond" w:hAnsi="Garamond"/>
        </w:rPr>
        <w:t>, 19, 3-29.</w:t>
      </w:r>
    </w:p>
    <w:p w:rsidR="009318C7" w:rsidRDefault="009318C7" w:rsidP="00E44800">
      <w:pPr>
        <w:widowControl w:val="0"/>
        <w:ind w:left="720" w:hanging="720"/>
        <w:jc w:val="both"/>
        <w:rPr>
          <w:rFonts w:ascii="Garamond" w:hAnsi="Garamond"/>
        </w:rPr>
      </w:pPr>
      <w:r>
        <w:rPr>
          <w:rFonts w:ascii="Garamond" w:hAnsi="Garamond"/>
        </w:rPr>
        <w:t xml:space="preserve">Gandal, N., Hamrick, J. T., Moore, T., Oberman, T. (2018). Price manipulation in the Bitcoin ecosystem. </w:t>
      </w:r>
      <w:r>
        <w:rPr>
          <w:rFonts w:ascii="Garamond" w:hAnsi="Garamond"/>
          <w:i/>
        </w:rPr>
        <w:t>Journal of Monetary Economics</w:t>
      </w:r>
      <w:r>
        <w:rPr>
          <w:rFonts w:ascii="Garamond" w:hAnsi="Garamond"/>
        </w:rPr>
        <w:t>, 95, 86-96.</w:t>
      </w:r>
    </w:p>
    <w:p w:rsidR="006B3ACD" w:rsidRPr="006B3ACD" w:rsidRDefault="006B3ACD" w:rsidP="00E44800">
      <w:pPr>
        <w:widowControl w:val="0"/>
        <w:ind w:left="720" w:hanging="720"/>
        <w:jc w:val="both"/>
        <w:rPr>
          <w:rFonts w:ascii="Garamond" w:hAnsi="Garamond"/>
        </w:rPr>
      </w:pPr>
      <w:r>
        <w:rPr>
          <w:rFonts w:ascii="Garamond" w:hAnsi="Garamond"/>
        </w:rPr>
        <w:t xml:space="preserve">Gao, L., Han, Y., Li, S. Z., Zhou, G. (2018). Market intraday momentum. </w:t>
      </w:r>
      <w:r>
        <w:rPr>
          <w:rFonts w:ascii="Garamond" w:hAnsi="Garamond"/>
          <w:i/>
        </w:rPr>
        <w:t>Journal of Financial Economics</w:t>
      </w:r>
      <w:r>
        <w:rPr>
          <w:rFonts w:ascii="Garamond" w:hAnsi="Garamond"/>
        </w:rPr>
        <w:t>, 129(2), 394-414.</w:t>
      </w:r>
    </w:p>
    <w:p w:rsidR="00B067B4" w:rsidRPr="00E44800" w:rsidRDefault="00B067B4" w:rsidP="00E44800">
      <w:pPr>
        <w:widowControl w:val="0"/>
        <w:ind w:left="720" w:hanging="720"/>
        <w:jc w:val="both"/>
        <w:rPr>
          <w:rFonts w:ascii="Garamond" w:hAnsi="Garamond"/>
          <w:color w:val="000000"/>
        </w:rPr>
      </w:pPr>
      <w:r w:rsidRPr="00E44800">
        <w:rPr>
          <w:rFonts w:ascii="Garamond" w:hAnsi="Garamond"/>
          <w:color w:val="000000"/>
        </w:rPr>
        <w:t xml:space="preserve">Giot, P. (2005). On the relationships between implied volatility indices and stock index returns. </w:t>
      </w:r>
      <w:r w:rsidRPr="00E44800">
        <w:rPr>
          <w:rFonts w:ascii="Garamond" w:hAnsi="Garamond"/>
          <w:i/>
          <w:color w:val="000000"/>
        </w:rPr>
        <w:t>Journal of Portfolio Management</w:t>
      </w:r>
      <w:r w:rsidRPr="00E44800">
        <w:rPr>
          <w:rFonts w:ascii="Garamond" w:hAnsi="Garamond"/>
          <w:color w:val="000000"/>
        </w:rPr>
        <w:t>, 26, 12-17.</w:t>
      </w:r>
    </w:p>
    <w:p w:rsidR="00B067B4" w:rsidRDefault="00B067B4" w:rsidP="00E44800">
      <w:pPr>
        <w:widowControl w:val="0"/>
        <w:ind w:left="720" w:hanging="720"/>
        <w:jc w:val="both"/>
        <w:rPr>
          <w:rFonts w:ascii="Garamond" w:hAnsi="Garamond"/>
          <w:color w:val="000000"/>
        </w:rPr>
      </w:pPr>
      <w:r w:rsidRPr="00E44800">
        <w:rPr>
          <w:rFonts w:ascii="Garamond" w:hAnsi="Garamond"/>
          <w:color w:val="000000"/>
        </w:rPr>
        <w:t xml:space="preserve">Glosten, L., Jaganathan, R., Runkle, D. (1993). On the relation between the expected value and the volatility of the nominal excess return on the stocks. </w:t>
      </w:r>
      <w:r w:rsidRPr="00E44800">
        <w:rPr>
          <w:rFonts w:ascii="Garamond" w:hAnsi="Garamond"/>
          <w:i/>
          <w:color w:val="000000"/>
        </w:rPr>
        <w:t>Journal of Finance</w:t>
      </w:r>
      <w:r w:rsidRPr="00E44800">
        <w:rPr>
          <w:rFonts w:ascii="Garamond" w:hAnsi="Garamond"/>
          <w:color w:val="000000"/>
        </w:rPr>
        <w:t>, 48, 1779-1801.</w:t>
      </w:r>
    </w:p>
    <w:p w:rsidR="00905DD6" w:rsidRDefault="00905DD6" w:rsidP="00E44800">
      <w:pPr>
        <w:widowControl w:val="0"/>
        <w:ind w:left="720" w:hanging="720"/>
        <w:jc w:val="both"/>
        <w:rPr>
          <w:rFonts w:ascii="Garamond" w:hAnsi="Garamond"/>
          <w:color w:val="000000"/>
        </w:rPr>
      </w:pPr>
      <w:r>
        <w:rPr>
          <w:rFonts w:ascii="Garamond" w:hAnsi="Garamond"/>
          <w:color w:val="000000"/>
        </w:rPr>
        <w:t xml:space="preserve">Granger, C. W. J. (1969). Investigating causal relations by econometric models and cross-spectral methods. </w:t>
      </w:r>
      <w:r>
        <w:rPr>
          <w:rFonts w:ascii="Garamond" w:hAnsi="Garamond"/>
          <w:i/>
          <w:color w:val="000000"/>
        </w:rPr>
        <w:t xml:space="preserve">Econometrica, </w:t>
      </w:r>
      <w:r>
        <w:rPr>
          <w:rFonts w:ascii="Garamond" w:hAnsi="Garamond"/>
          <w:color w:val="000000"/>
        </w:rPr>
        <w:t xml:space="preserve">37(3), 424-438. </w:t>
      </w:r>
    </w:p>
    <w:p w:rsidR="00E221DE" w:rsidRPr="00E221DE" w:rsidRDefault="00E221DE" w:rsidP="00E44800">
      <w:pPr>
        <w:widowControl w:val="0"/>
        <w:ind w:left="720" w:hanging="720"/>
        <w:jc w:val="both"/>
        <w:rPr>
          <w:rFonts w:ascii="Garamond" w:hAnsi="Garamond"/>
        </w:rPr>
      </w:pPr>
      <w:r>
        <w:rPr>
          <w:rFonts w:ascii="Garamond" w:hAnsi="Garamond"/>
          <w:color w:val="000000"/>
        </w:rPr>
        <w:t xml:space="preserve">Guesmi, K., Saadi, S., Abid, I., Ftiti, Z. (2018). Portfolio diversification with virtual currency: Evidence from bitcoin. </w:t>
      </w:r>
      <w:r>
        <w:rPr>
          <w:rFonts w:ascii="Garamond" w:hAnsi="Garamond"/>
          <w:i/>
          <w:color w:val="000000"/>
        </w:rPr>
        <w:t>International Review of Financial Analysis</w:t>
      </w:r>
      <w:r>
        <w:rPr>
          <w:rFonts w:ascii="Garamond" w:hAnsi="Garamond"/>
          <w:color w:val="000000"/>
        </w:rPr>
        <w:t>, forthcoming.</w:t>
      </w:r>
    </w:p>
    <w:p w:rsidR="00B067B4" w:rsidRPr="00E44800" w:rsidRDefault="00B067B4" w:rsidP="00E44800">
      <w:pPr>
        <w:widowControl w:val="0"/>
        <w:ind w:left="720" w:hanging="720"/>
        <w:jc w:val="both"/>
        <w:rPr>
          <w:rFonts w:ascii="Garamond" w:hAnsi="Garamond"/>
        </w:rPr>
      </w:pPr>
      <w:r w:rsidRPr="00E44800">
        <w:rPr>
          <w:rFonts w:ascii="Garamond" w:hAnsi="Garamond"/>
        </w:rPr>
        <w:t xml:space="preserve">Hamao, Y., Hasbrouck, J. (1993). Securities trading in the absence of dealers: Trades and quotes on the Tokyo Stock Exchange. </w:t>
      </w:r>
      <w:r w:rsidRPr="00E44800">
        <w:rPr>
          <w:rFonts w:ascii="Garamond" w:hAnsi="Garamond"/>
          <w:i/>
        </w:rPr>
        <w:t>Review of Financial Studies</w:t>
      </w:r>
      <w:r w:rsidRPr="00E44800">
        <w:rPr>
          <w:rFonts w:ascii="Garamond" w:hAnsi="Garamond"/>
        </w:rPr>
        <w:t>, 8, 849-878.</w:t>
      </w:r>
    </w:p>
    <w:p w:rsidR="00B659CB" w:rsidRDefault="00B659CB" w:rsidP="00E44800">
      <w:pPr>
        <w:widowControl w:val="0"/>
        <w:ind w:left="720" w:hanging="720"/>
        <w:jc w:val="both"/>
        <w:rPr>
          <w:rFonts w:ascii="Garamond" w:hAnsi="Garamond"/>
        </w:rPr>
      </w:pPr>
      <w:r w:rsidRPr="00E44800">
        <w:rPr>
          <w:rFonts w:ascii="Garamond" w:hAnsi="Garamond"/>
        </w:rPr>
        <w:t xml:space="preserve">Jennings, R., Starks, L., Fellingham, J. (1981). An equilibrium model of asset trading with sequential information arrival. </w:t>
      </w:r>
      <w:r w:rsidRPr="00E44800">
        <w:rPr>
          <w:rFonts w:ascii="Garamond" w:hAnsi="Garamond"/>
          <w:i/>
        </w:rPr>
        <w:t>Journal of Finance</w:t>
      </w:r>
      <w:r w:rsidRPr="00E44800">
        <w:rPr>
          <w:rFonts w:ascii="Garamond" w:hAnsi="Garamond"/>
        </w:rPr>
        <w:t>, 36, 143-161.</w:t>
      </w:r>
    </w:p>
    <w:p w:rsidR="008A6850" w:rsidRPr="008A6850" w:rsidRDefault="008A6850" w:rsidP="00E44800">
      <w:pPr>
        <w:widowControl w:val="0"/>
        <w:ind w:left="720" w:hanging="720"/>
        <w:jc w:val="both"/>
        <w:rPr>
          <w:rFonts w:ascii="Garamond" w:hAnsi="Garamond"/>
        </w:rPr>
      </w:pPr>
      <w:r>
        <w:rPr>
          <w:rFonts w:ascii="Garamond" w:hAnsi="Garamond"/>
        </w:rPr>
        <w:t xml:space="preserve">Khademalomoom, S., Narayan, P. K. (2018). Intraday effects of the currency market. </w:t>
      </w:r>
      <w:r>
        <w:rPr>
          <w:rFonts w:ascii="Garamond" w:hAnsi="Garamond"/>
          <w:i/>
        </w:rPr>
        <w:t>Journal of International Financial Markets, Institutions and Money</w:t>
      </w:r>
      <w:r>
        <w:rPr>
          <w:rFonts w:ascii="Garamond" w:hAnsi="Garamond"/>
        </w:rPr>
        <w:t>, forthcoming.</w:t>
      </w:r>
    </w:p>
    <w:p w:rsidR="00CE4CD4" w:rsidRPr="00E44800" w:rsidRDefault="00E52B7B" w:rsidP="00E44800">
      <w:pPr>
        <w:widowControl w:val="0"/>
        <w:ind w:left="720" w:hanging="720"/>
        <w:jc w:val="both"/>
        <w:rPr>
          <w:rFonts w:ascii="Garamond" w:hAnsi="Garamond"/>
          <w:i/>
          <w:lang w:val="it-IT"/>
        </w:rPr>
      </w:pPr>
      <w:r w:rsidRPr="00E44800">
        <w:rPr>
          <w:rFonts w:ascii="Garamond" w:hAnsi="Garamond"/>
        </w:rPr>
        <w:t xml:space="preserve">Khairuddin, I. E., Sas, C., Clinch, S., Davies, N. (2016). Exploring Motivations among </w:t>
      </w:r>
      <w:r w:rsidR="00E278E9" w:rsidRPr="00E44800">
        <w:rPr>
          <w:rFonts w:ascii="Garamond" w:hAnsi="Garamond"/>
        </w:rPr>
        <w:t>Bitcoin</w:t>
      </w:r>
      <w:r w:rsidRPr="00E44800">
        <w:rPr>
          <w:rFonts w:ascii="Garamond" w:hAnsi="Garamond"/>
        </w:rPr>
        <w:t xml:space="preserve"> Users. </w:t>
      </w:r>
      <w:r w:rsidRPr="00E44800">
        <w:rPr>
          <w:rFonts w:ascii="Garamond" w:hAnsi="Garamond"/>
          <w:i/>
          <w:lang w:val="it-IT"/>
        </w:rPr>
        <w:t>CHI 2016, San Jose, CA, USA.</w:t>
      </w:r>
    </w:p>
    <w:p w:rsidR="005609EA" w:rsidRPr="00E44800" w:rsidRDefault="005609EA" w:rsidP="00E44800">
      <w:pPr>
        <w:widowControl w:val="0"/>
        <w:ind w:left="720" w:hanging="720"/>
        <w:jc w:val="both"/>
        <w:rPr>
          <w:rFonts w:ascii="Garamond" w:hAnsi="Garamond"/>
        </w:rPr>
      </w:pPr>
      <w:r w:rsidRPr="00E44800">
        <w:rPr>
          <w:rFonts w:ascii="Garamond" w:hAnsi="Garamond"/>
          <w:lang w:val="it-IT"/>
        </w:rPr>
        <w:t xml:space="preserve">Kroll, J. A., Davey, I. C., Felton, E. W. (2013). </w:t>
      </w:r>
      <w:r w:rsidRPr="00E44800">
        <w:rPr>
          <w:rFonts w:ascii="Garamond" w:hAnsi="Garamond"/>
        </w:rPr>
        <w:t xml:space="preserve">The economics of </w:t>
      </w:r>
      <w:r w:rsidR="00E278E9" w:rsidRPr="00E44800">
        <w:rPr>
          <w:rFonts w:ascii="Garamond" w:hAnsi="Garamond"/>
        </w:rPr>
        <w:t>Bitcoin</w:t>
      </w:r>
      <w:r w:rsidRPr="00E44800">
        <w:rPr>
          <w:rFonts w:ascii="Garamond" w:hAnsi="Garamond"/>
        </w:rPr>
        <w:t xml:space="preserve"> mining, or </w:t>
      </w:r>
      <w:r w:rsidR="00E278E9" w:rsidRPr="00E44800">
        <w:rPr>
          <w:rFonts w:ascii="Garamond" w:hAnsi="Garamond"/>
        </w:rPr>
        <w:t>Bitcoin</w:t>
      </w:r>
      <w:r w:rsidRPr="00E44800">
        <w:rPr>
          <w:rFonts w:ascii="Garamond" w:hAnsi="Garamond"/>
        </w:rPr>
        <w:t xml:space="preserve"> in the presence of adversaries. In: Proceedings of WEIS, vol. 2013.</w:t>
      </w:r>
    </w:p>
    <w:p w:rsidR="00B17DA8" w:rsidRPr="00E44800" w:rsidRDefault="00B17DA8" w:rsidP="00E44800">
      <w:pPr>
        <w:widowControl w:val="0"/>
        <w:ind w:left="720" w:hanging="720"/>
        <w:jc w:val="both"/>
        <w:rPr>
          <w:rFonts w:ascii="Garamond" w:hAnsi="Garamond"/>
        </w:rPr>
      </w:pPr>
      <w:r w:rsidRPr="00E44800">
        <w:rPr>
          <w:rFonts w:ascii="Garamond" w:hAnsi="Garamond"/>
        </w:rPr>
        <w:t>Low, A. H. W., Muthuswamy, J. (1996). Information flows in high frequency exchange rates. In: Dunis, C (Ed.), Forecasting Financial Markets: Exchange Rates, Interest Rates and Asset Management. John Wiley, pp. 3-32.</w:t>
      </w:r>
    </w:p>
    <w:p w:rsidR="00B067B4" w:rsidRPr="00E44800" w:rsidRDefault="00B067B4" w:rsidP="00E44800">
      <w:pPr>
        <w:ind w:left="720" w:hanging="720"/>
        <w:jc w:val="both"/>
        <w:rPr>
          <w:rFonts w:ascii="Garamond" w:hAnsi="Garamond"/>
        </w:rPr>
      </w:pPr>
      <w:r w:rsidRPr="00E44800">
        <w:rPr>
          <w:rFonts w:ascii="Garamond" w:hAnsi="Garamond"/>
        </w:rPr>
        <w:t xml:space="preserve">Madhavan, A., Richardson, M., Roomans, M. (1997). Why do security prices change? A transactions level analysis of NYSE stocks. </w:t>
      </w:r>
      <w:r w:rsidRPr="00E44800">
        <w:rPr>
          <w:rFonts w:ascii="Garamond" w:hAnsi="Garamond"/>
          <w:i/>
        </w:rPr>
        <w:t>Review of Financial Studies</w:t>
      </w:r>
      <w:r w:rsidRPr="00E44800">
        <w:rPr>
          <w:rFonts w:ascii="Garamond" w:hAnsi="Garamond"/>
        </w:rPr>
        <w:t>, 10, 1035-1064.</w:t>
      </w:r>
    </w:p>
    <w:p w:rsidR="00B067B4" w:rsidRPr="00E44800" w:rsidRDefault="00B067B4" w:rsidP="00E44800">
      <w:pPr>
        <w:widowControl w:val="0"/>
        <w:ind w:left="720" w:hanging="720"/>
        <w:jc w:val="both"/>
        <w:rPr>
          <w:rFonts w:ascii="Garamond" w:hAnsi="Garamond"/>
        </w:rPr>
      </w:pPr>
      <w:r w:rsidRPr="00E44800">
        <w:rPr>
          <w:rFonts w:ascii="Garamond" w:hAnsi="Garamond"/>
        </w:rPr>
        <w:t xml:space="preserve">Masset, P., Wallmeier, M. (2010). A High-Frequency Investigation of the Interaction between Volatility and DAX Returns. </w:t>
      </w:r>
      <w:r w:rsidRPr="00E44800">
        <w:rPr>
          <w:rFonts w:ascii="Garamond" w:hAnsi="Garamond"/>
          <w:i/>
        </w:rPr>
        <w:t>European Financial Management</w:t>
      </w:r>
      <w:r w:rsidRPr="00E44800">
        <w:rPr>
          <w:rFonts w:ascii="Garamond" w:hAnsi="Garamond"/>
        </w:rPr>
        <w:t>, 16(3), 327-344.</w:t>
      </w:r>
    </w:p>
    <w:p w:rsidR="007A74B7" w:rsidRPr="00E44800" w:rsidRDefault="007A74B7" w:rsidP="00E44800">
      <w:pPr>
        <w:widowControl w:val="0"/>
        <w:ind w:left="720" w:hanging="720"/>
        <w:jc w:val="both"/>
        <w:rPr>
          <w:rFonts w:ascii="Garamond" w:hAnsi="Garamond"/>
        </w:rPr>
      </w:pPr>
      <w:r w:rsidRPr="00E44800">
        <w:rPr>
          <w:rFonts w:ascii="Garamond" w:hAnsi="Garamond"/>
        </w:rPr>
        <w:t xml:space="preserve">McGroarty, F., ap Gwilym, O., Thomas, S. (2009). The role of private information in return volatility, bid-ask spreads and price levels in the foreign exchange market. </w:t>
      </w:r>
      <w:r w:rsidRPr="00E44800">
        <w:rPr>
          <w:rFonts w:ascii="Garamond" w:hAnsi="Garamond"/>
          <w:i/>
        </w:rPr>
        <w:t>Journal of International Financial Markets, Institutions and Money</w:t>
      </w:r>
      <w:r w:rsidRPr="00E44800">
        <w:rPr>
          <w:rFonts w:ascii="Garamond" w:hAnsi="Garamond"/>
        </w:rPr>
        <w:t>, 19, 387-401.</w:t>
      </w:r>
    </w:p>
    <w:p w:rsidR="00B067B4" w:rsidRPr="00E44800" w:rsidRDefault="00B067B4" w:rsidP="00E44800">
      <w:pPr>
        <w:ind w:left="720" w:hanging="720"/>
        <w:jc w:val="both"/>
        <w:rPr>
          <w:rFonts w:ascii="Garamond" w:hAnsi="Garamond"/>
        </w:rPr>
      </w:pPr>
      <w:r w:rsidRPr="00E44800">
        <w:rPr>
          <w:rFonts w:ascii="Garamond" w:hAnsi="Garamond"/>
        </w:rPr>
        <w:t xml:space="preserve">McInish, T. H., Wood, R. A. (1990a). An analysis of transactions data for the Toronto Stock Exchange. </w:t>
      </w:r>
      <w:r w:rsidRPr="00E44800">
        <w:rPr>
          <w:rFonts w:ascii="Garamond" w:hAnsi="Garamond"/>
          <w:i/>
        </w:rPr>
        <w:t>Journal of Banking and Finance</w:t>
      </w:r>
      <w:r w:rsidRPr="00E44800">
        <w:rPr>
          <w:rFonts w:ascii="Garamond" w:hAnsi="Garamond"/>
        </w:rPr>
        <w:t>, 14, 441-458.</w:t>
      </w:r>
    </w:p>
    <w:p w:rsidR="00B067B4" w:rsidRPr="00E44800" w:rsidRDefault="00B067B4" w:rsidP="00E44800">
      <w:pPr>
        <w:ind w:left="720" w:hanging="720"/>
        <w:jc w:val="both"/>
        <w:rPr>
          <w:rFonts w:ascii="Garamond" w:hAnsi="Garamond"/>
        </w:rPr>
      </w:pPr>
      <w:r w:rsidRPr="00E44800">
        <w:rPr>
          <w:rFonts w:ascii="Garamond" w:hAnsi="Garamond"/>
        </w:rPr>
        <w:t xml:space="preserve">McInish, T. H., Wood, R. A. (1990b). A transaction data analysis of the variability of common stock returns during 1980-1984. </w:t>
      </w:r>
      <w:r w:rsidRPr="00E44800">
        <w:rPr>
          <w:rFonts w:ascii="Garamond" w:hAnsi="Garamond"/>
          <w:i/>
        </w:rPr>
        <w:t>Journal of Banking and Finance</w:t>
      </w:r>
      <w:r w:rsidRPr="00E44800">
        <w:rPr>
          <w:rFonts w:ascii="Garamond" w:hAnsi="Garamond"/>
        </w:rPr>
        <w:t>, 14, 99-112.</w:t>
      </w:r>
    </w:p>
    <w:p w:rsidR="009B2BDF" w:rsidRPr="00E44800" w:rsidRDefault="009B2BDF" w:rsidP="00E44800">
      <w:pPr>
        <w:ind w:left="720" w:hanging="720"/>
        <w:jc w:val="both"/>
        <w:rPr>
          <w:rFonts w:ascii="Garamond" w:hAnsi="Garamond"/>
        </w:rPr>
      </w:pPr>
      <w:r w:rsidRPr="00E44800">
        <w:rPr>
          <w:rFonts w:ascii="Garamond" w:hAnsi="Garamond"/>
        </w:rPr>
        <w:t xml:space="preserve">Millet, J. (2014). </w:t>
      </w:r>
      <w:r w:rsidR="002F33FA" w:rsidRPr="00E44800">
        <w:rPr>
          <w:rFonts w:ascii="Garamond" w:hAnsi="Garamond"/>
        </w:rPr>
        <w:t>Bitstamp</w:t>
      </w:r>
      <w:r w:rsidRPr="00E44800">
        <w:rPr>
          <w:rFonts w:ascii="Garamond" w:hAnsi="Garamond"/>
        </w:rPr>
        <w:t xml:space="preserve"> reports DDOS Attack Against Their Server. </w:t>
      </w:r>
      <w:r w:rsidRPr="00E44800">
        <w:rPr>
          <w:rFonts w:ascii="Garamond" w:hAnsi="Garamond"/>
          <w:i/>
        </w:rPr>
        <w:t>NewsBTC</w:t>
      </w:r>
      <w:r w:rsidRPr="00E44800">
        <w:rPr>
          <w:rFonts w:ascii="Garamond" w:hAnsi="Garamond"/>
        </w:rPr>
        <w:t xml:space="preserve">.  Available at </w:t>
      </w:r>
      <w:hyperlink r:id="rId10" w:history="1">
        <w:r w:rsidRPr="00E44800">
          <w:rPr>
            <w:rStyle w:val="Hyperlink"/>
            <w:rFonts w:ascii="Garamond" w:hAnsi="Garamond"/>
          </w:rPr>
          <w:t>http://www.newsbtc.com/2014/04/13/</w:t>
        </w:r>
        <w:r w:rsidR="002F33FA" w:rsidRPr="00E44800">
          <w:rPr>
            <w:rStyle w:val="Hyperlink"/>
            <w:rFonts w:ascii="Garamond" w:hAnsi="Garamond"/>
          </w:rPr>
          <w:t>Bitstamp</w:t>
        </w:r>
        <w:r w:rsidRPr="00E44800">
          <w:rPr>
            <w:rStyle w:val="Hyperlink"/>
            <w:rFonts w:ascii="Garamond" w:hAnsi="Garamond"/>
          </w:rPr>
          <w:t>-reports-ddos-attack-server</w:t>
        </w:r>
      </w:hyperlink>
      <w:r w:rsidRPr="00E44800">
        <w:rPr>
          <w:rFonts w:ascii="Garamond" w:hAnsi="Garamond"/>
        </w:rPr>
        <w:t xml:space="preserve">.  </w:t>
      </w:r>
    </w:p>
    <w:p w:rsidR="00A77F82" w:rsidRPr="00E44800" w:rsidRDefault="0060370F" w:rsidP="00E44800">
      <w:pPr>
        <w:ind w:left="720" w:hanging="720"/>
        <w:jc w:val="both"/>
        <w:outlineLvl w:val="0"/>
        <w:rPr>
          <w:rFonts w:ascii="Garamond" w:hAnsi="Garamond"/>
        </w:rPr>
      </w:pPr>
      <w:r w:rsidRPr="00E44800">
        <w:rPr>
          <w:rFonts w:ascii="Garamond" w:hAnsi="Garamond"/>
        </w:rPr>
        <w:t>Nakamoto, S. (2008). Bitcoin: A Peer-to-Peer Electronic Cash System</w:t>
      </w:r>
      <w:r w:rsidR="00EC5917" w:rsidRPr="00E44800">
        <w:rPr>
          <w:rFonts w:ascii="Garamond" w:hAnsi="Garamond"/>
        </w:rPr>
        <w:t>.</w:t>
      </w:r>
    </w:p>
    <w:p w:rsidR="00EC5917" w:rsidRPr="00E44800" w:rsidRDefault="00EC5917" w:rsidP="00E44800">
      <w:pPr>
        <w:widowControl w:val="0"/>
        <w:autoSpaceDE w:val="0"/>
        <w:autoSpaceDN w:val="0"/>
        <w:adjustRightInd w:val="0"/>
        <w:ind w:left="720" w:hanging="720"/>
        <w:jc w:val="both"/>
        <w:rPr>
          <w:rFonts w:ascii="Garamond" w:hAnsi="Garamond"/>
          <w:color w:val="000000" w:themeColor="text1"/>
        </w:rPr>
      </w:pPr>
      <w:r w:rsidRPr="00E44800">
        <w:rPr>
          <w:rFonts w:ascii="Garamond" w:hAnsi="Garamond"/>
          <w:color w:val="000000" w:themeColor="text1"/>
        </w:rPr>
        <w:t xml:space="preserve">Nadarajah, S., Chu, J. (2017), On the inefficiency of Bitcoin. </w:t>
      </w:r>
      <w:r w:rsidRPr="00E44800">
        <w:rPr>
          <w:rFonts w:ascii="Garamond" w:hAnsi="Garamond"/>
          <w:i/>
          <w:color w:val="000000" w:themeColor="text1"/>
        </w:rPr>
        <w:t>Economics Letters</w:t>
      </w:r>
      <w:r w:rsidRPr="00E44800">
        <w:rPr>
          <w:rFonts w:ascii="Garamond" w:hAnsi="Garamond"/>
          <w:color w:val="000000" w:themeColor="text1"/>
        </w:rPr>
        <w:t>, 150, 6-9.</w:t>
      </w:r>
    </w:p>
    <w:p w:rsidR="00385A1A" w:rsidRDefault="00385A1A" w:rsidP="00E44800">
      <w:pPr>
        <w:widowControl w:val="0"/>
        <w:ind w:left="720" w:hanging="720"/>
        <w:jc w:val="both"/>
        <w:rPr>
          <w:rFonts w:ascii="Garamond" w:hAnsi="Garamond"/>
        </w:rPr>
      </w:pPr>
      <w:r w:rsidRPr="00E44800">
        <w:rPr>
          <w:rFonts w:ascii="Garamond" w:hAnsi="Garamond"/>
        </w:rPr>
        <w:t xml:space="preserve">Plasaras, N. (2013). Regulating digital currencies: Bringing </w:t>
      </w:r>
      <w:r w:rsidR="00E278E9" w:rsidRPr="00E44800">
        <w:rPr>
          <w:rFonts w:ascii="Garamond" w:hAnsi="Garamond"/>
        </w:rPr>
        <w:t>Bitcoin</w:t>
      </w:r>
      <w:r w:rsidRPr="00E44800">
        <w:rPr>
          <w:rFonts w:ascii="Garamond" w:hAnsi="Garamond"/>
        </w:rPr>
        <w:t xml:space="preserve"> within the reach of the IMF. </w:t>
      </w:r>
      <w:r w:rsidRPr="00E44800">
        <w:rPr>
          <w:rFonts w:ascii="Garamond" w:hAnsi="Garamond"/>
          <w:i/>
        </w:rPr>
        <w:t>Chicago Journal of International Law</w:t>
      </w:r>
      <w:r w:rsidRPr="00E44800">
        <w:rPr>
          <w:rFonts w:ascii="Garamond" w:hAnsi="Garamond"/>
        </w:rPr>
        <w:t>, 14, 377-407.</w:t>
      </w:r>
    </w:p>
    <w:p w:rsidR="0038122F" w:rsidRPr="0038122F" w:rsidRDefault="0038122F" w:rsidP="00E44800">
      <w:pPr>
        <w:widowControl w:val="0"/>
        <w:ind w:left="720" w:hanging="720"/>
        <w:jc w:val="both"/>
        <w:rPr>
          <w:rFonts w:ascii="Garamond" w:hAnsi="Garamond"/>
        </w:rPr>
      </w:pPr>
      <w:r>
        <w:rPr>
          <w:rFonts w:ascii="Garamond" w:hAnsi="Garamond"/>
        </w:rPr>
        <w:t xml:space="preserve">Platanakis, E., Sutcliffe, C., Urquhart, A. (2018). Optimal vs naïve diversification in cryptocurrencies. </w:t>
      </w:r>
      <w:r>
        <w:rPr>
          <w:rFonts w:ascii="Garamond" w:hAnsi="Garamond"/>
          <w:i/>
        </w:rPr>
        <w:t>Economics Letters</w:t>
      </w:r>
      <w:r>
        <w:rPr>
          <w:rFonts w:ascii="Garamond" w:hAnsi="Garamond"/>
        </w:rPr>
        <w:t>, 171, 93-96.</w:t>
      </w:r>
    </w:p>
    <w:p w:rsidR="00DA2B09" w:rsidRPr="00E44800" w:rsidRDefault="00DA2B09" w:rsidP="00E44800">
      <w:pPr>
        <w:widowControl w:val="0"/>
        <w:ind w:left="720" w:hanging="720"/>
        <w:jc w:val="both"/>
        <w:rPr>
          <w:rFonts w:ascii="Garamond" w:hAnsi="Garamond"/>
        </w:rPr>
      </w:pPr>
      <w:r w:rsidRPr="00E44800">
        <w:rPr>
          <w:rFonts w:ascii="Garamond" w:hAnsi="Garamond"/>
        </w:rPr>
        <w:t xml:space="preserve">Ranaldo, A. (2009). Segmentation and time-of-the-day patterns in foreign exchange markets. </w:t>
      </w:r>
      <w:r w:rsidRPr="00E44800">
        <w:rPr>
          <w:rFonts w:ascii="Garamond" w:hAnsi="Garamond"/>
          <w:i/>
        </w:rPr>
        <w:t>Journal of Banking and Finance</w:t>
      </w:r>
      <w:r w:rsidRPr="00E44800">
        <w:rPr>
          <w:rFonts w:ascii="Garamond" w:hAnsi="Garamond"/>
        </w:rPr>
        <w:t>, 33, 2199-2206.</w:t>
      </w:r>
    </w:p>
    <w:p w:rsidR="0074224C" w:rsidRPr="00E44800" w:rsidRDefault="00553BF4" w:rsidP="00E44800">
      <w:pPr>
        <w:widowControl w:val="0"/>
        <w:ind w:left="720" w:hanging="720"/>
        <w:jc w:val="both"/>
        <w:rPr>
          <w:rFonts w:ascii="Garamond" w:hAnsi="Garamond"/>
          <w:i/>
        </w:rPr>
      </w:pPr>
      <w:r>
        <w:rPr>
          <w:rFonts w:ascii="Garamond" w:hAnsi="Garamond"/>
        </w:rPr>
        <w:t>Skatteverket v He</w:t>
      </w:r>
      <w:r w:rsidR="0074224C" w:rsidRPr="00E44800">
        <w:rPr>
          <w:rFonts w:ascii="Garamond" w:hAnsi="Garamond"/>
        </w:rPr>
        <w:t xml:space="preserve">dqvist (2015) Court of Justice of the European Union Press Release No 128/15. The exchange of traditional currencies of units of the ‘bitcoin’ virtual currency is exempt from VAT. </w:t>
      </w:r>
      <w:r w:rsidR="0074224C" w:rsidRPr="00E44800">
        <w:rPr>
          <w:rFonts w:ascii="Garamond" w:hAnsi="Garamond"/>
          <w:i/>
        </w:rPr>
        <w:t xml:space="preserve">Available at </w:t>
      </w:r>
      <w:hyperlink r:id="rId11" w:history="1">
        <w:r w:rsidR="0074224C" w:rsidRPr="00E44800">
          <w:rPr>
            <w:rStyle w:val="Hyperlink"/>
            <w:rFonts w:ascii="Garamond" w:hAnsi="Garamond"/>
            <w:i/>
          </w:rPr>
          <w:t>http://curia.europa.eu/jcms/upload/docs/application/pdf/2015-10/cp150128en.pdf</w:t>
        </w:r>
      </w:hyperlink>
      <w:r w:rsidR="0074224C" w:rsidRPr="00E44800">
        <w:rPr>
          <w:rFonts w:ascii="Garamond" w:hAnsi="Garamond"/>
          <w:i/>
        </w:rPr>
        <w:t xml:space="preserve">. </w:t>
      </w:r>
    </w:p>
    <w:p w:rsidR="00262D01" w:rsidRPr="00E44800" w:rsidRDefault="00262D01" w:rsidP="00E44800">
      <w:pPr>
        <w:widowControl w:val="0"/>
        <w:ind w:left="720" w:hanging="720"/>
        <w:jc w:val="both"/>
        <w:rPr>
          <w:rFonts w:ascii="Garamond" w:hAnsi="Garamond"/>
          <w:i/>
          <w:lang w:eastAsia="zh-TW"/>
        </w:rPr>
      </w:pPr>
      <w:r w:rsidRPr="00E44800">
        <w:rPr>
          <w:rFonts w:ascii="Garamond" w:hAnsi="Garamond"/>
          <w:lang w:eastAsia="zh-TW"/>
        </w:rPr>
        <w:t xml:space="preserve">Smith, J. B. (2015). An analysis of </w:t>
      </w:r>
      <w:r w:rsidR="00E278E9" w:rsidRPr="00E44800">
        <w:rPr>
          <w:rFonts w:ascii="Garamond" w:hAnsi="Garamond"/>
          <w:lang w:eastAsia="zh-TW"/>
        </w:rPr>
        <w:t>Bitcoin</w:t>
      </w:r>
      <w:r w:rsidRPr="00E44800">
        <w:rPr>
          <w:rFonts w:ascii="Garamond" w:hAnsi="Garamond"/>
          <w:lang w:eastAsia="zh-TW"/>
        </w:rPr>
        <w:t xml:space="preserve"> exchange rates. </w:t>
      </w:r>
      <w:r w:rsidRPr="00E44800">
        <w:rPr>
          <w:rFonts w:ascii="Garamond" w:hAnsi="Garamond"/>
          <w:i/>
          <w:lang w:eastAsia="zh-TW"/>
        </w:rPr>
        <w:t xml:space="preserve">Available at SSRN 2493797. </w:t>
      </w:r>
    </w:p>
    <w:p w:rsidR="00EC5917" w:rsidRPr="00E44800" w:rsidRDefault="00EC5917" w:rsidP="00E44800">
      <w:pPr>
        <w:ind w:left="720" w:hanging="720"/>
        <w:jc w:val="both"/>
        <w:rPr>
          <w:rFonts w:ascii="Garamond" w:hAnsi="Garamond"/>
        </w:rPr>
      </w:pPr>
      <w:r w:rsidRPr="00E44800">
        <w:rPr>
          <w:rFonts w:ascii="Garamond" w:hAnsi="Garamond"/>
        </w:rPr>
        <w:t xml:space="preserve">Tiwari, A. K., Jana, R. K., Das, D., Roubaud, D. (2018). Informational efficiency of Bitcoin – An extension. </w:t>
      </w:r>
      <w:r w:rsidRPr="00E44800">
        <w:rPr>
          <w:rFonts w:ascii="Garamond" w:hAnsi="Garamond"/>
          <w:i/>
        </w:rPr>
        <w:t>Economics Letters</w:t>
      </w:r>
      <w:r w:rsidRPr="00E44800">
        <w:rPr>
          <w:rFonts w:ascii="Garamond" w:hAnsi="Garamond"/>
        </w:rPr>
        <w:t>, 163, 106-109.</w:t>
      </w:r>
    </w:p>
    <w:p w:rsidR="00B77E40" w:rsidRPr="00E44800" w:rsidRDefault="00B77E40" w:rsidP="00E44800">
      <w:pPr>
        <w:widowControl w:val="0"/>
        <w:ind w:left="720" w:hanging="720"/>
        <w:jc w:val="both"/>
        <w:rPr>
          <w:rFonts w:ascii="Garamond" w:hAnsi="Garamond"/>
          <w:lang w:eastAsia="zh-TW"/>
        </w:rPr>
      </w:pPr>
      <w:r w:rsidRPr="00E44800">
        <w:rPr>
          <w:rFonts w:ascii="Garamond" w:hAnsi="Garamond"/>
          <w:lang w:eastAsia="zh-TW"/>
        </w:rPr>
        <w:t xml:space="preserve">Urquhart, A. (2016). The Inefficiency of Bitcoin. </w:t>
      </w:r>
      <w:r w:rsidRPr="00E44800">
        <w:rPr>
          <w:rFonts w:ascii="Garamond" w:hAnsi="Garamond"/>
          <w:i/>
          <w:lang w:eastAsia="zh-TW"/>
        </w:rPr>
        <w:t>Economics Letters</w:t>
      </w:r>
      <w:r w:rsidRPr="00E44800">
        <w:rPr>
          <w:rFonts w:ascii="Garamond" w:hAnsi="Garamond"/>
          <w:lang w:eastAsia="zh-TW"/>
        </w:rPr>
        <w:t>, 148, 80-82.</w:t>
      </w:r>
    </w:p>
    <w:p w:rsidR="00E44800" w:rsidRPr="00E44800" w:rsidRDefault="00E44800" w:rsidP="00E44800">
      <w:pPr>
        <w:ind w:left="720" w:hanging="720"/>
        <w:jc w:val="both"/>
        <w:rPr>
          <w:rFonts w:ascii="Garamond" w:hAnsi="Garamond"/>
        </w:rPr>
      </w:pPr>
      <w:r w:rsidRPr="00E44800">
        <w:rPr>
          <w:rFonts w:ascii="Garamond" w:hAnsi="Garamond"/>
        </w:rPr>
        <w:t xml:space="preserve">Urquhart, A. (2017). Price clustering in Bitcoin. </w:t>
      </w:r>
      <w:r w:rsidRPr="00E44800">
        <w:rPr>
          <w:rFonts w:ascii="Garamond" w:hAnsi="Garamond"/>
          <w:i/>
        </w:rPr>
        <w:t>Economics Letters</w:t>
      </w:r>
      <w:r w:rsidRPr="00E44800">
        <w:rPr>
          <w:rFonts w:ascii="Garamond" w:hAnsi="Garamond"/>
        </w:rPr>
        <w:t>, 159, 145-148.</w:t>
      </w:r>
    </w:p>
    <w:p w:rsidR="00E44800" w:rsidRPr="00E44800" w:rsidRDefault="00E44800" w:rsidP="00E44800">
      <w:pPr>
        <w:ind w:left="720" w:hanging="720"/>
        <w:jc w:val="both"/>
        <w:rPr>
          <w:rFonts w:ascii="Garamond" w:hAnsi="Garamond"/>
        </w:rPr>
      </w:pPr>
      <w:r w:rsidRPr="00E44800">
        <w:rPr>
          <w:rFonts w:ascii="Garamond" w:hAnsi="Garamond"/>
        </w:rPr>
        <w:t xml:space="preserve">Urquhart, A. (2018). What causes the attention of Bitcoin? </w:t>
      </w:r>
      <w:r w:rsidRPr="00E44800">
        <w:rPr>
          <w:rFonts w:ascii="Garamond" w:hAnsi="Garamond"/>
          <w:i/>
        </w:rPr>
        <w:t>Economics Letters</w:t>
      </w:r>
      <w:r w:rsidRPr="00E44800">
        <w:rPr>
          <w:rFonts w:ascii="Garamond" w:hAnsi="Garamond"/>
        </w:rPr>
        <w:t>, 166, 40-44.</w:t>
      </w:r>
    </w:p>
    <w:p w:rsidR="00385A1A" w:rsidRPr="00E44800" w:rsidRDefault="00385A1A" w:rsidP="00E44800">
      <w:pPr>
        <w:widowControl w:val="0"/>
        <w:ind w:left="720" w:hanging="720"/>
        <w:jc w:val="both"/>
        <w:rPr>
          <w:rFonts w:ascii="Garamond" w:hAnsi="Garamond"/>
        </w:rPr>
      </w:pPr>
      <w:r w:rsidRPr="00E44800">
        <w:rPr>
          <w:rFonts w:ascii="Garamond" w:hAnsi="Garamond"/>
        </w:rPr>
        <w:t>White,</w:t>
      </w:r>
      <w:r w:rsidR="009E5408">
        <w:rPr>
          <w:rFonts w:ascii="Garamond" w:hAnsi="Garamond"/>
        </w:rPr>
        <w:t xml:space="preserve"> </w:t>
      </w:r>
      <w:r w:rsidRPr="00E44800">
        <w:rPr>
          <w:rFonts w:ascii="Garamond" w:hAnsi="Garamond"/>
        </w:rPr>
        <w:t xml:space="preserve">L. (2014). The market for cryptocurrencies. Preprint. Found at </w:t>
      </w:r>
      <w:hyperlink r:id="rId12" w:history="1">
        <w:r w:rsidRPr="00E44800">
          <w:rPr>
            <w:rStyle w:val="Hyperlink"/>
            <w:rFonts w:ascii="Garamond" w:hAnsi="Garamond"/>
          </w:rPr>
          <w:t>http://object.cato.org/sites/cato.org/files/serials/files/cato-journal/2015/5/cj-v35n2-13.pdf</w:t>
        </w:r>
      </w:hyperlink>
      <w:r w:rsidRPr="00E44800">
        <w:rPr>
          <w:rFonts w:ascii="Garamond" w:hAnsi="Garamond"/>
        </w:rPr>
        <w:t xml:space="preserve">. </w:t>
      </w:r>
    </w:p>
    <w:p w:rsidR="00B067B4" w:rsidRPr="00E44800" w:rsidRDefault="00B067B4" w:rsidP="00E44800">
      <w:pPr>
        <w:ind w:left="720" w:hanging="720"/>
        <w:jc w:val="both"/>
        <w:rPr>
          <w:rFonts w:ascii="Garamond" w:hAnsi="Garamond"/>
        </w:rPr>
      </w:pPr>
      <w:r w:rsidRPr="00E44800">
        <w:rPr>
          <w:rFonts w:ascii="Garamond" w:hAnsi="Garamond"/>
        </w:rPr>
        <w:t xml:space="preserve">Wood, A. R., McInish, H. T., Ord, K. (1985). An investigation of transactions data for NYSE stocks. </w:t>
      </w:r>
      <w:r w:rsidRPr="00E44800">
        <w:rPr>
          <w:rFonts w:ascii="Garamond" w:hAnsi="Garamond"/>
          <w:i/>
        </w:rPr>
        <w:t>Journal of Finance</w:t>
      </w:r>
      <w:r w:rsidRPr="00E44800">
        <w:rPr>
          <w:rFonts w:ascii="Garamond" w:hAnsi="Garamond"/>
        </w:rPr>
        <w:t>, 40, 723-739.</w:t>
      </w:r>
    </w:p>
    <w:p w:rsidR="00131566" w:rsidRPr="00E44800" w:rsidRDefault="00131566" w:rsidP="00E44800">
      <w:pPr>
        <w:autoSpaceDE w:val="0"/>
        <w:autoSpaceDN w:val="0"/>
        <w:adjustRightInd w:val="0"/>
        <w:ind w:left="720" w:hanging="720"/>
        <w:jc w:val="both"/>
        <w:rPr>
          <w:rFonts w:ascii="Garamond" w:hAnsi="Garamond"/>
          <w:i/>
        </w:rPr>
      </w:pPr>
      <w:r w:rsidRPr="00E44800">
        <w:rPr>
          <w:rFonts w:ascii="Garamond" w:hAnsi="Garamond"/>
        </w:rPr>
        <w:t xml:space="preserve">Yermack, D. (2013). Is Bitcoin a Real Currency? An Economic Appraisal. </w:t>
      </w:r>
      <w:r w:rsidRPr="00E44800">
        <w:rPr>
          <w:rFonts w:ascii="Garamond" w:hAnsi="Garamond"/>
          <w:i/>
        </w:rPr>
        <w:t xml:space="preserve">NBER Working Paper 19747. Available at </w:t>
      </w:r>
      <w:hyperlink r:id="rId13" w:history="1">
        <w:r w:rsidRPr="00E44800">
          <w:rPr>
            <w:rStyle w:val="Hyperlink"/>
            <w:rFonts w:ascii="Garamond" w:hAnsi="Garamond"/>
            <w:i/>
          </w:rPr>
          <w:t>http://www.nber.org/papers/w19747</w:t>
        </w:r>
      </w:hyperlink>
      <w:r w:rsidRPr="00E44800">
        <w:rPr>
          <w:rFonts w:ascii="Garamond" w:hAnsi="Garamond"/>
          <w:i/>
        </w:rPr>
        <w:t xml:space="preserve">.  </w:t>
      </w:r>
    </w:p>
    <w:p w:rsidR="00B067B4" w:rsidRPr="00583BBF" w:rsidRDefault="00B067B4" w:rsidP="003647F4">
      <w:pPr>
        <w:jc w:val="both"/>
        <w:rPr>
          <w:rFonts w:ascii="Garamond" w:eastAsiaTheme="minorEastAsia" w:hAnsi="Garamond"/>
        </w:rPr>
      </w:pPr>
    </w:p>
    <w:p w:rsidR="00F709FE" w:rsidRDefault="00F53146" w:rsidP="003878E0">
      <w:pPr>
        <w:pageBreakBefore/>
        <w:jc w:val="both"/>
        <w:rPr>
          <w:b/>
        </w:rPr>
      </w:pPr>
      <w:r>
        <w:rPr>
          <w:b/>
          <w:noProof/>
          <w:lang w:eastAsia="zh-CN"/>
        </w:rPr>
        <mc:AlternateContent>
          <mc:Choice Requires="wps">
            <w:drawing>
              <wp:anchor distT="0" distB="0" distL="114300" distR="114300" simplePos="0" relativeHeight="251654144" behindDoc="0" locked="0" layoutInCell="1" allowOverlap="1" wp14:anchorId="57AAD818" wp14:editId="5B928876">
                <wp:simplePos x="0" y="0"/>
                <wp:positionH relativeFrom="column">
                  <wp:posOffset>-86264</wp:posOffset>
                </wp:positionH>
                <wp:positionV relativeFrom="paragraph">
                  <wp:posOffset>43132</wp:posOffset>
                </wp:positionV>
                <wp:extent cx="5521956" cy="244716"/>
                <wp:effectExtent l="0" t="0" r="317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56" cy="244716"/>
                        </a:xfrm>
                        <a:prstGeom prst="rect">
                          <a:avLst/>
                        </a:prstGeom>
                        <a:solidFill>
                          <a:srgbClr val="FFFFFF"/>
                        </a:solidFill>
                        <a:ln w="9525">
                          <a:noFill/>
                          <a:miter lim="800000"/>
                          <a:headEnd/>
                          <a:tailEnd/>
                        </a:ln>
                      </wps:spPr>
                      <wps:txbx>
                        <w:txbxContent>
                          <w:p w:rsidR="005D1C1A" w:rsidRPr="00010DDD" w:rsidRDefault="005D1C1A" w:rsidP="00010DDD">
                            <w:pPr>
                              <w:jc w:val="both"/>
                              <w:rPr>
                                <w:sz w:val="20"/>
                              </w:rPr>
                            </w:pPr>
                            <w:r w:rsidRPr="00010DDD">
                              <w:rPr>
                                <w:b/>
                                <w:sz w:val="20"/>
                              </w:rPr>
                              <w:t>Table 1:</w:t>
                            </w:r>
                            <w:r w:rsidRPr="00010DDD">
                              <w:rPr>
                                <w:sz w:val="20"/>
                              </w:rPr>
                              <w:t xml:space="preserve"> Descriptive statistics of </w:t>
                            </w:r>
                            <w:r>
                              <w:rPr>
                                <w:sz w:val="20"/>
                              </w:rPr>
                              <w:t xml:space="preserve">Bitstamp </w:t>
                            </w:r>
                            <w:r w:rsidRPr="00010DDD">
                              <w:rPr>
                                <w:sz w:val="20"/>
                              </w:rPr>
                              <w:t xml:space="preserve">at the </w:t>
                            </w:r>
                            <w:r>
                              <w:rPr>
                                <w:sz w:val="20"/>
                              </w:rPr>
                              <w:t>5-minute</w:t>
                            </w:r>
                            <w:r w:rsidRPr="00010DDD">
                              <w:rPr>
                                <w:sz w:val="20"/>
                              </w:rPr>
                              <w:t xml:space="preserve"> frequency.</w:t>
                            </w:r>
                          </w:p>
                        </w:txbxContent>
                      </wps:txbx>
                      <wps:bodyPr rot="0" vert="horz" wrap="square" lIns="91440" tIns="45720" rIns="91440" bIns="45720" anchor="t" anchorCtr="0">
                        <a:spAutoFit/>
                      </wps:bodyPr>
                    </wps:wsp>
                  </a:graphicData>
                </a:graphic>
              </wp:anchor>
            </w:drawing>
          </mc:Choice>
          <mc:Fallback>
            <w:pict>
              <v:shapetype w14:anchorId="57AAD818" id="_x0000_t202" coordsize="21600,21600" o:spt="202" path="m,l,21600r21600,l21600,xe">
                <v:stroke joinstyle="miter"/>
                <v:path gradientshapeok="t" o:connecttype="rect"/>
              </v:shapetype>
              <v:shape id="Text Box 2" o:spid="_x0000_s1026" type="#_x0000_t202" style="position:absolute;left:0;text-align:left;margin-left:-6.8pt;margin-top:3.4pt;width:434.8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WjHwIAABwEAAAOAAAAZHJzL2Uyb0RvYy54bWysU8Fu2zAMvQ/YPwi6L06MpG2MOEWXLsOA&#10;rhvQ7gNoWY6FyaImKbGzrx8lp2m23YbpIIgi+fT4SK1uh06zg3ReoSn5bDLlTBqBtTK7kn973r67&#10;4cwHMDVoNLLkR+n57frtm1VvC5lji7qWjhGI8UVvS96GYIss86KVHfgJWmnI2aDrIJDpdlntoCf0&#10;Tmf5dHqV9ehq61BI7+n2fnTydcJvGinCl6bxMjBdcuIW0u7SXsU9W6+g2DmwrRInGvAPLDpQhh49&#10;Q91DALZ36i+oTgmHHpswEdhl2DRKyFQDVTOb/lHNUwtWplpIHG/PMvn/ByseD18dUzX17oozAx31&#10;6FkOgb3HgeVRnt76gqKeLMWFga4pNJXq7QOK754Z3LRgdvLOOexbCTXRm8XM7CJ1xPERpOo/Y03P&#10;wD5gAhoa10XtSA1G6NSm47k1kYqgy8Uiny0XRFGQL5/Pr4lufAKKl2zrfPgosWPxUHJHrU/ocHjw&#10;YQx9CYmPedSq3iqtk+F21UY7dgAak21aJ/TfwrRhfcmXi3yRkA3GfIKGolOBxlirruQ307hiOhRR&#10;jQ+mTucASo9nIq3NSZ6oyKhNGKqBAqNmFdZHEsrhOK70vejQovvJWU+jWnL/Yw9OcqY/GRJ7OZvP&#10;42wnY764zslwl57q0gNGEFTJA2fjcRPSf0g62DtqylYlvV6ZnLjSCCbFT98lzvilnaJeP/X6FwAA&#10;AP//AwBQSwMEFAAGAAgAAAAhAKL5bc3dAAAACAEAAA8AAABkcnMvZG93bnJldi54bWxMjzFPwzAU&#10;hHck/oP1KrG1TiixqhCnQkgsqANtGRhfk0ecJrZD7LTh3/OYYDzd6e67YjvbXlxoDK13GtJVAoJc&#10;5evWNRrejy/LDYgQ0dXYe0cavinAtry9KTCv/dXt6XKIjeASF3LUYGIccilDZchiWPmBHHuffrQY&#10;WY6NrEe8crnt5X2SKGmxdbxgcKBnQ1V3mCyP7EI17f3XOd118sN0CrM386r13WJ+egQRaY5/YfjF&#10;Z3QomenkJ1cH0WtYpmvFUQ2KH7C/yRR/O2l4yNYgy0L+P1D+AAAA//8DAFBLAQItABQABgAIAAAA&#10;IQC2gziS/gAAAOEBAAATAAAAAAAAAAAAAAAAAAAAAABbQ29udGVudF9UeXBlc10ueG1sUEsBAi0A&#10;FAAGAAgAAAAhADj9If/WAAAAlAEAAAsAAAAAAAAAAAAAAAAALwEAAF9yZWxzLy5yZWxzUEsBAi0A&#10;FAAGAAgAAAAhAEA/daMfAgAAHAQAAA4AAAAAAAAAAAAAAAAALgIAAGRycy9lMm9Eb2MueG1sUEsB&#10;Ai0AFAAGAAgAAAAhAKL5bc3dAAAACAEAAA8AAAAAAAAAAAAAAAAAeQQAAGRycy9kb3ducmV2Lnht&#10;bFBLBQYAAAAABAAEAPMAAACDBQAAAAA=&#10;" stroked="f">
                <v:textbox style="mso-fit-shape-to-text:t">
                  <w:txbxContent>
                    <w:p w:rsidR="005D1C1A" w:rsidRPr="00010DDD" w:rsidRDefault="005D1C1A" w:rsidP="00010DDD">
                      <w:pPr>
                        <w:jc w:val="both"/>
                        <w:rPr>
                          <w:sz w:val="20"/>
                        </w:rPr>
                      </w:pPr>
                      <w:r w:rsidRPr="00010DDD">
                        <w:rPr>
                          <w:b/>
                          <w:sz w:val="20"/>
                        </w:rPr>
                        <w:t>Table 1:</w:t>
                      </w:r>
                      <w:r w:rsidRPr="00010DDD">
                        <w:rPr>
                          <w:sz w:val="20"/>
                        </w:rPr>
                        <w:t xml:space="preserve"> Descriptive statistics of </w:t>
                      </w:r>
                      <w:r>
                        <w:rPr>
                          <w:sz w:val="20"/>
                        </w:rPr>
                        <w:t xml:space="preserve">Bitstamp </w:t>
                      </w:r>
                      <w:r w:rsidRPr="00010DDD">
                        <w:rPr>
                          <w:sz w:val="20"/>
                        </w:rPr>
                        <w:t xml:space="preserve">at the </w:t>
                      </w:r>
                      <w:r>
                        <w:rPr>
                          <w:sz w:val="20"/>
                        </w:rPr>
                        <w:t>5-minute</w:t>
                      </w:r>
                      <w:r w:rsidRPr="00010DDD">
                        <w:rPr>
                          <w:sz w:val="20"/>
                        </w:rPr>
                        <w:t xml:space="preserve"> frequency.</w:t>
                      </w:r>
                    </w:p>
                  </w:txbxContent>
                </v:textbox>
              </v:shape>
            </w:pict>
          </mc:Fallback>
        </mc:AlternateContent>
      </w:r>
    </w:p>
    <w:p w:rsidR="00F709FE" w:rsidRDefault="006F54EF">
      <w:pPr>
        <w:rPr>
          <w:b/>
        </w:rPr>
      </w:pPr>
      <w:r>
        <w:rPr>
          <w:b/>
          <w:noProof/>
          <w:lang w:eastAsia="zh-CN"/>
        </w:rPr>
        <mc:AlternateContent>
          <mc:Choice Requires="wps">
            <w:drawing>
              <wp:anchor distT="0" distB="0" distL="114300" distR="114300" simplePos="0" relativeHeight="251655168" behindDoc="0" locked="0" layoutInCell="1" allowOverlap="1" wp14:anchorId="799C4A18" wp14:editId="4F7856BD">
                <wp:simplePos x="0" y="0"/>
                <wp:positionH relativeFrom="column">
                  <wp:posOffset>42333</wp:posOffset>
                </wp:positionH>
                <wp:positionV relativeFrom="paragraph">
                  <wp:posOffset>61807</wp:posOffset>
                </wp:positionV>
                <wp:extent cx="5492115" cy="535093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5350933"/>
                        </a:xfrm>
                        <a:prstGeom prst="rect">
                          <a:avLst/>
                        </a:prstGeom>
                        <a:solidFill>
                          <a:srgbClr val="FFFFFF"/>
                        </a:solidFill>
                        <a:ln w="9525">
                          <a:noFill/>
                          <a:miter lim="800000"/>
                          <a:headEnd/>
                          <a:tailEnd/>
                        </a:ln>
                      </wps:spPr>
                      <wps:txbx>
                        <w:txbxContent>
                          <w:tbl>
                            <w:tblPr>
                              <w:tblW w:w="7800" w:type="dxa"/>
                              <w:tblLook w:val="04A0" w:firstRow="1" w:lastRow="0" w:firstColumn="1" w:lastColumn="0" w:noHBand="0" w:noVBand="1"/>
                            </w:tblPr>
                            <w:tblGrid>
                              <w:gridCol w:w="1300"/>
                              <w:gridCol w:w="1300"/>
                              <w:gridCol w:w="1300"/>
                              <w:gridCol w:w="1300"/>
                              <w:gridCol w:w="1300"/>
                              <w:gridCol w:w="1300"/>
                            </w:tblGrid>
                            <w:tr w:rsidR="005D1C1A" w:rsidRPr="009D6E0F" w:rsidTr="009D6E0F">
                              <w:trPr>
                                <w:trHeight w:val="320"/>
                              </w:trPr>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2014</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2015</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2016</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0.0025</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0.3561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0.2927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0.1945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0.3629</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Returns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-9.2264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-20.7557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-6.3521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-15.5402</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9.5424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8.4865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7.3254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7.3727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0.2661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-4.6221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-0.7474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-1.2290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53.5943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357.5846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60.3714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60.3862</w:t>
                                  </w:r>
                                </w:p>
                              </w:tc>
                            </w:tr>
                            <w:tr w:rsidR="005D1C1A" w:rsidRPr="009D6E0F" w:rsidTr="009D6E0F">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48.6486</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54.5769</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19.4968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44.8111</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134.3532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130.8089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50.1527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71.4456</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7682.5500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7070.5600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2898.4900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5051.4200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13.3897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8.8461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11.5523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9.1525</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400.4985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183.9044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306.4745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313.5805</w:t>
                                  </w:r>
                                </w:p>
                              </w:tc>
                            </w:tr>
                            <w:tr w:rsidR="005D1C1A" w:rsidRPr="009D6E0F" w:rsidTr="009D6E0F">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0.1268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0.0857</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0.0378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0.1317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0.9194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1.6179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0.2916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1.0145</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219.2567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430.7988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53.6622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241.4973</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145.0034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202.3867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105.2641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141.0538</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32134.5442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50942.4313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16113.3048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31211.6666</w:t>
                                  </w:r>
                                </w:p>
                              </w:tc>
                            </w:tr>
                            <w:tr w:rsidR="005D1C1A" w:rsidRPr="009D6E0F" w:rsidTr="009D6E0F">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0.3503</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0.2303</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0.2860</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0.0231</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5.9741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15.7227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1.9310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0.3592</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Amihud</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1027.1115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4986.8202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69.5752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37.9397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83.4879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315.1459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16.3719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57.4792</w:t>
                                  </w:r>
                                </w:p>
                              </w:tc>
                            </w:tr>
                            <w:tr w:rsidR="005D1C1A" w:rsidRPr="009D6E0F" w:rsidTr="009D6E0F">
                              <w:trPr>
                                <w:trHeight w:val="320"/>
                              </w:trPr>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10746.3641</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99948.1599</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353.5168</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4327.8637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r>
                          </w:tbl>
                          <w:p w:rsidR="005D1C1A" w:rsidRDefault="005D1C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C4A18" id="_x0000_t202" coordsize="21600,21600" o:spt="202" path="m,l,21600r21600,l21600,xe">
                <v:stroke joinstyle="miter"/>
                <v:path gradientshapeok="t" o:connecttype="rect"/>
              </v:shapetype>
              <v:shape id="_x0000_s1027" type="#_x0000_t202" style="position:absolute;margin-left:3.35pt;margin-top:4.85pt;width:432.45pt;height:4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jJAIAACQEAAAOAAAAZHJzL2Uyb0RvYy54bWysU9uO2yAQfa/Uf0C8N7aTuN1YcVbbbFNV&#10;2l6k3X4AxjhGBYYCib39+h1wNpu2b1V5QAwzczhzZlhfj1qRo3BegqlpMcspEYZDK82+pt8fdm+u&#10;KPGBmZYpMKKmj8LT683rV+vBVmIOPahWOIIgxleDrWkfgq2yzPNeaOZnYIVBZwdOs4Cm22etYwOi&#10;a5XN8/xtNoBrrQMuvMfb28lJNwm/6wQPX7vOi0BUTZFbSLtLexP3bLNm1d4x20t+osH+gYVm0uCj&#10;Z6hbFhg5OPkXlJbcgYcuzDjoDLpOcpFqwGqK/I9q7ntmRaoFxfH2LJP/f7D8y/GbI7LF3i0pMUxj&#10;jx7EGMh7GMk8yjNYX2HUvcW4MOI1hqZSvb0D/sMTA9uemb24cQ6GXrAW6RUxM7tInXB8BGmGz9Di&#10;M+wQIAGNndNRO1SDIDq26fHcmkiF42W5XM2LoqSEo69clPlqsUhvsOo53TofPgrQJB5q6rD3CZ4d&#10;73yIdFj1HBJf86Bku5NKJcPtm61y5MhwTnZpndB/C1OGDDVdlfMyIRuI+WmEtAw4x0rqml7lccV0&#10;VkU5Ppg2nQOTajojE2VO+kRJJnHC2IxTJ2Ju1K6B9hEFczCNLX4zPPTgflEy4MjW1P88MCcoUZ8M&#10;ir4qlss448lYlu/maLhLT3PpYYYjVE0DJdNxG9K/iLQN3GBzOplke2FyooyjmNQ8fZs465d2inr5&#10;3JsnAAAA//8DAFBLAwQUAAYACAAAACEAILXoPNwAAAAHAQAADwAAAGRycy9kb3ducmV2LnhtbEyO&#10;zW6DQAyE75X6DitH6qVqlkQJJJQlaiu16jU/D2DAARTWi9hNIG9f99SexqMZjb9sN9lO3WjwrWMD&#10;i3kEirh0Vcu1gdPx82UDygfkCjvHZOBOHnb540OGaeVG3tPtEGolI+xTNNCE0Kda+7Ihi37uemLJ&#10;zm6wGMQOta4GHGXcdnoZRbG22LJ8aLCnj4bKy+FqDZy/x+f1diy+winZr+J3bJPC3Y15mk1vr6AC&#10;TeGvDL/4gg65MBXuypVXnYE4kaKBrYikm2QRgyrkWC9XoPNM/+fPfwAAAP//AwBQSwECLQAUAAYA&#10;CAAAACEAtoM4kv4AAADhAQAAEwAAAAAAAAAAAAAAAAAAAAAAW0NvbnRlbnRfVHlwZXNdLnhtbFBL&#10;AQItABQABgAIAAAAIQA4/SH/1gAAAJQBAAALAAAAAAAAAAAAAAAAAC8BAABfcmVscy8ucmVsc1BL&#10;AQItABQABgAIAAAAIQCszCijJAIAACQEAAAOAAAAAAAAAAAAAAAAAC4CAABkcnMvZTJvRG9jLnht&#10;bFBLAQItABQABgAIAAAAIQAgteg83AAAAAcBAAAPAAAAAAAAAAAAAAAAAH4EAABkcnMvZG93bnJl&#10;di54bWxQSwUGAAAAAAQABADzAAAAhwUAAAAA&#10;" stroked="f">
                <v:textbox>
                  <w:txbxContent>
                    <w:tbl>
                      <w:tblPr>
                        <w:tblW w:w="7800" w:type="dxa"/>
                        <w:tblLook w:val="04A0" w:firstRow="1" w:lastRow="0" w:firstColumn="1" w:lastColumn="0" w:noHBand="0" w:noVBand="1"/>
                      </w:tblPr>
                      <w:tblGrid>
                        <w:gridCol w:w="1300"/>
                        <w:gridCol w:w="1300"/>
                        <w:gridCol w:w="1300"/>
                        <w:gridCol w:w="1300"/>
                        <w:gridCol w:w="1300"/>
                        <w:gridCol w:w="1300"/>
                      </w:tblGrid>
                      <w:tr w:rsidR="005D1C1A" w:rsidRPr="009D6E0F" w:rsidTr="009D6E0F">
                        <w:trPr>
                          <w:trHeight w:val="320"/>
                        </w:trPr>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2014</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2015</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2016</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2017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0.0025</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0.3561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0.2927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0.1945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0.3629</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Returns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-9.2264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-20.7557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-6.3521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-15.5402</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9.5424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8.4865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7.3254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7.3727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0.2661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-4.6221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-0.7474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-1.2290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53.5943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357.5846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60.3714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60.3862</w:t>
                            </w:r>
                          </w:p>
                        </w:tc>
                      </w:tr>
                      <w:tr w:rsidR="005D1C1A" w:rsidRPr="009D6E0F" w:rsidTr="009D6E0F">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48.6486</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54.5769</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19.4968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44.8111</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134.3532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130.8089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50.1527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71.4456</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7682.5500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7070.5600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2898.4900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5051.4200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13.3897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8.8461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11.5523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9.1525</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400.4985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183.9044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306.4745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313.5805</w:t>
                            </w:r>
                          </w:p>
                        </w:tc>
                      </w:tr>
                      <w:tr w:rsidR="005D1C1A" w:rsidRPr="009D6E0F" w:rsidTr="009D6E0F">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0.1268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0.0857</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0.0378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0.1317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0.9194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1.6179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0.2916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1.0145</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219.2567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430.7988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53.6622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241.4973</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145.0034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202.3867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105.2641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141.0538</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32134.5442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50942.4313</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16113.3048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31211.6666</w:t>
                            </w:r>
                          </w:p>
                        </w:tc>
                      </w:tr>
                      <w:tr w:rsidR="005D1C1A" w:rsidRPr="009D6E0F" w:rsidTr="009D6E0F">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Mean</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0.3503</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0.2303</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0.2860</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0.0231</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Std.Dev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5.9741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15.7227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1.9310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0.3592</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Amihud</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Min</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0.0000</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Max</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1027.1115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4986.8202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69.5752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37.9397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Skewness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83.4879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315.1459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16.3719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57.4792</w:t>
                            </w:r>
                          </w:p>
                        </w:tc>
                      </w:tr>
                      <w:tr w:rsidR="005D1C1A" w:rsidRPr="009D6E0F" w:rsidTr="009D6E0F">
                        <w:trPr>
                          <w:trHeight w:val="320"/>
                        </w:trPr>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rPr>
                                <w:rFonts w:ascii="Garamond" w:hAnsi="Garamond" w:cs="Calibri"/>
                                <w:color w:val="000000"/>
                                <w:sz w:val="20"/>
                                <w:szCs w:val="20"/>
                              </w:rPr>
                            </w:pPr>
                            <w:r w:rsidRPr="009D6E0F">
                              <w:rPr>
                                <w:rFonts w:ascii="Garamond" w:hAnsi="Garamond" w:cs="Calibri"/>
                                <w:color w:val="000000"/>
                                <w:sz w:val="20"/>
                                <w:szCs w:val="20"/>
                              </w:rPr>
                              <w:t> </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Kurtosis</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10746.3641</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99948.1599</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353.5168</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r w:rsidRPr="009D6E0F">
                              <w:rPr>
                                <w:rFonts w:ascii="Garamond" w:hAnsi="Garamond" w:cs="Calibri"/>
                                <w:color w:val="000000"/>
                                <w:sz w:val="20"/>
                                <w:szCs w:val="20"/>
                              </w:rPr>
                              <w:t>4327.8637</w:t>
                            </w:r>
                          </w:p>
                        </w:tc>
                      </w:tr>
                      <w:tr w:rsidR="005D1C1A" w:rsidRPr="009D6E0F" w:rsidTr="009D6E0F">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rFonts w:ascii="Garamond" w:hAnsi="Garamond"/>
                                <w:sz w:val="20"/>
                                <w:szCs w:val="20"/>
                              </w:rPr>
                            </w:pPr>
                          </w:p>
                        </w:tc>
                      </w:tr>
                    </w:tbl>
                    <w:p w:rsidR="005D1C1A" w:rsidRDefault="005D1C1A"/>
                  </w:txbxContent>
                </v:textbox>
              </v:shape>
            </w:pict>
          </mc:Fallback>
        </mc:AlternateContent>
      </w:r>
      <w:r w:rsidR="00F709FE">
        <w:rPr>
          <w:b/>
        </w:rPr>
        <w:br w:type="page"/>
      </w:r>
    </w:p>
    <w:p w:rsidR="00DE049D" w:rsidRDefault="00DE049D">
      <w:pPr>
        <w:rPr>
          <w:b/>
        </w:rPr>
      </w:pPr>
    </w:p>
    <w:p w:rsidR="00CF25C7" w:rsidRDefault="00CF25C7">
      <w:pPr>
        <w:rPr>
          <w:b/>
        </w:rPr>
      </w:pPr>
    </w:p>
    <w:p w:rsidR="00DE049D" w:rsidRDefault="004D5A2A">
      <w:pPr>
        <w:rPr>
          <w:b/>
        </w:rPr>
      </w:pPr>
      <w:r>
        <w:rPr>
          <w:b/>
          <w:noProof/>
          <w:lang w:eastAsia="zh-CN"/>
        </w:rPr>
        <mc:AlternateContent>
          <mc:Choice Requires="wpg">
            <w:drawing>
              <wp:anchor distT="0" distB="0" distL="114300" distR="114300" simplePos="0" relativeHeight="251675648" behindDoc="0" locked="0" layoutInCell="1" allowOverlap="1" wp14:anchorId="3C8EEC30" wp14:editId="7381E373">
                <wp:simplePos x="0" y="0"/>
                <wp:positionH relativeFrom="column">
                  <wp:posOffset>50800</wp:posOffset>
                </wp:positionH>
                <wp:positionV relativeFrom="paragraph">
                  <wp:posOffset>123613</wp:posOffset>
                </wp:positionV>
                <wp:extent cx="5872761" cy="3911600"/>
                <wp:effectExtent l="0" t="0" r="0" b="0"/>
                <wp:wrapNone/>
                <wp:docPr id="27" name="Group 27"/>
                <wp:cNvGraphicFramePr/>
                <a:graphic xmlns:a="http://schemas.openxmlformats.org/drawingml/2006/main">
                  <a:graphicData uri="http://schemas.microsoft.com/office/word/2010/wordprocessingGroup">
                    <wpg:wgp>
                      <wpg:cNvGrpSpPr/>
                      <wpg:grpSpPr>
                        <a:xfrm>
                          <a:off x="0" y="0"/>
                          <a:ext cx="5872761" cy="3911600"/>
                          <a:chOff x="0" y="0"/>
                          <a:chExt cx="5872761" cy="3911600"/>
                        </a:xfrm>
                      </wpg:grpSpPr>
                      <wps:wsp>
                        <wps:cNvPr id="296" name="Text Box 2"/>
                        <wps:cNvSpPr txBox="1">
                          <a:spLocks noChangeArrowheads="1"/>
                        </wps:cNvSpPr>
                        <wps:spPr bwMode="auto">
                          <a:xfrm>
                            <a:off x="0" y="0"/>
                            <a:ext cx="5665621" cy="307414"/>
                          </a:xfrm>
                          <a:prstGeom prst="rect">
                            <a:avLst/>
                          </a:prstGeom>
                          <a:solidFill>
                            <a:srgbClr val="FFFFFF"/>
                          </a:solidFill>
                          <a:ln w="9525">
                            <a:noFill/>
                            <a:miter lim="800000"/>
                            <a:headEnd/>
                            <a:tailEnd/>
                          </a:ln>
                        </wps:spPr>
                        <wps:txbx>
                          <w:txbxContent>
                            <w:p w:rsidR="005D1C1A" w:rsidRPr="00E51C2A" w:rsidRDefault="005D1C1A" w:rsidP="00E51C2A">
                              <w:pPr>
                                <w:jc w:val="both"/>
                                <w:rPr>
                                  <w:sz w:val="20"/>
                                </w:rPr>
                              </w:pPr>
                              <w:r w:rsidRPr="00E51C2A">
                                <w:rPr>
                                  <w:b/>
                                  <w:sz w:val="20"/>
                                </w:rPr>
                                <w:t>Table 2</w:t>
                              </w:r>
                              <w:r>
                                <w:rPr>
                                  <w:sz w:val="20"/>
                                </w:rPr>
                                <w:t>: Correlation matrix between the</w:t>
                              </w:r>
                              <w:r w:rsidRPr="00E51C2A">
                                <w:rPr>
                                  <w:sz w:val="20"/>
                                </w:rPr>
                                <w:t xml:space="preserve"> variables of </w:t>
                              </w:r>
                              <w:r>
                                <w:rPr>
                                  <w:sz w:val="20"/>
                                </w:rPr>
                                <w:t>Bitstamp</w:t>
                              </w:r>
                              <w:r w:rsidRPr="00E51C2A">
                                <w:rPr>
                                  <w:sz w:val="20"/>
                                </w:rPr>
                                <w:t>.</w:t>
                              </w:r>
                              <w:r>
                                <w:rPr>
                                  <w:sz w:val="20"/>
                                </w:rPr>
                                <w:t xml:space="preserve"> </w:t>
                              </w:r>
                            </w:p>
                          </w:txbxContent>
                        </wps:txbx>
                        <wps:bodyPr rot="0" vert="horz" wrap="square" lIns="91440" tIns="45720" rIns="91440" bIns="45720" anchor="t" anchorCtr="0">
                          <a:noAutofit/>
                        </wps:bodyPr>
                      </wps:wsp>
                      <wps:wsp>
                        <wps:cNvPr id="295" name="Text Box 2"/>
                        <wps:cNvSpPr txBox="1">
                          <a:spLocks noChangeArrowheads="1"/>
                        </wps:cNvSpPr>
                        <wps:spPr bwMode="auto">
                          <a:xfrm>
                            <a:off x="112722" y="237968"/>
                            <a:ext cx="5760039" cy="3673632"/>
                          </a:xfrm>
                          <a:prstGeom prst="rect">
                            <a:avLst/>
                          </a:prstGeom>
                          <a:solidFill>
                            <a:srgbClr val="FFFFFF"/>
                          </a:solidFill>
                          <a:ln w="9525">
                            <a:noFill/>
                            <a:miter lim="800000"/>
                            <a:headEnd/>
                            <a:tailEnd/>
                          </a:ln>
                        </wps:spPr>
                        <wps:txbx>
                          <w:txbxContent>
                            <w:tbl>
                              <w:tblPr>
                                <w:tblW w:w="7800" w:type="dxa"/>
                                <w:tblLook w:val="04A0" w:firstRow="1" w:lastRow="0" w:firstColumn="1" w:lastColumn="0" w:noHBand="0" w:noVBand="1"/>
                              </w:tblPr>
                              <w:tblGrid>
                                <w:gridCol w:w="1300"/>
                                <w:gridCol w:w="1300"/>
                                <w:gridCol w:w="1300"/>
                                <w:gridCol w:w="1300"/>
                                <w:gridCol w:w="1300"/>
                                <w:gridCol w:w="1300"/>
                              </w:tblGrid>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r>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-0.02</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-0.02</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Calibri" w:hAnsi="Calibri"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-0.24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-0.24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r>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-0.07</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-0.06</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r>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Calibri" w:hAnsi="Calibri"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r>
                            </w:tbl>
                            <w:p w:rsidR="005D1C1A" w:rsidRDefault="005D1C1A"/>
                            <w:p w:rsidR="005D1C1A" w:rsidRDefault="005D1C1A"/>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C8EEC30" id="Group 27" o:spid="_x0000_s1028" style="position:absolute;margin-left:4pt;margin-top:9.75pt;width:462.4pt;height:308pt;z-index:251675648;mso-height-relative:margin" coordsize="58727,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WtQIAAPUHAAAOAAAAZHJzL2Uyb0RvYy54bWzUlV9v2yAQwN8n7Tsg3lfHTmInVp2q6z9N&#10;2p9K7T4AwdhGw8CAxO4+/Q7sOF37sKmTptUPmAPuuPtxB6dnfSvQnhnLlSxwfDLDiEmqSi7rAn+9&#10;v363wsg6IksilGQFfmAWn23evjntdM4S1ShRMoPAiLR5pwvcOKfzKLK0YS2xJ0ozCZOVMi1xIJo6&#10;Kg3pwHoromQ2S6NOmVIbRZm1MHo5TOJNsF9VjLovVWWZQ6LA4JsLrQnt1rfR5pTktSG64XR0g7zA&#10;i5ZwCZtOpi6JI2hn+DNTLadGWVW5E6raSFUVpyzEANHEsyfR3Bi10yGWOu9qPWECtE84vdgs/by/&#10;NYiXBU4yjCRp4YzCtghkgNPpOoc1N0bf6VszDtSD5OPtK9P6P0SC+oD1YcLKeocoDC5XWZKlMUYU&#10;5ubrOE5nI3jawOk806PN1W80o8PGkfdvcqfTkET2yMn+Hae7hmgW8FvP4MBpnR5A3fsI36seJQOq&#10;sMxzQq6HYaiHkBNWf1T0m0VSXTRE1uzcGNU1jJTgX+w1IYpJ1SO3ufVGtt0nVcJ5kJ1TwdAfwU7T&#10;ZZocYM+yRbwIWxyIkVwb626YapHvFNhAjQTrZP/ROu/NcYk/WasEL6+5EEEw9fZCGLQnUE/X4Rut&#10;/7JMSNQVeL1MlsGyVF4fTJO85Q7qXfC2wKuZ/7w6yT2NK1mGviNcDH3wRMgRjycysHH9th8y1ut6&#10;WltVPgAvo4byhusIOo0yPzDqoLQLbL/viGEYiQ8SmK/jxcLfBUFYLLMEBPN4Zvt4hkgKpgrsMBq6&#10;Fy7cH95tqc7hbCoesB09GV2GVBz8+wc5ufxPcjKOkyxJMIJKT+bZOl0N5ztdBRnU/nw9XgVpNk/n&#10;oXamgj7m3qtPz/lrSM9wgcLbEsp+fAf94/VYDul8fK03PwEAAP//AwBQSwMEFAAGAAgAAAAhANlO&#10;GODfAAAACAEAAA8AAABkcnMvZG93bnJldi54bWxMj8FqwkAQhu+FvsMyQm91E0NEYzYi0vYkhWqh&#10;9DZmxySY3Q3ZNYlv3+mpPc78wz/fl28n04qBet84qyCeRyDIlk43tlLweXp9XoHwAa3G1llScCcP&#10;2+LxIcdMu9F+0HAMleAS6zNUUIfQZVL6siaDfu46spxdXG8w8NhXUvc4crlp5SKKltJgY/lDjR3t&#10;ayqvx5tR8DbiuEvil+Fwvezv36f0/esQk1JPs2m3ARFoCn/H8IvP6FAw09ndrPaiVbBik8DrdQqC&#10;43WyYJOzgmWSpiCLXP4XKH4AAAD//wMAUEsBAi0AFAAGAAgAAAAhALaDOJL+AAAA4QEAABMAAAAA&#10;AAAAAAAAAAAAAAAAAFtDb250ZW50X1R5cGVzXS54bWxQSwECLQAUAAYACAAAACEAOP0h/9YAAACU&#10;AQAACwAAAAAAAAAAAAAAAAAvAQAAX3JlbHMvLnJlbHNQSwECLQAUAAYACAAAACEA0gfk1rUCAAD1&#10;BwAADgAAAAAAAAAAAAAAAAAuAgAAZHJzL2Uyb0RvYy54bWxQSwECLQAUAAYACAAAACEA2U4Y4N8A&#10;AAAIAQAADwAAAAAAAAAAAAAAAAAPBQAAZHJzL2Rvd25yZXYueG1sUEsFBgAAAAAEAAQA8wAAABsG&#10;AAAAAA==&#10;">
                <v:shape id="_x0000_s1029" type="#_x0000_t202" style="position:absolute;width:5665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5D1C1A" w:rsidRPr="00E51C2A" w:rsidRDefault="005D1C1A" w:rsidP="00E51C2A">
                        <w:pPr>
                          <w:jc w:val="both"/>
                          <w:rPr>
                            <w:sz w:val="20"/>
                          </w:rPr>
                        </w:pPr>
                        <w:r w:rsidRPr="00E51C2A">
                          <w:rPr>
                            <w:b/>
                            <w:sz w:val="20"/>
                          </w:rPr>
                          <w:t>Table 2</w:t>
                        </w:r>
                        <w:r>
                          <w:rPr>
                            <w:sz w:val="20"/>
                          </w:rPr>
                          <w:t>: Correlation matrix between the</w:t>
                        </w:r>
                        <w:r w:rsidRPr="00E51C2A">
                          <w:rPr>
                            <w:sz w:val="20"/>
                          </w:rPr>
                          <w:t xml:space="preserve"> variables of </w:t>
                        </w:r>
                        <w:r>
                          <w:rPr>
                            <w:sz w:val="20"/>
                          </w:rPr>
                          <w:t>Bitstamp</w:t>
                        </w:r>
                        <w:r w:rsidRPr="00E51C2A">
                          <w:rPr>
                            <w:sz w:val="20"/>
                          </w:rPr>
                          <w:t>.</w:t>
                        </w:r>
                        <w:r>
                          <w:rPr>
                            <w:sz w:val="20"/>
                          </w:rPr>
                          <w:t xml:space="preserve"> </w:t>
                        </w:r>
                      </w:p>
                    </w:txbxContent>
                  </v:textbox>
                </v:shape>
                <v:shape id="_x0000_s1030" type="#_x0000_t202" style="position:absolute;left:1127;top:2379;width:57600;height:3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tbl>
                        <w:tblPr>
                          <w:tblW w:w="7800" w:type="dxa"/>
                          <w:tblLook w:val="04A0" w:firstRow="1" w:lastRow="0" w:firstColumn="1" w:lastColumn="0" w:noHBand="0" w:noVBand="1"/>
                        </w:tblPr>
                        <w:tblGrid>
                          <w:gridCol w:w="1300"/>
                          <w:gridCol w:w="1300"/>
                          <w:gridCol w:w="1300"/>
                          <w:gridCol w:w="1300"/>
                          <w:gridCol w:w="1300"/>
                          <w:gridCol w:w="1300"/>
                        </w:tblGrid>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r>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-0.08</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-0.08</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-0.02</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0.41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-0.02</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Calibri" w:hAnsi="Calibri"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-0.24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2015</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-0.24</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0.32</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r>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-0.07</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-0.06</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0.01</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r>
                        <w:tr w:rsidR="005D1C1A" w:rsidRPr="009D6E0F" w:rsidTr="00504221">
                          <w:trPr>
                            <w:trHeight w:val="320"/>
                          </w:trPr>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Returns</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 </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single" w:sz="4" w:space="0" w:color="auto"/>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Volume</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-0.11</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2017</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RV</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-0.16</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0.39</w:t>
                              </w: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0.00</w:t>
                              </w:r>
                            </w:p>
                          </w:tc>
                        </w:tr>
                        <w:tr w:rsidR="005D1C1A" w:rsidRPr="009D6E0F" w:rsidTr="00504221">
                          <w:trPr>
                            <w:trHeight w:val="320"/>
                          </w:trPr>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Amihud</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-0.04</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Garamond" w:hAnsi="Garamond" w:cs="Calibri"/>
                                  <w:color w:val="000000"/>
                                </w:rPr>
                              </w:pPr>
                              <w:r w:rsidRPr="009D6E0F">
                                <w:rPr>
                                  <w:rFonts w:ascii="Garamond" w:hAnsi="Garamond" w:cs="Calibri"/>
                                  <w:color w:val="000000"/>
                                </w:rPr>
                                <w:t>0</w:t>
                              </w:r>
                            </w:p>
                          </w:tc>
                          <w:tc>
                            <w:tcPr>
                              <w:tcW w:w="1300" w:type="dxa"/>
                              <w:tcBorders>
                                <w:top w:val="nil"/>
                                <w:left w:val="nil"/>
                                <w:bottom w:val="single" w:sz="4" w:space="0" w:color="auto"/>
                                <w:right w:val="nil"/>
                              </w:tcBorders>
                              <w:shd w:val="clear" w:color="auto" w:fill="auto"/>
                              <w:noWrap/>
                              <w:vAlign w:val="bottom"/>
                              <w:hideMark/>
                            </w:tcPr>
                            <w:p w:rsidR="005D1C1A" w:rsidRPr="009D6E0F" w:rsidRDefault="005D1C1A" w:rsidP="009D6E0F">
                              <w:pPr>
                                <w:jc w:val="center"/>
                                <w:rPr>
                                  <w:rFonts w:ascii="Calibri" w:hAnsi="Calibri" w:cs="Calibri"/>
                                  <w:color w:val="000000"/>
                                </w:rPr>
                              </w:pPr>
                              <w:r w:rsidRPr="009D6E0F">
                                <w:rPr>
                                  <w:rFonts w:ascii="Calibri" w:hAnsi="Calibri" w:cs="Calibri"/>
                                  <w:color w:val="000000"/>
                                </w:rPr>
                                <w:t> </w:t>
                              </w:r>
                            </w:p>
                          </w:tc>
                        </w:tr>
                        <w:tr w:rsidR="005D1C1A" w:rsidRPr="009D6E0F" w:rsidTr="00504221">
                          <w:trPr>
                            <w:trHeight w:val="320"/>
                          </w:trPr>
                          <w:tc>
                            <w:tcPr>
                              <w:tcW w:w="1300" w:type="dxa"/>
                              <w:tcBorders>
                                <w:top w:val="nil"/>
                                <w:left w:val="nil"/>
                                <w:bottom w:val="nil"/>
                                <w:right w:val="nil"/>
                              </w:tcBorders>
                              <w:shd w:val="clear" w:color="auto" w:fill="auto"/>
                              <w:noWrap/>
                              <w:vAlign w:val="bottom"/>
                              <w:hideMark/>
                            </w:tcPr>
                            <w:p w:rsidR="005D1C1A" w:rsidRPr="009D6E0F" w:rsidRDefault="005D1C1A" w:rsidP="009D6E0F">
                              <w:pPr>
                                <w:jc w:val="center"/>
                                <w:rPr>
                                  <w:rFonts w:ascii="Calibri" w:hAnsi="Calibri" w:cs="Calibri"/>
                                  <w:color w:val="00000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c>
                            <w:tcPr>
                              <w:tcW w:w="1300" w:type="dxa"/>
                              <w:tcBorders>
                                <w:top w:val="nil"/>
                                <w:left w:val="nil"/>
                                <w:bottom w:val="nil"/>
                                <w:right w:val="nil"/>
                              </w:tcBorders>
                              <w:shd w:val="clear" w:color="auto" w:fill="auto"/>
                              <w:noWrap/>
                              <w:vAlign w:val="bottom"/>
                              <w:hideMark/>
                            </w:tcPr>
                            <w:p w:rsidR="005D1C1A" w:rsidRPr="009D6E0F" w:rsidRDefault="005D1C1A" w:rsidP="009D6E0F">
                              <w:pPr>
                                <w:rPr>
                                  <w:sz w:val="20"/>
                                  <w:szCs w:val="20"/>
                                </w:rPr>
                              </w:pPr>
                            </w:p>
                          </w:tc>
                        </w:tr>
                      </w:tbl>
                      <w:p w:rsidR="005D1C1A" w:rsidRDefault="005D1C1A"/>
                      <w:p w:rsidR="005D1C1A" w:rsidRDefault="005D1C1A"/>
                    </w:txbxContent>
                  </v:textbox>
                </v:shape>
              </v:group>
            </w:pict>
          </mc:Fallback>
        </mc:AlternateContent>
      </w:r>
    </w:p>
    <w:p w:rsidR="00DE049D" w:rsidRDefault="00DE049D">
      <w:pPr>
        <w:rPr>
          <w:b/>
        </w:rPr>
      </w:pPr>
    </w:p>
    <w:p w:rsidR="001766FC" w:rsidRDefault="001766FC">
      <w:pPr>
        <w:rPr>
          <w:b/>
        </w:rPr>
      </w:pPr>
    </w:p>
    <w:p w:rsidR="001766FC" w:rsidRDefault="001766FC">
      <w:pPr>
        <w:rPr>
          <w:b/>
        </w:rPr>
      </w:pPr>
      <w:r>
        <w:rPr>
          <w:b/>
        </w:rPr>
        <w:br w:type="page"/>
      </w:r>
    </w:p>
    <w:p w:rsidR="00DE049D" w:rsidRDefault="00DE049D">
      <w:pPr>
        <w:rPr>
          <w:b/>
        </w:rPr>
      </w:pPr>
      <w:r>
        <w:rPr>
          <w:b/>
          <w:noProof/>
          <w:lang w:eastAsia="zh-CN"/>
        </w:rPr>
        <mc:AlternateContent>
          <mc:Choice Requires="wpg">
            <w:drawing>
              <wp:anchor distT="0" distB="0" distL="114300" distR="114300" simplePos="0" relativeHeight="251730944" behindDoc="0" locked="0" layoutInCell="1" allowOverlap="1" wp14:anchorId="2C29232E" wp14:editId="77F87541">
                <wp:simplePos x="0" y="0"/>
                <wp:positionH relativeFrom="column">
                  <wp:posOffset>148590</wp:posOffset>
                </wp:positionH>
                <wp:positionV relativeFrom="paragraph">
                  <wp:posOffset>0</wp:posOffset>
                </wp:positionV>
                <wp:extent cx="5738495" cy="5655945"/>
                <wp:effectExtent l="0" t="0" r="0" b="0"/>
                <wp:wrapSquare wrapText="bothSides"/>
                <wp:docPr id="292" name="Group 292"/>
                <wp:cNvGraphicFramePr/>
                <a:graphic xmlns:a="http://schemas.openxmlformats.org/drawingml/2006/main">
                  <a:graphicData uri="http://schemas.microsoft.com/office/word/2010/wordprocessingGroup">
                    <wpg:wgp>
                      <wpg:cNvGrpSpPr/>
                      <wpg:grpSpPr>
                        <a:xfrm>
                          <a:off x="0" y="0"/>
                          <a:ext cx="5738495" cy="5655945"/>
                          <a:chOff x="0" y="0"/>
                          <a:chExt cx="5739074" cy="5658767"/>
                        </a:xfrm>
                      </wpg:grpSpPr>
                      <wps:wsp>
                        <wps:cNvPr id="290" name="Text Box 290"/>
                        <wps:cNvSpPr txBox="1"/>
                        <wps:spPr>
                          <a:xfrm>
                            <a:off x="141549" y="350861"/>
                            <a:ext cx="5597525" cy="53079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W w:w="8380" w:type="dxa"/>
                                <w:tblLook w:val="04A0" w:firstRow="1" w:lastRow="0" w:firstColumn="1" w:lastColumn="0" w:noHBand="0" w:noVBand="1"/>
                              </w:tblPr>
                              <w:tblGrid>
                                <w:gridCol w:w="1300"/>
                                <w:gridCol w:w="2480"/>
                                <w:gridCol w:w="1300"/>
                                <w:gridCol w:w="2000"/>
                                <w:gridCol w:w="1300"/>
                              </w:tblGrid>
                              <w:tr w:rsidR="005D1C1A" w:rsidRPr="00841983" w:rsidTr="002F3E0B">
                                <w:trPr>
                                  <w:trHeight w:val="320"/>
                                </w:trPr>
                                <w:tc>
                                  <w:tcPr>
                                    <w:tcW w:w="13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F-stat</w:t>
                                    </w:r>
                                  </w:p>
                                </w:tc>
                                <w:tc>
                                  <w:tcPr>
                                    <w:tcW w:w="20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F-stat</w:t>
                                    </w:r>
                                  </w:p>
                                </w:tc>
                              </w:tr>
                              <w:tr w:rsidR="005D1C1A" w:rsidRPr="00841983" w:rsidTr="002F3E0B">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17.39***</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17.52***</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143.87***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61.85***</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2014</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13.17***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364.9***</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1.11</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1.35</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0.62</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0.28</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3.56***</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0.74</w:t>
                                    </w:r>
                                  </w:p>
                                </w:tc>
                              </w:tr>
                              <w:tr w:rsidR="005D1C1A" w:rsidRPr="00841983" w:rsidTr="00841983">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37.98***</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32.97***</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32.67***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326.01***</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2015</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57.37***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19.45***</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1.09</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0.67</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0.03</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0.01</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0.92</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0.53</w:t>
                                    </w:r>
                                  </w:p>
                                </w:tc>
                              </w:tr>
                              <w:tr w:rsidR="005D1C1A" w:rsidRPr="00841983" w:rsidTr="00841983">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35.45***</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12.86***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93.44***</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79.46***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2016</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82.24***</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143.74***</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1.86**</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1.73*</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0.53</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0.79</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8.67***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3.34***</w:t>
                                    </w:r>
                                  </w:p>
                                </w:tc>
                              </w:tr>
                              <w:tr w:rsidR="005D1C1A" w:rsidRPr="00841983" w:rsidTr="00841983">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121.48***</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27.54***</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35.29***</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46.76***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2017</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746.02***</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112.94***</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0.15</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0.06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0.25</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0.22</w:t>
                                    </w:r>
                                  </w:p>
                                </w:tc>
                              </w:tr>
                              <w:tr w:rsidR="005D1C1A" w:rsidRPr="00841983" w:rsidTr="00841983">
                                <w:trPr>
                                  <w:trHeight w:val="320"/>
                                </w:trPr>
                                <w:tc>
                                  <w:tcPr>
                                    <w:tcW w:w="13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3.85***</w:t>
                                    </w:r>
                                  </w:p>
                                </w:tc>
                                <w:tc>
                                  <w:tcPr>
                                    <w:tcW w:w="20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1.09</w:t>
                                    </w:r>
                                  </w:p>
                                </w:tc>
                              </w:tr>
                            </w:tbl>
                            <w:p w:rsidR="005D1C1A" w:rsidRDefault="005D1C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0" y="0"/>
                            <a:ext cx="5715000" cy="460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1C1A" w:rsidRPr="007C459E" w:rsidRDefault="005D1C1A" w:rsidP="007C459E">
                              <w:pPr>
                                <w:jc w:val="both"/>
                                <w:rPr>
                                  <w:sz w:val="20"/>
                                  <w:szCs w:val="20"/>
                                </w:rPr>
                              </w:pPr>
                              <w:r w:rsidRPr="007C459E">
                                <w:rPr>
                                  <w:b/>
                                  <w:sz w:val="20"/>
                                  <w:szCs w:val="20"/>
                                </w:rPr>
                                <w:t>Table 3:</w:t>
                              </w:r>
                              <w:r w:rsidRPr="007C459E">
                                <w:rPr>
                                  <w:sz w:val="20"/>
                                  <w:szCs w:val="20"/>
                                </w:rPr>
                                <w:t xml:space="preserve"> The Granger causality results along with the F-statistics. ***, **, * indicate significance at 1%, 5% and 10% respectively.</w:t>
                              </w:r>
                            </w:p>
                            <w:p w:rsidR="005D1C1A" w:rsidRDefault="005D1C1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9232E" id="Group 292" o:spid="_x0000_s1031" style="position:absolute;margin-left:11.7pt;margin-top:0;width:451.85pt;height:445.35pt;z-index:251730944;mso-width-relative:margin;mso-height-relative:margin" coordsize="57390,5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AwLQMAAHcKAAAOAAAAZHJzL2Uyb0RvYy54bWzsVltP2zAUfp+0/2D5fSRtk7aJSFHHBpqE&#10;AA0mnl3HaaIltme7Tbpfv2Pn0lLYA0zsiZfUPvfznUt9etZUJdoypQvBEzw68TFinIq04OsE/7i/&#10;+DTHSBvCU1IKzhK8YxqfLT5+OK1lzMYiF2XKFAIjXMe1THBujIw9T9OcVUSfCMk4MDOhKmLgqtZe&#10;qkgN1qvSG/v+1KuFSqUSlGkN1C8tEy+c/Sxj1NxkmWYGlQmG2Iz7Kvdd2a+3OCXxWhGZF7QLg7wi&#10;iooUHJwOpr4QQ9BGFU9MVQVVQovMnFBReSLLCspcDpDNyD/K5lKJjXS5rON6LQeYANojnF5tll5v&#10;bxUq0gSPozFGnFRQJOcXWQLAU8t1DFKXSt7JW9UR1u3NZtxkqrK/kAtqHLC7AVjWGESBGM4m8yAK&#10;MaLAC6dhGAVhCz3NoT5P9Gj+da8Z+bNg0JzPpjOr6fWOPRvfEE4toY30Hin9b0jd5UQyVwBtMRiQ&#10;gk5qkbq3GX4WDYDlesn6B0GLFDINMGAmWhB1rIH4DGCjYBQGEUaAzCT051MnT+IBujCaheMeuok/&#10;i/zpIwBILJU2l0xUyB4SrKDpXS+S7ZU2LVa9iPXPxUVRlkAncckfEQDUlsLc5HTaNqc2dncyu5K1&#10;ut9ZBp3jam4JbmbZeanQlsC0EUoZNy4bZxekrVQGvl+i2Mlb1TaqlygPGs6z4GZQrgoulEPpKOz0&#10;Zx9y1spDrx3kbY+mWTVuZIK+tCuR7qDiSrT7RUt6UUAtrog2t0TBQoGGgSVpbuCTlaJOsOhOGOVC&#10;/X6ObuWhe4GLUQ0LKsH614YohlH5jUNfR6MgsBvNXYJwNoaLOuSsDjl8U50LqMoI1rGk7mjlTdkf&#10;MyWqB9ilS+sVWIRT8J1g0x/PTbs2YRdTtlw6IdhhkpgrfiepNW1Rtp123zwQJbt2NNDJ16KfJBIf&#10;dWUrazW5WG6MyArXshbnFtUOf5hqu4v+y3gDSE/GexjjF443QPncPhyFvg8suw+DqT+ZuXU4LLX3&#10;mWbV3zbJG8+0K8S++95n+q1n2v2Bw+vG/ad3LzH7fDq8ux2wfy8u/gAAAP//AwBQSwMEFAAGAAgA&#10;AAAhAAFzEnXfAAAABwEAAA8AAABkcnMvZG93bnJldi54bWxMj0FrwkAUhO+F/oflFXqrm8S2apqN&#10;iLQ9iVAtiLdn9pkEs7shuybx3/f11B6HGWa+yZajaURPna+dVRBPIhBkC6drWyr43n88zUH4gFZj&#10;4ywpuJGHZX5/l2Gq3WC/qN+FUnCJ9SkqqEJoUyl9UZFBP3EtWfbOrjMYWHal1B0OXG4amUTRqzRY&#10;W16osKV1RcVldzUKPgccVtP4vd9czuvbcf+yPWxiUurxYVy9gQg0hr8w/OIzOuTMdHJXq71oFCTT&#10;Z04q4EPsLpJZDOKkYL6IZiDzTP7nz38AAAD//wMAUEsBAi0AFAAGAAgAAAAhALaDOJL+AAAA4QEA&#10;ABMAAAAAAAAAAAAAAAAAAAAAAFtDb250ZW50X1R5cGVzXS54bWxQSwECLQAUAAYACAAAACEAOP0h&#10;/9YAAACUAQAACwAAAAAAAAAAAAAAAAAvAQAAX3JlbHMvLnJlbHNQSwECLQAUAAYACAAAACEAVM2A&#10;MC0DAAB3CgAADgAAAAAAAAAAAAAAAAAuAgAAZHJzL2Uyb0RvYy54bWxQSwECLQAUAAYACAAAACEA&#10;AXMSdd8AAAAHAQAADwAAAAAAAAAAAAAAAACHBQAAZHJzL2Rvd25yZXYueG1sUEsFBgAAAAAEAAQA&#10;8wAAAJMGAAAAAA==&#10;">
                <v:shape id="Text Box 290" o:spid="_x0000_s1032" type="#_x0000_t202" style="position:absolute;left:1415;top:3508;width:55975;height:5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tbl>
                        <w:tblPr>
                          <w:tblW w:w="8380" w:type="dxa"/>
                          <w:tblLook w:val="04A0" w:firstRow="1" w:lastRow="0" w:firstColumn="1" w:lastColumn="0" w:noHBand="0" w:noVBand="1"/>
                        </w:tblPr>
                        <w:tblGrid>
                          <w:gridCol w:w="1300"/>
                          <w:gridCol w:w="2480"/>
                          <w:gridCol w:w="1300"/>
                          <w:gridCol w:w="2000"/>
                          <w:gridCol w:w="1300"/>
                        </w:tblGrid>
                        <w:tr w:rsidR="005D1C1A" w:rsidRPr="00841983" w:rsidTr="002F3E0B">
                          <w:trPr>
                            <w:trHeight w:val="320"/>
                          </w:trPr>
                          <w:tc>
                            <w:tcPr>
                              <w:tcW w:w="13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F-stat</w:t>
                              </w:r>
                            </w:p>
                          </w:tc>
                          <w:tc>
                            <w:tcPr>
                              <w:tcW w:w="20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1300" w:type="dxa"/>
                              <w:tcBorders>
                                <w:top w:val="single" w:sz="4" w:space="0" w:color="auto"/>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F-stat</w:t>
                              </w:r>
                            </w:p>
                          </w:tc>
                        </w:tr>
                        <w:tr w:rsidR="005D1C1A" w:rsidRPr="00841983" w:rsidTr="002F3E0B">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17.39***</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17.52***</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143.87***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61.85***</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2014</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13.17***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364.9***</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1.11</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1.35</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0.62</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0.28</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3.56***</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0.74</w:t>
                              </w:r>
                            </w:p>
                          </w:tc>
                        </w:tr>
                        <w:tr w:rsidR="005D1C1A" w:rsidRPr="00841983" w:rsidTr="00841983">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37.98***</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32.97***</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32.67***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326.01***</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2015</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57.37***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19.45***</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1.09</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0.67</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0.03</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0.01</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0.92</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0.53</w:t>
                              </w:r>
                            </w:p>
                          </w:tc>
                        </w:tr>
                        <w:tr w:rsidR="005D1C1A" w:rsidRPr="00841983" w:rsidTr="00841983">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35.45***</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12.86***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93.44***</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79.46***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2016</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82.24***</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143.74***</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1.86**</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1.73*</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0.53</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0.79</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8.67***</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3.34***</w:t>
                              </w:r>
                            </w:p>
                          </w:tc>
                        </w:tr>
                        <w:tr w:rsidR="005D1C1A" w:rsidRPr="00841983" w:rsidTr="00841983">
                          <w:trPr>
                            <w:trHeight w:val="320"/>
                          </w:trPr>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Volume</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121.48***</w:t>
                              </w:r>
                            </w:p>
                          </w:tc>
                          <w:tc>
                            <w:tcPr>
                              <w:tcW w:w="20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Returns</w:t>
                              </w:r>
                            </w:p>
                          </w:tc>
                          <w:tc>
                            <w:tcPr>
                              <w:tcW w:w="1300" w:type="dxa"/>
                              <w:tcBorders>
                                <w:top w:val="single" w:sz="4" w:space="0" w:color="auto"/>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27.54***</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35.29***</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46.76***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2017</w:t>
                              </w: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Volume</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746.02***</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112.94***</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Returns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0.15</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Returns</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0.06</w:t>
                              </w:r>
                            </w:p>
                          </w:tc>
                        </w:tr>
                        <w:tr w:rsidR="005D1C1A" w:rsidRPr="00841983" w:rsidTr="00841983">
                          <w:trPr>
                            <w:trHeight w:val="320"/>
                          </w:trPr>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p>
                          </w:tc>
                          <w:tc>
                            <w:tcPr>
                              <w:tcW w:w="248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RV - Liquidity</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0.25</w:t>
                              </w:r>
                            </w:p>
                          </w:tc>
                          <w:tc>
                            <w:tcPr>
                              <w:tcW w:w="20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RV</w:t>
                              </w:r>
                            </w:p>
                          </w:tc>
                          <w:tc>
                            <w:tcPr>
                              <w:tcW w:w="1300" w:type="dxa"/>
                              <w:tcBorders>
                                <w:top w:val="nil"/>
                                <w:left w:val="nil"/>
                                <w:bottom w:val="nil"/>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0.22</w:t>
                              </w:r>
                            </w:p>
                          </w:tc>
                        </w:tr>
                        <w:tr w:rsidR="005D1C1A" w:rsidRPr="00841983" w:rsidTr="00841983">
                          <w:trPr>
                            <w:trHeight w:val="320"/>
                          </w:trPr>
                          <w:tc>
                            <w:tcPr>
                              <w:tcW w:w="13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 </w:t>
                              </w:r>
                            </w:p>
                          </w:tc>
                          <w:tc>
                            <w:tcPr>
                              <w:tcW w:w="248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Volume - Liquidity</w:t>
                              </w:r>
                            </w:p>
                          </w:tc>
                          <w:tc>
                            <w:tcPr>
                              <w:tcW w:w="13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3.85***</w:t>
                              </w:r>
                            </w:p>
                          </w:tc>
                          <w:tc>
                            <w:tcPr>
                              <w:tcW w:w="20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Liquidity - Volume</w:t>
                              </w:r>
                            </w:p>
                          </w:tc>
                          <w:tc>
                            <w:tcPr>
                              <w:tcW w:w="1300" w:type="dxa"/>
                              <w:tcBorders>
                                <w:top w:val="nil"/>
                                <w:left w:val="nil"/>
                                <w:bottom w:val="single" w:sz="4" w:space="0" w:color="auto"/>
                                <w:right w:val="nil"/>
                              </w:tcBorders>
                              <w:shd w:val="clear" w:color="auto" w:fill="auto"/>
                              <w:noWrap/>
                              <w:vAlign w:val="bottom"/>
                              <w:hideMark/>
                            </w:tcPr>
                            <w:p w:rsidR="005D1C1A" w:rsidRPr="00841983" w:rsidRDefault="005D1C1A" w:rsidP="00841983">
                              <w:pPr>
                                <w:jc w:val="center"/>
                                <w:rPr>
                                  <w:rFonts w:ascii="Garamond" w:hAnsi="Garamond" w:cs="Calibri"/>
                                  <w:color w:val="000000"/>
                                </w:rPr>
                              </w:pPr>
                              <w:r w:rsidRPr="00841983">
                                <w:rPr>
                                  <w:rFonts w:ascii="Garamond" w:hAnsi="Garamond" w:cs="Calibri"/>
                                  <w:color w:val="000000"/>
                                </w:rPr>
                                <w:t>1.09</w:t>
                              </w:r>
                            </w:p>
                          </w:tc>
                        </w:tr>
                      </w:tbl>
                      <w:p w:rsidR="005D1C1A" w:rsidRDefault="005D1C1A"/>
                    </w:txbxContent>
                  </v:textbox>
                </v:shape>
                <v:shape id="Text Box 291" o:spid="_x0000_s1033" type="#_x0000_t202" style="position:absolute;width:57150;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5D1C1A" w:rsidRPr="007C459E" w:rsidRDefault="005D1C1A" w:rsidP="007C459E">
                        <w:pPr>
                          <w:jc w:val="both"/>
                          <w:rPr>
                            <w:sz w:val="20"/>
                            <w:szCs w:val="20"/>
                          </w:rPr>
                        </w:pPr>
                        <w:r w:rsidRPr="007C459E">
                          <w:rPr>
                            <w:b/>
                            <w:sz w:val="20"/>
                            <w:szCs w:val="20"/>
                          </w:rPr>
                          <w:t>Table 3:</w:t>
                        </w:r>
                        <w:r w:rsidRPr="007C459E">
                          <w:rPr>
                            <w:sz w:val="20"/>
                            <w:szCs w:val="20"/>
                          </w:rPr>
                          <w:t xml:space="preserve"> The Granger causality results along with the F-statistics. ***, **, * indicate significance at 1%, 5% and 10% respectively.</w:t>
                        </w:r>
                      </w:p>
                      <w:p w:rsidR="005D1C1A" w:rsidRDefault="005D1C1A">
                        <w:r>
                          <w:t xml:space="preserve">  </w:t>
                        </w:r>
                      </w:p>
                    </w:txbxContent>
                  </v:textbox>
                </v:shape>
                <w10:wrap type="square"/>
              </v:group>
            </w:pict>
          </mc:Fallback>
        </mc:AlternateContent>
      </w:r>
      <w:r>
        <w:rPr>
          <w:b/>
        </w:rPr>
        <w:br w:type="page"/>
      </w:r>
    </w:p>
    <w:p w:rsidR="00DE049D" w:rsidRDefault="00DE049D">
      <w:pPr>
        <w:rPr>
          <w:b/>
        </w:rPr>
      </w:pPr>
    </w:p>
    <w:p w:rsidR="00EF6C1B" w:rsidRDefault="002F3E0B">
      <w:pPr>
        <w:rPr>
          <w:b/>
        </w:rPr>
      </w:pPr>
      <w:r>
        <w:rPr>
          <w:b/>
          <w:noProof/>
          <w:lang w:eastAsia="zh-CN"/>
        </w:rPr>
        <mc:AlternateContent>
          <mc:Choice Requires="wpg">
            <w:drawing>
              <wp:anchor distT="0" distB="0" distL="114300" distR="114300" simplePos="0" relativeHeight="251713536" behindDoc="0" locked="0" layoutInCell="1" allowOverlap="1" wp14:anchorId="6092B39E" wp14:editId="11B74629">
                <wp:simplePos x="0" y="0"/>
                <wp:positionH relativeFrom="column">
                  <wp:posOffset>25052</wp:posOffset>
                </wp:positionH>
                <wp:positionV relativeFrom="paragraph">
                  <wp:posOffset>12630</wp:posOffset>
                </wp:positionV>
                <wp:extent cx="5795645" cy="2546253"/>
                <wp:effectExtent l="0" t="0" r="8255" b="6985"/>
                <wp:wrapNone/>
                <wp:docPr id="25" name="Group 25"/>
                <wp:cNvGraphicFramePr/>
                <a:graphic xmlns:a="http://schemas.openxmlformats.org/drawingml/2006/main">
                  <a:graphicData uri="http://schemas.microsoft.com/office/word/2010/wordprocessingGroup">
                    <wpg:wgp>
                      <wpg:cNvGrpSpPr/>
                      <wpg:grpSpPr>
                        <a:xfrm>
                          <a:off x="0" y="0"/>
                          <a:ext cx="5795645" cy="2546253"/>
                          <a:chOff x="0" y="0"/>
                          <a:chExt cx="5795645" cy="2546253"/>
                        </a:xfrm>
                      </wpg:grpSpPr>
                      <wps:wsp>
                        <wps:cNvPr id="365" name="Text Box 365"/>
                        <wps:cNvSpPr txBox="1"/>
                        <wps:spPr>
                          <a:xfrm>
                            <a:off x="0" y="0"/>
                            <a:ext cx="5795645"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3F6FE0" w:rsidRDefault="005D1C1A" w:rsidP="003F6FE0">
                              <w:pPr>
                                <w:jc w:val="both"/>
                                <w:rPr>
                                  <w:sz w:val="18"/>
                                </w:rPr>
                              </w:pPr>
                              <w:r w:rsidRPr="003F6FE0">
                                <w:rPr>
                                  <w:b/>
                                  <w:sz w:val="18"/>
                                </w:rPr>
                                <w:t>Figure 1</w:t>
                              </w:r>
                              <w:r w:rsidRPr="003F6FE0">
                                <w:rPr>
                                  <w:sz w:val="18"/>
                                </w:rPr>
                                <w:t>: Time-series graph of the price of Bitstamp on the primary y-axis and volume on the secondary y-axis.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2"/>
                        <wps:cNvSpPr txBox="1">
                          <a:spLocks noChangeArrowheads="1"/>
                        </wps:cNvSpPr>
                        <wps:spPr bwMode="auto">
                          <a:xfrm>
                            <a:off x="50104" y="275573"/>
                            <a:ext cx="5740842" cy="2270680"/>
                          </a:xfrm>
                          <a:prstGeom prst="rect">
                            <a:avLst/>
                          </a:prstGeom>
                          <a:solidFill>
                            <a:srgbClr val="FFFFFF"/>
                          </a:solidFill>
                          <a:ln w="9525">
                            <a:solidFill>
                              <a:srgbClr val="000000"/>
                            </a:solidFill>
                            <a:miter lim="800000"/>
                            <a:headEnd/>
                            <a:tailEnd/>
                          </a:ln>
                        </wps:spPr>
                        <wps:txbx>
                          <w:txbxContent>
                            <w:p w:rsidR="005D1C1A" w:rsidRDefault="005D1C1A" w:rsidP="0007548B">
                              <w:r>
                                <w:rPr>
                                  <w:noProof/>
                                  <w:lang w:eastAsia="zh-CN"/>
                                </w:rPr>
                                <w:drawing>
                                  <wp:inline distT="0" distB="0" distL="0" distR="0" wp14:anchorId="4BB35C05" wp14:editId="5720DACA">
                                    <wp:extent cx="5548630" cy="208324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1.png"/>
                                            <pic:cNvPicPr/>
                                          </pic:nvPicPr>
                                          <pic:blipFill>
                                            <a:blip r:embed="rId14"/>
                                            <a:stretch>
                                              <a:fillRect/>
                                            </a:stretch>
                                          </pic:blipFill>
                                          <pic:spPr>
                                            <a:xfrm>
                                              <a:off x="0" y="0"/>
                                              <a:ext cx="5593551" cy="2100108"/>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6092B39E" id="Group 25" o:spid="_x0000_s1034" style="position:absolute;margin-left:1.95pt;margin-top:1pt;width:456.35pt;height:200.5pt;z-index:251713536" coordsize="57956,2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l7kwMAAI4JAAAOAAAAZHJzL2Uyb0RvYy54bWy8Vltv2zYUfh+w/0DwfbGjWLYjRCnctAkG&#10;ZG2wZOgzTVGWUIpkSTpy9ut3ztHFjptha1rUDzIv5/rxnI+8eLNrNHtUPtTW5Pz0ZMqZMtIWtdnk&#10;/K+H69+WnIUoTCG0NSrnTyrwN5e//nLRukwltrK6UJ6BEROy1uW8itFlk0mQlWpEOLFOGdgsrW9E&#10;hKnfTAovWrDe6Ekync4nrfWF81aqEGD1XbfJL8l+WSoZP5ZlUJHpnENskb6evmv8Ti4vRLbxwlW1&#10;7MMQr4iiEbUBp6OpdyIKtvX1V6aaWnobbBlPpG0mtixrqSgHyOZ0epTNjbdbR7lssnbjRpgA2iOc&#10;Xm1Wfni886wucp6knBnRwBmRWwZzAKd1mwxkbry7d3e+X9h0M8x3V/oG/yETtiNYn0ZY1S4yCYvp&#10;4jydz8C8hL0knc2T9KwDXlZwOl/pyer9f2hOBscTjG8Mp3VQRGGPU/g+nO4r4RTBHxCDHqez+QjU&#10;A2b41u4YrhE2JIhIsbiDDeiIYT3A4usAWyyT8zmaGbMWmfMh3ijbMBzk3EOdU/mJx9sQO9FBBJ0G&#10;q+viutaaJthb6kp79iigK3SkGMH4MyltWJvz+Vk6JcPGonpnWRs0o6i7eneIfJchjeKTViijzZ+q&#10;hOqiynjBt5BSmdE/SaNUCa6+RbGX30f1LcpdHqBBnq2Jo3JTG+spe6KjPWTF5wGyspOHsznIG4dx&#10;t95RW9HJ4craFk9QF952HBScvK7h8G5FiHfCA+kAPQGRxo/wKbUF8G0/4qyy/u+X1lEeahx2OWuB&#10;xHIevmyFV5zp3w1U//npbIasR5NZukhg4g931oc7ZttcWaiIU6BsJ2mI8lEPw9Lb5hPw7Qq9wpYw&#10;EnznPA7Dq9hRK/C1VKsVCQHPORFvzb2TaBpRxtJ82H0S3vX1G6GRPtih30R2VMadLGoau9pGW9ZU&#10;43tUe/yh95GxfgoJnA1sOZJAMrQ6cMVzCsDIg7u18nNgxl5VwmzUynvbVkoUcExdNWHgvWqXBTYU&#10;W7d/2AJIWUDeBN4R46Zwbcw4Q2ZdpOmiJ9Y99c6my1nSU2+ymM6XdOf9KCrxm/VIJNf064nqBS45&#10;T+FKISiesdGhiSn9XjLR1BHeCbpucr4chUSGAL43BfCSyKKodTeG7JCjup4k3kVsx5ZcDAd11JI/&#10;tpv+rTn+ZxnTzQaXPtF+/0DBV8XhnFLcP6Mu/wEAAP//AwBQSwMEFAAGAAgAAAAhAD3itAreAAAA&#10;BwEAAA8AAABkcnMvZG93bnJldi54bWxMj0FLw0AUhO+C/2F5gje7SaPBptmUUtRTEWwF6e01+5qE&#10;ZndDdpuk/97nyR6HGWa+yVeTacVAvW+cVRDPIhBkS6cbWyn43r8/vYLwAa3G1llScCUPq+L+LsdM&#10;u9F+0bALleAS6zNUUIfQZVL6siaDfuY6suydXG8wsOwrqXscudy0ch5FqTTYWF6osaNNTeV5dzEK&#10;PkYc10n8NmzPp831sH/5/NnGpNTjw7Reggg0hf8w/OEzOhTMdHQXq71oFSQLDiqY8yF2F3Gagjgq&#10;eI6SCGSRy1v+4hcAAP//AwBQSwECLQAUAAYACAAAACEAtoM4kv4AAADhAQAAEwAAAAAAAAAAAAAA&#10;AAAAAAAAW0NvbnRlbnRfVHlwZXNdLnhtbFBLAQItABQABgAIAAAAIQA4/SH/1gAAAJQBAAALAAAA&#10;AAAAAAAAAAAAAC8BAABfcmVscy8ucmVsc1BLAQItABQABgAIAAAAIQDTeUl7kwMAAI4JAAAOAAAA&#10;AAAAAAAAAAAAAC4CAABkcnMvZTJvRG9jLnhtbFBLAQItABQABgAIAAAAIQA94rQK3gAAAAcBAAAP&#10;AAAAAAAAAAAAAAAAAO0FAABkcnMvZG93bnJldi54bWxQSwUGAAAAAAQABADzAAAA+AYAAAAA&#10;">
                <v:shape id="Text Box 365" o:spid="_x0000_s1035" type="#_x0000_t202" style="position:absolute;width:5795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XJ8cA&#10;AADcAAAADwAAAGRycy9kb3ducmV2LnhtbESPT2vCQBTE74V+h+UVvBTdtME/RFcppWrxVqOW3h7Z&#10;ZxKafRuyaxK/vSsUehxm5jfMYtWbSrTUuNKygpdRBII4s7rkXMEhXQ9nIJxH1lhZJgVXcrBaPj4s&#10;MNG24y9q9z4XAcIuQQWF93UipcsKMuhGtiYO3tk2Bn2QTS51g12Am0q+RtFEGiw5LBRY03tB2e/+&#10;YhT8POffO9dvjl08juuPbZtOTzpVavDUv81BeOr9f/iv/akVxJM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FyfHAAAA3AAAAA8AAAAAAAAAAAAAAAAAmAIAAGRy&#10;cy9kb3ducmV2LnhtbFBLBQYAAAAABAAEAPUAAACMAwAAAAA=&#10;" fillcolor="white [3201]" stroked="f" strokeweight=".5pt">
                  <v:textbox>
                    <w:txbxContent>
                      <w:p w:rsidR="005D1C1A" w:rsidRPr="003F6FE0" w:rsidRDefault="005D1C1A" w:rsidP="003F6FE0">
                        <w:pPr>
                          <w:jc w:val="both"/>
                          <w:rPr>
                            <w:sz w:val="18"/>
                          </w:rPr>
                        </w:pPr>
                        <w:r w:rsidRPr="003F6FE0">
                          <w:rPr>
                            <w:b/>
                            <w:sz w:val="18"/>
                          </w:rPr>
                          <w:t>Figure 1</w:t>
                        </w:r>
                        <w:r w:rsidRPr="003F6FE0">
                          <w:rPr>
                            <w:sz w:val="18"/>
                          </w:rPr>
                          <w:t>: Time-series graph of the price of Bitstamp on the primary y-axis and volume on the secondary y-axis.</w:t>
                        </w:r>
                      </w:p>
                    </w:txbxContent>
                  </v:textbox>
                </v:shape>
                <v:shape id="_x0000_s1036" type="#_x0000_t202" style="position:absolute;left:501;top:2755;width:57408;height:2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pEMUA&#10;AADcAAAADwAAAGRycy9kb3ducmV2LnhtbESPQWvCQBSE7wX/w/IKXopuNCW1qauI0GJvaqW9PrLP&#10;JDT7Nu6uMf57t1DwOMzMN8x82ZtGdOR8bVnBZJyAIC6srrlUcPh6H81A+ICssbFMCq7kYbkYPMwx&#10;1/bCO+r2oRQRwj5HBVUIbS6lLyoy6Me2JY7e0TqDIUpXSu3wEuGmkdMkyaTBmuNChS2tKyp+92ej&#10;YPa86X78Z7r9LrJj8xqeXrqPk1Nq+Niv3kAE6sM9/N/eaAVp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SkQxQAAANwAAAAPAAAAAAAAAAAAAAAAAJgCAABkcnMv&#10;ZG93bnJldi54bWxQSwUGAAAAAAQABAD1AAAAigMAAAAA&#10;">
                  <v:textbox>
                    <w:txbxContent>
                      <w:p w:rsidR="005D1C1A" w:rsidRDefault="005D1C1A" w:rsidP="0007548B">
                        <w:r>
                          <w:rPr>
                            <w:noProof/>
                            <w:lang w:eastAsia="zh-CN"/>
                          </w:rPr>
                          <w:drawing>
                            <wp:inline distT="0" distB="0" distL="0" distR="0" wp14:anchorId="4BB35C05" wp14:editId="5720DACA">
                              <wp:extent cx="5548630" cy="208324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1.png"/>
                                      <pic:cNvPicPr/>
                                    </pic:nvPicPr>
                                    <pic:blipFill>
                                      <a:blip r:embed="rId15"/>
                                      <a:stretch>
                                        <a:fillRect/>
                                      </a:stretch>
                                    </pic:blipFill>
                                    <pic:spPr>
                                      <a:xfrm>
                                        <a:off x="0" y="0"/>
                                        <a:ext cx="5593551" cy="2100108"/>
                                      </a:xfrm>
                                      <a:prstGeom prst="rect">
                                        <a:avLst/>
                                      </a:prstGeom>
                                    </pic:spPr>
                                  </pic:pic>
                                </a:graphicData>
                              </a:graphic>
                            </wp:inline>
                          </w:drawing>
                        </w:r>
                      </w:p>
                    </w:txbxContent>
                  </v:textbox>
                </v:shape>
              </v:group>
            </w:pict>
          </mc:Fallback>
        </mc:AlternateContent>
      </w:r>
    </w:p>
    <w:p w:rsidR="00EF6C1B" w:rsidRDefault="00EF6C1B">
      <w:pPr>
        <w:rPr>
          <w:b/>
        </w:rPr>
      </w:pPr>
      <w:r>
        <w:rPr>
          <w:b/>
        </w:rPr>
        <w:br w:type="page"/>
      </w:r>
    </w:p>
    <w:p w:rsidR="00831D1F" w:rsidRDefault="00E63024">
      <w:pPr>
        <w:rPr>
          <w:b/>
        </w:rPr>
      </w:pPr>
      <w:r>
        <w:rPr>
          <w:b/>
          <w:noProof/>
          <w:lang w:eastAsia="zh-CN"/>
        </w:rPr>
        <mc:AlternateContent>
          <mc:Choice Requires="wpg">
            <w:drawing>
              <wp:anchor distT="0" distB="0" distL="114300" distR="114300" simplePos="0" relativeHeight="251644928" behindDoc="0" locked="0" layoutInCell="1" allowOverlap="1" wp14:anchorId="00B50725" wp14:editId="3F0B5D00">
                <wp:simplePos x="0" y="0"/>
                <wp:positionH relativeFrom="column">
                  <wp:posOffset>-17598</wp:posOffset>
                </wp:positionH>
                <wp:positionV relativeFrom="paragraph">
                  <wp:posOffset>-45267</wp:posOffset>
                </wp:positionV>
                <wp:extent cx="5838845" cy="2665095"/>
                <wp:effectExtent l="0" t="0" r="15875" b="14605"/>
                <wp:wrapNone/>
                <wp:docPr id="11" name="Group 11"/>
                <wp:cNvGraphicFramePr/>
                <a:graphic xmlns:a="http://schemas.openxmlformats.org/drawingml/2006/main">
                  <a:graphicData uri="http://schemas.microsoft.com/office/word/2010/wordprocessingGroup">
                    <wpg:wgp>
                      <wpg:cNvGrpSpPr/>
                      <wpg:grpSpPr>
                        <a:xfrm>
                          <a:off x="0" y="0"/>
                          <a:ext cx="5838845" cy="2665095"/>
                          <a:chOff x="-8725" y="0"/>
                          <a:chExt cx="5839570" cy="2665286"/>
                        </a:xfrm>
                      </wpg:grpSpPr>
                      <wps:wsp>
                        <wps:cNvPr id="307" name="Text Box 2"/>
                        <wps:cNvSpPr txBox="1">
                          <a:spLocks noChangeArrowheads="1"/>
                        </wps:cNvSpPr>
                        <wps:spPr bwMode="auto">
                          <a:xfrm>
                            <a:off x="94890" y="284671"/>
                            <a:ext cx="5735955" cy="2380615"/>
                          </a:xfrm>
                          <a:prstGeom prst="rect">
                            <a:avLst/>
                          </a:prstGeom>
                          <a:solidFill>
                            <a:srgbClr val="FFFFFF"/>
                          </a:solidFill>
                          <a:ln w="9525">
                            <a:solidFill>
                              <a:srgbClr val="000000"/>
                            </a:solidFill>
                            <a:miter lim="800000"/>
                            <a:headEnd/>
                            <a:tailEnd/>
                          </a:ln>
                        </wps:spPr>
                        <wps:txbx>
                          <w:txbxContent>
                            <w:p w:rsidR="005D1C1A" w:rsidRDefault="005D1C1A">
                              <w:r>
                                <w:rPr>
                                  <w:noProof/>
                                  <w:lang w:eastAsia="zh-CN"/>
                                </w:rPr>
                                <w:drawing>
                                  <wp:inline distT="0" distB="0" distL="0" distR="0" wp14:anchorId="21D69023" wp14:editId="1A80E078">
                                    <wp:extent cx="5550010" cy="2279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tradayVol.png"/>
                                            <pic:cNvPicPr/>
                                          </pic:nvPicPr>
                                          <pic:blipFill>
                                            <a:blip r:embed="rId16"/>
                                            <a:stretch>
                                              <a:fillRect/>
                                            </a:stretch>
                                          </pic:blipFill>
                                          <pic:spPr>
                                            <a:xfrm>
                                              <a:off x="0" y="0"/>
                                              <a:ext cx="5553453" cy="2281064"/>
                                            </a:xfrm>
                                            <a:prstGeom prst="rect">
                                              <a:avLst/>
                                            </a:prstGeom>
                                          </pic:spPr>
                                        </pic:pic>
                                      </a:graphicData>
                                    </a:graphic>
                                  </wp:inline>
                                </w:drawing>
                              </w:r>
                            </w:p>
                          </w:txbxContent>
                        </wps:txbx>
                        <wps:bodyPr rot="0" vert="horz" wrap="square" lIns="91440" tIns="45720" rIns="91440" bIns="45720" anchor="t" anchorCtr="0">
                          <a:noAutofit/>
                        </wps:bodyPr>
                      </wps:wsp>
                      <wps:wsp>
                        <wps:cNvPr id="2" name="Text Box 2"/>
                        <wps:cNvSpPr txBox="1"/>
                        <wps:spPr>
                          <a:xfrm>
                            <a:off x="-8725" y="0"/>
                            <a:ext cx="5346113" cy="284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D52FBB" w:rsidRDefault="005D1C1A">
                              <w:pPr>
                                <w:rPr>
                                  <w:sz w:val="20"/>
                                </w:rPr>
                              </w:pPr>
                              <w:r w:rsidRPr="00D52FBB">
                                <w:rPr>
                                  <w:b/>
                                  <w:sz w:val="20"/>
                                </w:rPr>
                                <w:t xml:space="preserve">Figure </w:t>
                              </w:r>
                              <w:r>
                                <w:rPr>
                                  <w:b/>
                                  <w:sz w:val="20"/>
                                </w:rPr>
                                <w:t>2</w:t>
                              </w:r>
                              <w:r w:rsidRPr="00D52FBB">
                                <w:rPr>
                                  <w:sz w:val="20"/>
                                </w:rPr>
                                <w:t xml:space="preserve">: Intraday </w:t>
                              </w:r>
                              <w:r>
                                <w:rPr>
                                  <w:sz w:val="20"/>
                                </w:rPr>
                                <w:t xml:space="preserve">mean volume of </w:t>
                              </w:r>
                              <w:bookmarkStart w:id="1" w:name="OLE_LINK1"/>
                              <w:r>
                                <w:rPr>
                                  <w:sz w:val="20"/>
                                </w:rPr>
                                <w:t>Bitstamp over the four sample periods.</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0B50725" id="Group 11" o:spid="_x0000_s1037" style="position:absolute;margin-left:-1.4pt;margin-top:-3.55pt;width:459.75pt;height:209.85pt;z-index:251644928;mso-width-relative:margin" coordorigin="-87" coordsize="58395,2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IGpwMAAJIJAAAOAAAAZHJzL2Uyb0RvYy54bWy0Vtlu2zoQfb9A/4HgeyN5kS0LUQo3bYIL&#10;pG3QpOgzTVELSpEsSUdKv75DUpITd0HTxQ8yl5nhzJkzQ56+6FuO7pg2jRQ5np3EGDFBZdGIKscf&#10;bi+epxgZS0RBuBQsx/fM4Bdnz/477VTG5rKWvGAagRFhsk7luLZWZVFkaM1aYk6kYgI2S6lbYmGq&#10;q6jQpAPrLY/mcbyKOqkLpSVlxsDqq7CJz7z9smTUvitLwyziOQbfrP9q/925b3R2SrJKE1U3dHCD&#10;/IYXLWkEHDqZekUsQXvdfGOqbaiWRpb2hMo2kmXZUOZjgGhm8VE0l1rulY+lyrpKTTABtEc4/bZZ&#10;+vbuWqOmgNzNMBKkhRz5YxHMAZxOVRnIXGp1o671sFCFmYu3L3Xr/iES1HtY7ydYWW8RhcUkXaTp&#10;MsGIwt58tUriTRKApzVkx+k9T9dzEDjo0vr1QXuTrCF3o/Y8XTntaDw8cj5OLnUKiGQOWJk/w+qm&#10;Jor5FBiHw4DVIl6PYN26KF/KHs0DXF7MYYVsD8uAq+eFUVeSfjJIyPOaiIpttZZdzUgB/nmgIYpJ&#10;1cFuMuOM7Lo3soCckL2V3tAR4JtlugFsHLDpcrX2pkg2Ib9eJJtkRH6RxquZR37CjmRKG3vJZIvc&#10;IMcaKsafQ+6ujA0wjyIuz0byprhoOPcTXe3OuUZ3BKrrwv+GzDwS4wJ1Od4kkOGfm4j973sm2sZC&#10;m+BNm+N0EiKZA/C1KMBNklnS8DCG6LgAgowgBjhtv+s90dMxUTtZ3APEWoauAF0MBrXUXzDqoCPk&#10;2HzeE80w4v8LSNNmtly6FuIny2Q9h4l+uLN7uEMEBVM5thiF4bn1bce5KuQW0lk2Hl/nZfBkcBnY&#10;Gzz+5zSeP4HEvvQDKV0IRzT8pn4nBi6Wq9lsMVSvo6ivk79FQHdNsImC3IZSOqJp4N9qkcSef0I6&#10;/gZqO55AufiLYuD7Y9YYe8+Zk+HiPSuBP77JuQV/RR3OJpQyMZ3vpZ1UCUc9RXGQP3j1FOUQB2j4&#10;k6Wwk3LbCKlD9T2GrPg0QlYG+bFuQtwOjKlwNj8oHKPoRQPd44oYe0003J9QGa6a3sGn5BKKXw4j&#10;jFx9fW/971af2LfnEpoS3GngnR+6arV8HJZath/h6bB1NQ9bPypXBE8PyrZbLwRXtiL2StwoOvZ1&#10;1xtv+49Eq6GBWmD+WzleGyQ76qNB1uXnF5qAv9ng4veX3fBIcS+Lh3Ofr8NT6uwrAAAA//8DAFBL&#10;AwQUAAYACAAAACEAspZk5eEAAAAJAQAADwAAAGRycy9kb3ducmV2LnhtbEyPQUvDQBCF74L/YRnB&#10;W7vZqGmN2ZRS1FMRbIXibZpMk9Dsbshuk/TfO570NDze471vstVkWjFQ7xtnNah5BIJs4crGVhq+&#10;9m+zJQgf0JbYOksaruRhld/eZJiWbrSfNOxCJbjE+hQ11CF0qZS+qMmgn7uOLHsn1xsMLPtKlj2O&#10;XG5aGUdRIg02lhdq7GhTU3HeXYyG9xHH9YN6Hbbn0+b6vX/6OGwVaX1/N61fQASawl8YfvEZHXJm&#10;OrqLLb1oNcxiJg98FwoE+88qWYA4anhUcQIyz+T/D/IfAAAA//8DAFBLAQItABQABgAIAAAAIQC2&#10;gziS/gAAAOEBAAATAAAAAAAAAAAAAAAAAAAAAABbQ29udGVudF9UeXBlc10ueG1sUEsBAi0AFAAG&#10;AAgAAAAhADj9If/WAAAAlAEAAAsAAAAAAAAAAAAAAAAALwEAAF9yZWxzLy5yZWxzUEsBAi0AFAAG&#10;AAgAAAAhANxQcganAwAAkgkAAA4AAAAAAAAAAAAAAAAALgIAAGRycy9lMm9Eb2MueG1sUEsBAi0A&#10;FAAGAAgAAAAhALKWZOXhAAAACQEAAA8AAAAAAAAAAAAAAAAAAQYAAGRycy9kb3ducmV2LnhtbFBL&#10;BQYAAAAABAAEAPMAAAAPBwAAAAA=&#10;">
                <v:shape id="_x0000_s1038" type="#_x0000_t202" style="position:absolute;left:948;top:2846;width:57360;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5D1C1A" w:rsidRDefault="005D1C1A">
                        <w:r>
                          <w:rPr>
                            <w:noProof/>
                            <w:lang w:eastAsia="zh-CN"/>
                          </w:rPr>
                          <w:drawing>
                            <wp:inline distT="0" distB="0" distL="0" distR="0" wp14:anchorId="21D69023" wp14:editId="1A80E078">
                              <wp:extent cx="5550010" cy="2279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tradayVol.png"/>
                                      <pic:cNvPicPr/>
                                    </pic:nvPicPr>
                                    <pic:blipFill>
                                      <a:blip r:embed="rId17"/>
                                      <a:stretch>
                                        <a:fillRect/>
                                      </a:stretch>
                                    </pic:blipFill>
                                    <pic:spPr>
                                      <a:xfrm>
                                        <a:off x="0" y="0"/>
                                        <a:ext cx="5553453" cy="2281064"/>
                                      </a:xfrm>
                                      <a:prstGeom prst="rect">
                                        <a:avLst/>
                                      </a:prstGeom>
                                    </pic:spPr>
                                  </pic:pic>
                                </a:graphicData>
                              </a:graphic>
                            </wp:inline>
                          </w:drawing>
                        </w:r>
                      </w:p>
                    </w:txbxContent>
                  </v:textbox>
                </v:shape>
                <v:shape id="_x0000_s1039" type="#_x0000_t202" style="position:absolute;left:-87;width:53460;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5D1C1A" w:rsidRPr="00D52FBB" w:rsidRDefault="005D1C1A">
                        <w:pPr>
                          <w:rPr>
                            <w:sz w:val="20"/>
                          </w:rPr>
                        </w:pPr>
                        <w:r w:rsidRPr="00D52FBB">
                          <w:rPr>
                            <w:b/>
                            <w:sz w:val="20"/>
                          </w:rPr>
                          <w:t xml:space="preserve">Figure </w:t>
                        </w:r>
                        <w:r>
                          <w:rPr>
                            <w:b/>
                            <w:sz w:val="20"/>
                          </w:rPr>
                          <w:t>2</w:t>
                        </w:r>
                        <w:r w:rsidRPr="00D52FBB">
                          <w:rPr>
                            <w:sz w:val="20"/>
                          </w:rPr>
                          <w:t xml:space="preserve">: Intraday </w:t>
                        </w:r>
                        <w:r>
                          <w:rPr>
                            <w:sz w:val="20"/>
                          </w:rPr>
                          <w:t xml:space="preserve">mean volume of </w:t>
                        </w:r>
                        <w:bookmarkStart w:id="1" w:name="OLE_LINK1"/>
                        <w:r>
                          <w:rPr>
                            <w:sz w:val="20"/>
                          </w:rPr>
                          <w:t>Bitstamp over the four sample periods.</w:t>
                        </w:r>
                        <w:bookmarkEnd w:id="1"/>
                      </w:p>
                    </w:txbxContent>
                  </v:textbox>
                </v:shape>
              </v:group>
            </w:pict>
          </mc:Fallback>
        </mc:AlternateContent>
      </w:r>
    </w:p>
    <w:p w:rsidR="00CC2B17" w:rsidRDefault="004D5A2A">
      <w:pPr>
        <w:rPr>
          <w:b/>
        </w:rPr>
      </w:pPr>
      <w:r>
        <w:rPr>
          <w:b/>
          <w:noProof/>
          <w:lang w:eastAsia="zh-CN"/>
        </w:rPr>
        <mc:AlternateContent>
          <mc:Choice Requires="wpg">
            <w:drawing>
              <wp:anchor distT="0" distB="0" distL="114300" distR="114300" simplePos="0" relativeHeight="251732992" behindDoc="0" locked="0" layoutInCell="1" allowOverlap="1" wp14:anchorId="509840BF" wp14:editId="31FB9521">
                <wp:simplePos x="0" y="0"/>
                <wp:positionH relativeFrom="column">
                  <wp:posOffset>-100208</wp:posOffset>
                </wp:positionH>
                <wp:positionV relativeFrom="paragraph">
                  <wp:posOffset>5861546</wp:posOffset>
                </wp:positionV>
                <wp:extent cx="6032500" cy="2604135"/>
                <wp:effectExtent l="0" t="0" r="0" b="12065"/>
                <wp:wrapNone/>
                <wp:docPr id="1" name="Group 1"/>
                <wp:cNvGraphicFramePr/>
                <a:graphic xmlns:a="http://schemas.openxmlformats.org/drawingml/2006/main">
                  <a:graphicData uri="http://schemas.microsoft.com/office/word/2010/wordprocessingGroup">
                    <wpg:wgp>
                      <wpg:cNvGrpSpPr/>
                      <wpg:grpSpPr>
                        <a:xfrm>
                          <a:off x="0" y="0"/>
                          <a:ext cx="6032500" cy="2604135"/>
                          <a:chOff x="0" y="0"/>
                          <a:chExt cx="5900420" cy="2604524"/>
                        </a:xfrm>
                      </wpg:grpSpPr>
                      <wps:wsp>
                        <wps:cNvPr id="5" name="Text Box 5"/>
                        <wps:cNvSpPr txBox="1"/>
                        <wps:spPr>
                          <a:xfrm>
                            <a:off x="0" y="0"/>
                            <a:ext cx="5900420" cy="343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D52FBB" w:rsidRDefault="005D1C1A" w:rsidP="004D5A2A">
                              <w:pPr>
                                <w:jc w:val="both"/>
                                <w:rPr>
                                  <w:sz w:val="20"/>
                                </w:rPr>
                              </w:pPr>
                              <w:r w:rsidRPr="00D52FBB">
                                <w:rPr>
                                  <w:b/>
                                  <w:sz w:val="20"/>
                                </w:rPr>
                                <w:t xml:space="preserve">Figure </w:t>
                              </w:r>
                              <w:r>
                                <w:rPr>
                                  <w:b/>
                                  <w:sz w:val="20"/>
                                </w:rPr>
                                <w:t>4</w:t>
                              </w:r>
                              <w:r w:rsidRPr="00D52FBB">
                                <w:rPr>
                                  <w:sz w:val="20"/>
                                </w:rPr>
                                <w:t xml:space="preserve">: </w:t>
                              </w:r>
                              <w:r>
                                <w:rPr>
                                  <w:sz w:val="20"/>
                                </w:rPr>
                                <w:t>Intraday mean liquidity of Bitstamp over the four sample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a:spLocks noChangeArrowheads="1"/>
                        </wps:cNvSpPr>
                        <wps:spPr bwMode="auto">
                          <a:xfrm>
                            <a:off x="127416" y="224852"/>
                            <a:ext cx="5735908" cy="2379672"/>
                          </a:xfrm>
                          <a:prstGeom prst="rect">
                            <a:avLst/>
                          </a:prstGeom>
                          <a:solidFill>
                            <a:srgbClr val="FFFFFF"/>
                          </a:solidFill>
                          <a:ln w="9525">
                            <a:solidFill>
                              <a:srgbClr val="000000"/>
                            </a:solidFill>
                            <a:miter lim="800000"/>
                            <a:headEnd/>
                            <a:tailEnd/>
                          </a:ln>
                        </wps:spPr>
                        <wps:txbx>
                          <w:txbxContent>
                            <w:p w:rsidR="005D1C1A" w:rsidRDefault="005D1C1A" w:rsidP="004D5A2A">
                              <w:r>
                                <w:rPr>
                                  <w:noProof/>
                                  <w:lang w:eastAsia="zh-CN"/>
                                </w:rPr>
                                <w:drawing>
                                  <wp:inline distT="0" distB="0" distL="0" distR="0" wp14:anchorId="18CFD6A9" wp14:editId="786AD175">
                                    <wp:extent cx="5730949" cy="2278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radayLiq.png"/>
                                            <pic:cNvPicPr/>
                                          </pic:nvPicPr>
                                          <pic:blipFill>
                                            <a:blip r:embed="rId18"/>
                                            <a:stretch>
                                              <a:fillRect/>
                                            </a:stretch>
                                          </pic:blipFill>
                                          <pic:spPr>
                                            <a:xfrm>
                                              <a:off x="0" y="0"/>
                                              <a:ext cx="5739693" cy="2281856"/>
                                            </a:xfrm>
                                            <a:prstGeom prst="rect">
                                              <a:avLst/>
                                            </a:prstGeom>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09840BF" id="Group 1" o:spid="_x0000_s1040" style="position:absolute;margin-left:-7.9pt;margin-top:461.55pt;width:475pt;height:205.05pt;z-index:251732992;mso-width-relative:margin" coordsize="59004,2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w4nwMAAIkJAAAOAAAAZHJzL2Uyb0RvYy54bWy8Vllv2zgQfl+g/4HQeyNZluxYiFJ40yZY&#10;IG2DTRZ9pinqQCmSS9KR0l+/M9Rhx8kCPRbrB5nHnB9nPvLiXd8K8siNbZTMg8VZFBAumSoaWeXB&#10;Xw/Xb88DYh2VBRVK8jx44jZ4d/nmt4tOZzxWtRIFNwSMSJt1Og9q53QWhpbVvKX2TGkuYbNUpqUO&#10;pqYKC0M7sN6KMI6iVdgpU2ijGLcWVt8Pm8Glt1+WnLnPZWm5IyIPIDbnv8Z/d/gNLy9oVhmq64aN&#10;YdCfiKKljQSns6n31FGyN80LU23DjLKqdGdMtaEqy4ZxnwNks4hOsrkxaq99LlXWVXqGCaA9wemn&#10;zbJPj3eGNAWcXUAkbeGIvFeyQGg6XWUgcWP0vb4z40I1zDDbvjQt/kMepPegPs2g8t4RBouraBmn&#10;EWDPYC9eRclimQ6wsxrO5oUeqz+MmukmipL4SDONE9QMJ8chxjeH02koIXtAyf4aSvc11dyDbxGD&#10;EaV0QukB8/td9cQng75BCFEirodlxNPjZTMLi98L1rOUl8kyXa2eZUwzbay74aolOMgDAxXuC48+&#10;3lo3gDOJoFOrRFNcN0L4CXYVvxKGPFLoB+F8jADnMykhSQfHtkwjb1gqVB8sC4lmuO+r0R1mPmTo&#10;R+5JcJQR8k9eQl35qnjFN2WMy9m/l0apElz9iOIof4jqR5SHPEDDe1bSzcptI5Xx2XsiOkBWfJ0g&#10;Kwd5qMajvHHo+l0/NJRnF1zaqeIJCsOogX6sZtcNnN4tte6OGuAbqHHgUPcZPqVQgL4aRwGplfn2&#10;2jrKQ4HDbkA64K88sH/vqeEBEX9IKP3NIkmQ8PwkSdfYR+Z4Z3e8I/ftlYKSABKA6PwQ5Z2YhqVR&#10;7Reg2i16hS0qGfjOAzcNr9zAqkDVjG+3XggoTlN3K+81Q9MIM9bmQ/+FGj0WsIM++qSmZqPZSR0P&#10;sqgp1XbvVNn4Ij+gOh4AND7S1f/AAJsXDBBPnf6CATBuq28V+2qJVFc1lRXfGqO6mtMCDmkoJgx7&#10;VB1ywH4iu+6jKoCOKWTtoTsh20W8ThargCCrxsl56qOA5pzIc70EMoHb19Pucr1Zrb3ETJ6/SCWm&#10;2s1Ecu1/I1G9wiWbNE6HbnrGRscmIv97zUTbOHghiKbNg/NZiGaI4AdZAC/RzNFGDGPIDjlq6EnP&#10;uwjuoSVnUj5pyf+2m/6tOb6zjP21Bve9v+nGtwk+KI7nPsfDC+ryHwAAAP//AwBQSwMEFAAGAAgA&#10;AAAhAGflS6viAAAADAEAAA8AAABkcnMvZG93bnJldi54bWxMj8FqwzAQRO+F/oPYQm+JLKspjWs5&#10;hND2FApNCiE3xdrYJpZkLMV2/r7bU3tc5jHzNl9NtmUD9qHxToGYJ8DQld40rlLwvX+fvQALUTuj&#10;W+9QwQ0DrIr7u1xnxo/uC4ddrBiVuJBpBXWMXcZ5KGu0Osx9h46ys++tjnT2FTe9HqnctjxNkmdu&#10;deNoodYdbmosL7urVfAx6nEtxduwvZw3t+N+8XnYClTq8WFavwKLOMU/GH71SR0Kcjr5qzOBtQpm&#10;YkHqUcEylQIYEUv5lAI7ESqlTIEXOf//RPEDAAD//wMAUEsBAi0AFAAGAAgAAAAhALaDOJL+AAAA&#10;4QEAABMAAAAAAAAAAAAAAAAAAAAAAFtDb250ZW50X1R5cGVzXS54bWxQSwECLQAUAAYACAAAACEA&#10;OP0h/9YAAACUAQAACwAAAAAAAAAAAAAAAAAvAQAAX3JlbHMvLnJlbHNQSwECLQAUAAYACAAAACEA&#10;gFIcOJ8DAACJCQAADgAAAAAAAAAAAAAAAAAuAgAAZHJzL2Uyb0RvYy54bWxQSwECLQAUAAYACAAA&#10;ACEAZ+VLq+IAAAAMAQAADwAAAAAAAAAAAAAAAAD5BQAAZHJzL2Rvd25yZXYueG1sUEsFBgAAAAAE&#10;AAQA8wAAAAgHAAAAAA==&#10;">
                <v:shape id="Text Box 5" o:spid="_x0000_s1041" type="#_x0000_t202" style="position:absolute;width:5900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5D1C1A" w:rsidRPr="00D52FBB" w:rsidRDefault="005D1C1A" w:rsidP="004D5A2A">
                        <w:pPr>
                          <w:jc w:val="both"/>
                          <w:rPr>
                            <w:sz w:val="20"/>
                          </w:rPr>
                        </w:pPr>
                        <w:r w:rsidRPr="00D52FBB">
                          <w:rPr>
                            <w:b/>
                            <w:sz w:val="20"/>
                          </w:rPr>
                          <w:t xml:space="preserve">Figure </w:t>
                        </w:r>
                        <w:r>
                          <w:rPr>
                            <w:b/>
                            <w:sz w:val="20"/>
                          </w:rPr>
                          <w:t>4</w:t>
                        </w:r>
                        <w:r w:rsidRPr="00D52FBB">
                          <w:rPr>
                            <w:sz w:val="20"/>
                          </w:rPr>
                          <w:t xml:space="preserve">: </w:t>
                        </w:r>
                        <w:r>
                          <w:rPr>
                            <w:sz w:val="20"/>
                          </w:rPr>
                          <w:t>Intraday mean liquidity of Bitstamp over the four sample periods.</w:t>
                        </w:r>
                      </w:p>
                    </w:txbxContent>
                  </v:textbox>
                </v:shape>
                <v:shape id="_x0000_s1042" type="#_x0000_t202" style="position:absolute;left:1274;top:2248;width:57359;height:2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D1C1A" w:rsidRDefault="005D1C1A" w:rsidP="004D5A2A">
                        <w:r>
                          <w:rPr>
                            <w:noProof/>
                            <w:lang w:eastAsia="zh-CN"/>
                          </w:rPr>
                          <w:drawing>
                            <wp:inline distT="0" distB="0" distL="0" distR="0" wp14:anchorId="18CFD6A9" wp14:editId="786AD175">
                              <wp:extent cx="5730949" cy="2278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radayLiq.png"/>
                                      <pic:cNvPicPr/>
                                    </pic:nvPicPr>
                                    <pic:blipFill>
                                      <a:blip r:embed="rId19"/>
                                      <a:stretch>
                                        <a:fillRect/>
                                      </a:stretch>
                                    </pic:blipFill>
                                    <pic:spPr>
                                      <a:xfrm>
                                        <a:off x="0" y="0"/>
                                        <a:ext cx="5739693" cy="2281856"/>
                                      </a:xfrm>
                                      <a:prstGeom prst="rect">
                                        <a:avLst/>
                                      </a:prstGeom>
                                    </pic:spPr>
                                  </pic:pic>
                                </a:graphicData>
                              </a:graphic>
                            </wp:inline>
                          </w:drawing>
                        </w:r>
                      </w:p>
                    </w:txbxContent>
                  </v:textbox>
                </v:shape>
              </v:group>
            </w:pict>
          </mc:Fallback>
        </mc:AlternateContent>
      </w:r>
      <w:r w:rsidR="001B0E76">
        <w:rPr>
          <w:b/>
          <w:noProof/>
          <w:lang w:eastAsia="zh-CN"/>
        </w:rPr>
        <mc:AlternateContent>
          <mc:Choice Requires="wpg">
            <w:drawing>
              <wp:anchor distT="0" distB="0" distL="114300" distR="114300" simplePos="0" relativeHeight="251646976" behindDoc="0" locked="0" layoutInCell="1" allowOverlap="1" wp14:anchorId="325D3E4E" wp14:editId="1B94DB72">
                <wp:simplePos x="0" y="0"/>
                <wp:positionH relativeFrom="column">
                  <wp:posOffset>-69850</wp:posOffset>
                </wp:positionH>
                <wp:positionV relativeFrom="paragraph">
                  <wp:posOffset>2801620</wp:posOffset>
                </wp:positionV>
                <wp:extent cx="5956300" cy="2665095"/>
                <wp:effectExtent l="0" t="0" r="12700" b="14605"/>
                <wp:wrapNone/>
                <wp:docPr id="12" name="Group 12"/>
                <wp:cNvGraphicFramePr/>
                <a:graphic xmlns:a="http://schemas.openxmlformats.org/drawingml/2006/main">
                  <a:graphicData uri="http://schemas.microsoft.com/office/word/2010/wordprocessingGroup">
                    <wpg:wgp>
                      <wpg:cNvGrpSpPr/>
                      <wpg:grpSpPr>
                        <a:xfrm>
                          <a:off x="0" y="0"/>
                          <a:ext cx="5956300" cy="2665095"/>
                          <a:chOff x="-32312" y="0"/>
                          <a:chExt cx="5863157" cy="2665287"/>
                        </a:xfrm>
                      </wpg:grpSpPr>
                      <wps:wsp>
                        <wps:cNvPr id="6" name="Text Box 2"/>
                        <wps:cNvSpPr txBox="1">
                          <a:spLocks noChangeArrowheads="1"/>
                        </wps:cNvSpPr>
                        <wps:spPr bwMode="auto">
                          <a:xfrm>
                            <a:off x="94890" y="284672"/>
                            <a:ext cx="5735955" cy="2380615"/>
                          </a:xfrm>
                          <a:prstGeom prst="rect">
                            <a:avLst/>
                          </a:prstGeom>
                          <a:solidFill>
                            <a:srgbClr val="FFFFFF"/>
                          </a:solidFill>
                          <a:ln w="9525">
                            <a:solidFill>
                              <a:srgbClr val="000000"/>
                            </a:solidFill>
                            <a:miter lim="800000"/>
                            <a:headEnd/>
                            <a:tailEnd/>
                          </a:ln>
                        </wps:spPr>
                        <wps:txbx>
                          <w:txbxContent>
                            <w:p w:rsidR="005D1C1A" w:rsidRDefault="005D1C1A" w:rsidP="002528F6">
                              <w:r>
                                <w:rPr>
                                  <w:noProof/>
                                  <w:lang w:eastAsia="zh-CN"/>
                                </w:rPr>
                                <w:drawing>
                                  <wp:inline distT="0" distB="0" distL="0" distR="0" wp14:anchorId="49DE9452" wp14:editId="5F401DA4">
                                    <wp:extent cx="5629524" cy="2279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radayRV.png"/>
                                            <pic:cNvPicPr/>
                                          </pic:nvPicPr>
                                          <pic:blipFill>
                                            <a:blip r:embed="rId20"/>
                                            <a:stretch>
                                              <a:fillRect/>
                                            </a:stretch>
                                          </pic:blipFill>
                                          <pic:spPr>
                                            <a:xfrm>
                                              <a:off x="0" y="0"/>
                                              <a:ext cx="5639626" cy="2283741"/>
                                            </a:xfrm>
                                            <a:prstGeom prst="rect">
                                              <a:avLst/>
                                            </a:prstGeom>
                                          </pic:spPr>
                                        </pic:pic>
                                      </a:graphicData>
                                    </a:graphic>
                                  </wp:inline>
                                </w:drawing>
                              </w:r>
                            </w:p>
                          </w:txbxContent>
                        </wps:txbx>
                        <wps:bodyPr rot="0" vert="horz" wrap="square" lIns="91440" tIns="45720" rIns="91440" bIns="45720" anchor="t" anchorCtr="0">
                          <a:noAutofit/>
                        </wps:bodyPr>
                      </wps:wsp>
                      <wps:wsp>
                        <wps:cNvPr id="3" name="Text Box 3"/>
                        <wps:cNvSpPr txBox="1"/>
                        <wps:spPr>
                          <a:xfrm>
                            <a:off x="-32312" y="0"/>
                            <a:ext cx="5621845" cy="284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D52FBB" w:rsidRDefault="005D1C1A" w:rsidP="00D52FBB">
                              <w:pPr>
                                <w:rPr>
                                  <w:sz w:val="20"/>
                                </w:rPr>
                              </w:pPr>
                              <w:r w:rsidRPr="00D52FBB">
                                <w:rPr>
                                  <w:b/>
                                  <w:sz w:val="20"/>
                                </w:rPr>
                                <w:t xml:space="preserve">Figure </w:t>
                              </w:r>
                              <w:r>
                                <w:rPr>
                                  <w:b/>
                                  <w:sz w:val="20"/>
                                </w:rPr>
                                <w:t>3</w:t>
                              </w:r>
                              <w:r w:rsidRPr="00D52FBB">
                                <w:rPr>
                                  <w:sz w:val="20"/>
                                </w:rPr>
                                <w:t>: Intraday mean</w:t>
                              </w:r>
                              <w:r>
                                <w:rPr>
                                  <w:sz w:val="20"/>
                                </w:rPr>
                                <w:t xml:space="preserve"> RV of Bitstamp over the four sample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5D3E4E" id="Group 12" o:spid="_x0000_s1043" style="position:absolute;margin-left:-5.5pt;margin-top:220.6pt;width:469pt;height:209.85pt;z-index:251646976;mso-width-relative:margin" coordorigin="-323" coordsize="58631,2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w+sAMAAJQJAAAOAAAAZHJzL2Uyb0RvYy54bWy0Vttu2zgQfS/QfyD43vgiS7aFKIU3bYIC&#10;2TbYZNFnmqIuKEVySTpS+vU7Q12cOC2w7bZ+kHmZGc6cOTPk+duukeRBWFdrldHF2ZwSobjOa1Vm&#10;9O/7qzcbSpxnKmdSK5HRR+Ho24vXr85bk4qlrrTMhSVgRLm0NRmtvDfpbOZ4JRrmzrQRCjYLbRvm&#10;YWrLWW5ZC9YbOVvO58ms1TY3VnPhHKy+6zfpRbBfFIL7T0XhhCcyo+CbD18bvnv8zi7OWVpaZqqa&#10;D26wn/CiYbWCQydT75hn5GDrF6aamlvtdOHPuG5muihqLkIMEM1ifhLNtdUHE2Ip07Y0E0wA7QlO&#10;P22Wf3y4taTOIXdLShRrIEfhWAJzAKc1ZQoy19bcmVs7LJT9DOPtCtvgP0RCugDr4wSr6DzhsBhv&#10;4ySaA/oc9pZJEs+3cQ88ryA7qPcmWkbowFGZV+9H9U0SLeL1UX25WaP6bDx9hk5OPrUGmOSOYLn/&#10;B9ZdxYwIOXAIxABWMmJ1j0H+oTsyoBWEECriO1gGWAMtnLnR/IsjSl9WTJViZ61uK8Fy8G4RgkG3&#10;wT6qIuoudWhk3/6pc0gJO3gdDJ3gvV1ttgAs4rpZJevgBEsn4NcRYB8PyEWbebIIwE/IsdRY56+F&#10;bggOMmqhYMI57OHG+R7kUQTT7LSs86tayjCx5f5SWvLAoLiuwm/IyzMxqUib0W28jHsovmtiHn7f&#10;MtHUHrqErJuMbiYhliKA71UObrLUs1r2Y4hOKqDHCGIPp+/23cjzQGOX7nX+CBhb3XcF6GIwqLT9&#10;SkkLHSGj7p8Ds4IS+UFBnraL1QpbSJis4vUSJvbpzv7pDlMcTGXUU9IPL31oO+ir0jvIZ1EHgNHN&#10;3pPBZyBv7/JvZ3H0gsURov+EikcWD+vISgzhhIcv63fiYLJcbFYjByeS/ioK4j0hJhJK3xfTCVF7&#10;BiZRPA8MVBoZDAENTIGCCTfFwPjnvHH+UQqMWKq/RAEMCl0OF8IddTybcS7UdH6QRqkCjvoRxUEe&#10;VXuvfkR50ggna+Un5aZW2vb19xyy/MsIWdHLj5XTx41gHEtnosdJ6TjDr2poIDfM+Vtm4QaF2sB6&#10;+gSfQmqofz2MKMEK+9b6r60/dWguNfSlBbw/DA9DrFcvx2FhdfMZHg87rHrY+l7BEnh8cLHbBSG4&#10;tA3zN+rO8LG1Y3u87z4za4Ye6oH6H/V4b7D0pJX2spig/9AGwtUGV3/g6vBMwbfF03lI2PExdfEv&#10;AAAA//8DAFBLAwQUAAYACAAAACEAhBeFyeIAAAALAQAADwAAAGRycy9kb3ducmV2LnhtbEyPQU/C&#10;QBCF7yb+h82YeIPtVkQo3RJC1BMxEUwMt6Ed2obubNNd2vLvXU96fPNe3nwvXY+mET11rrasQU0j&#10;EMS5LWouNXwd3iYLEM4jF9hYJg03crDO7u9STAo78Cf1e1+KUMIuQQ2V920ipcsrMuimtiUO3tl2&#10;Bn2QXSmLDodQbhoZR9FcGqw5fKiwpW1F+WV/NRreBxw2T+q1313O29vx8PzxvVOk9ePDuFmB8DT6&#10;vzD84gd0yALTyV65cKLRMFEqbPEaZjMVgwiJZfwSLicNi3m0BJml8v+G7AcAAP//AwBQSwECLQAU&#10;AAYACAAAACEAtoM4kv4AAADhAQAAEwAAAAAAAAAAAAAAAAAAAAAAW0NvbnRlbnRfVHlwZXNdLnht&#10;bFBLAQItABQABgAIAAAAIQA4/SH/1gAAAJQBAAALAAAAAAAAAAAAAAAAAC8BAABfcmVscy8ucmVs&#10;c1BLAQItABQABgAIAAAAIQBfZhw+sAMAAJQJAAAOAAAAAAAAAAAAAAAAAC4CAABkcnMvZTJvRG9j&#10;LnhtbFBLAQItABQABgAIAAAAIQCEF4XJ4gAAAAsBAAAPAAAAAAAAAAAAAAAAAAoGAABkcnMvZG93&#10;bnJldi54bWxQSwUGAAAAAAQABADzAAAAGQcAAAAA&#10;">
                <v:shape id="_x0000_s1044" type="#_x0000_t202" style="position:absolute;left:948;top:2846;width:57360;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5D1C1A" w:rsidRDefault="005D1C1A" w:rsidP="002528F6">
                        <w:r>
                          <w:rPr>
                            <w:noProof/>
                            <w:lang w:eastAsia="zh-CN"/>
                          </w:rPr>
                          <w:drawing>
                            <wp:inline distT="0" distB="0" distL="0" distR="0" wp14:anchorId="49DE9452" wp14:editId="5F401DA4">
                              <wp:extent cx="5629524" cy="2279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radayRV.png"/>
                                      <pic:cNvPicPr/>
                                    </pic:nvPicPr>
                                    <pic:blipFill>
                                      <a:blip r:embed="rId21"/>
                                      <a:stretch>
                                        <a:fillRect/>
                                      </a:stretch>
                                    </pic:blipFill>
                                    <pic:spPr>
                                      <a:xfrm>
                                        <a:off x="0" y="0"/>
                                        <a:ext cx="5639626" cy="2283741"/>
                                      </a:xfrm>
                                      <a:prstGeom prst="rect">
                                        <a:avLst/>
                                      </a:prstGeom>
                                    </pic:spPr>
                                  </pic:pic>
                                </a:graphicData>
                              </a:graphic>
                            </wp:inline>
                          </w:drawing>
                        </w:r>
                      </w:p>
                    </w:txbxContent>
                  </v:textbox>
                </v:shape>
                <v:shape id="Text Box 3" o:spid="_x0000_s1045" type="#_x0000_t202" style="position:absolute;left:-323;width:56218;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5D1C1A" w:rsidRPr="00D52FBB" w:rsidRDefault="005D1C1A" w:rsidP="00D52FBB">
                        <w:pPr>
                          <w:rPr>
                            <w:sz w:val="20"/>
                          </w:rPr>
                        </w:pPr>
                        <w:r w:rsidRPr="00D52FBB">
                          <w:rPr>
                            <w:b/>
                            <w:sz w:val="20"/>
                          </w:rPr>
                          <w:t xml:space="preserve">Figure </w:t>
                        </w:r>
                        <w:r>
                          <w:rPr>
                            <w:b/>
                            <w:sz w:val="20"/>
                          </w:rPr>
                          <w:t>3</w:t>
                        </w:r>
                        <w:r w:rsidRPr="00D52FBB">
                          <w:rPr>
                            <w:sz w:val="20"/>
                          </w:rPr>
                          <w:t>: Intraday mean</w:t>
                        </w:r>
                        <w:r>
                          <w:rPr>
                            <w:sz w:val="20"/>
                          </w:rPr>
                          <w:t xml:space="preserve"> RV of Bitstamp over the four sample periods.</w:t>
                        </w:r>
                      </w:p>
                    </w:txbxContent>
                  </v:textbox>
                </v:shape>
              </v:group>
            </w:pict>
          </mc:Fallback>
        </mc:AlternateContent>
      </w:r>
    </w:p>
    <w:p w:rsidR="009D6E0F" w:rsidRPr="002F3E0B" w:rsidRDefault="004765FF" w:rsidP="002F3E0B">
      <w:pPr>
        <w:pageBreakBefore/>
        <w:jc w:val="both"/>
        <w:rPr>
          <w:b/>
        </w:rPr>
      </w:pPr>
      <w:r>
        <w:rPr>
          <w:b/>
          <w:noProof/>
          <w:lang w:eastAsia="zh-CN"/>
        </w:rPr>
        <mc:AlternateContent>
          <mc:Choice Requires="wpg">
            <w:drawing>
              <wp:anchor distT="0" distB="0" distL="114300" distR="114300" simplePos="0" relativeHeight="251737088" behindDoc="0" locked="0" layoutInCell="1" allowOverlap="1" wp14:anchorId="729D234D" wp14:editId="6880395D">
                <wp:simplePos x="0" y="0"/>
                <wp:positionH relativeFrom="column">
                  <wp:posOffset>-10499</wp:posOffset>
                </wp:positionH>
                <wp:positionV relativeFrom="paragraph">
                  <wp:posOffset>3120851</wp:posOffset>
                </wp:positionV>
                <wp:extent cx="5902960" cy="2763520"/>
                <wp:effectExtent l="0" t="0" r="2540" b="17780"/>
                <wp:wrapNone/>
                <wp:docPr id="302" name="Group 302"/>
                <wp:cNvGraphicFramePr/>
                <a:graphic xmlns:a="http://schemas.openxmlformats.org/drawingml/2006/main">
                  <a:graphicData uri="http://schemas.microsoft.com/office/word/2010/wordprocessingGroup">
                    <wpg:wgp>
                      <wpg:cNvGrpSpPr/>
                      <wpg:grpSpPr>
                        <a:xfrm>
                          <a:off x="0" y="0"/>
                          <a:ext cx="5902960" cy="2763520"/>
                          <a:chOff x="0" y="-98424"/>
                          <a:chExt cx="5902960" cy="2763711"/>
                        </a:xfrm>
                      </wpg:grpSpPr>
                      <wps:wsp>
                        <wps:cNvPr id="303" name="Text Box 2"/>
                        <wps:cNvSpPr txBox="1">
                          <a:spLocks noChangeArrowheads="1"/>
                        </wps:cNvSpPr>
                        <wps:spPr bwMode="auto">
                          <a:xfrm>
                            <a:off x="94890" y="284672"/>
                            <a:ext cx="5735955" cy="2380615"/>
                          </a:xfrm>
                          <a:prstGeom prst="rect">
                            <a:avLst/>
                          </a:prstGeom>
                          <a:solidFill>
                            <a:srgbClr val="FFFFFF"/>
                          </a:solidFill>
                          <a:ln w="9525">
                            <a:solidFill>
                              <a:srgbClr val="000000"/>
                            </a:solidFill>
                            <a:miter lim="800000"/>
                            <a:headEnd/>
                            <a:tailEnd/>
                          </a:ln>
                        </wps:spPr>
                        <wps:txbx>
                          <w:txbxContent>
                            <w:p w:rsidR="005D1C1A" w:rsidRDefault="005D1C1A" w:rsidP="004D5A2A">
                              <w:r>
                                <w:rPr>
                                  <w:noProof/>
                                  <w:lang w:eastAsia="zh-CN"/>
                                </w:rPr>
                                <w:drawing>
                                  <wp:inline distT="0" distB="0" distL="0" distR="0" wp14:anchorId="3CBC2A49" wp14:editId="070BFFE2">
                                    <wp:extent cx="5599416" cy="22796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png"/>
                                            <pic:cNvPicPr/>
                                          </pic:nvPicPr>
                                          <pic:blipFill>
                                            <a:blip r:embed="rId22"/>
                                            <a:stretch>
                                              <a:fillRect/>
                                            </a:stretch>
                                          </pic:blipFill>
                                          <pic:spPr>
                                            <a:xfrm>
                                              <a:off x="0" y="0"/>
                                              <a:ext cx="5602080" cy="2280735"/>
                                            </a:xfrm>
                                            <a:prstGeom prst="rect">
                                              <a:avLst/>
                                            </a:prstGeom>
                                          </pic:spPr>
                                        </pic:pic>
                                      </a:graphicData>
                                    </a:graphic>
                                  </wp:inline>
                                </w:drawing>
                              </w:r>
                            </w:p>
                          </w:txbxContent>
                        </wps:txbx>
                        <wps:bodyPr rot="0" vert="horz" wrap="square" lIns="91440" tIns="45720" rIns="91440" bIns="45720" anchor="t" anchorCtr="0">
                          <a:noAutofit/>
                        </wps:bodyPr>
                      </wps:wsp>
                      <wps:wsp>
                        <wps:cNvPr id="304" name="Text Box 304"/>
                        <wps:cNvSpPr txBox="1"/>
                        <wps:spPr>
                          <a:xfrm>
                            <a:off x="0" y="-98424"/>
                            <a:ext cx="5902960" cy="383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D52FBB" w:rsidRDefault="005D1C1A" w:rsidP="004D5A2A">
                              <w:pPr>
                                <w:rPr>
                                  <w:sz w:val="20"/>
                                </w:rPr>
                              </w:pPr>
                              <w:r w:rsidRPr="00D52FBB">
                                <w:rPr>
                                  <w:b/>
                                  <w:sz w:val="20"/>
                                </w:rPr>
                                <w:t xml:space="preserve">Figure </w:t>
                              </w:r>
                              <w:r>
                                <w:rPr>
                                  <w:b/>
                                  <w:sz w:val="20"/>
                                </w:rPr>
                                <w:t>6</w:t>
                              </w:r>
                              <w:r w:rsidRPr="00D52FBB">
                                <w:rPr>
                                  <w:sz w:val="20"/>
                                </w:rPr>
                                <w:t xml:space="preserve">: </w:t>
                              </w:r>
                              <w:r>
                                <w:rPr>
                                  <w:sz w:val="20"/>
                                </w:rPr>
                                <w:t xml:space="preserve">The cross-correlation between Bitcoin returns and RV over the four subsample periods for different lead and lag intervals.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D234D" id="Group 302" o:spid="_x0000_s1046" style="position:absolute;left:0;text-align:left;margin-left:-.85pt;margin-top:245.75pt;width:464.8pt;height:217.6pt;z-index:251737088;mso-width-relative:margin;mso-height-relative:margin" coordorigin=",-984" coordsize="59029,2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bOqwMAAJwJAAAOAAAAZHJzL2Uyb0RvYy54bWy8Vslu3DgQvQ+QfyB4j6Ve1ItgOehxYmMA&#10;JzHGHuTMpqgFoUgOybbkfH2KpJZ2xwayIX1QcykWqx5fPfL8Tddw9MC0qaXI8OwsxogJKvNalBn+&#10;7/7q9QYjY4nICZeCZfiRGfzm4tVf561K2VxWkudMI3AiTNqqDFfWqjSKDK1YQ8yZVEzAZCF1Qyx0&#10;dRnlmrTgveHRPI5XUSt1rrSkzBgYfRsm8YX3XxSM2o9FYZhFPMMQm/Vf7b97940uzklaaqKqmvZh&#10;kJ+IoiG1gE1HV2+JJeig629cNTXV0sjCnlHZRLIoasp8DpDNLD7J5lrLg/K5lGlbqhEmgPYEp592&#10;Sz883GpU5xlexHOMBGngkPy+yA0APK0qU7C61upO3ep+oAw9l3FX6Mb9Qy6o88A+jsCyziIKg8k2&#10;nm9XgD+Fufl6tUjmPfS0gvOZ1r3ebpbzZTgVWr17afl6NnM20bB75IIcY2oVcMlMcJlfg+uuIor5&#10;UzAOiBGuxQDXvUvzb9mhHi9v5sBCtoNhKAtPDaNuJP1skJCXFREl22kt24qRHOIL6bjAYQe31OFu&#10;UuOc7Nv3ModTIQcrvaMTxLfLzRagdchulqu1D4KkI/TrRbJNkh76xSZezZIn2JFUaWOvmWyQa2RY&#10;Q9H4fcjDjbEB5sHEHbSRvM6vas59R5f7S67RA4ECu/K/3vsTMy5Qm+FtMk8CFC+6iP3vORdNbUEp&#10;eN1keDMakdQB+E7kECZJLal5aAMzuACCDCAGOG237zzXZ55ibnIv80fAWMugDKBk0Kik/oJRC6qQ&#10;YfP/gWiGEf9HwDltZ8ulkxHfWSZroDHSxzP74xkiKLjKsMUoNC+tlx4Xq5A7OM+i9gBPkfQxA31D&#10;yH+Ax8tveLyIR3x6Ok5M9gIQmOnSOOFi4OFxFY88PJaAxWYRr1e/k4buvmAjEbkd9OEZFoL6xJ6F&#10;QjoWB4I7tkDR+BujZ/1T7hj7yJmz4eJfVgCLvNa5AX9XTXsTSpkY9/fWzqqArX5kYW8/RfUji0Me&#10;sMLvLIUdFze1kDrU4FPI8s8DZEWwH6on5O3AmMrHK8hE2rF8jKJXNYjIDTH2lmi4SYEQrqY+wqfg&#10;EjRA9i2MXJU9N/57a1AcmksJ2jSDd4iivulq1vKhWWjZfIJHxM5VPky9VLQIHiGU7XbeCC5vReyN&#10;uFN0kHcnkffdJ6JVr6MWqP9BDrcHSU/kNNi6A/oOKfAXHDwB/J3XP1fcG+O47w9selRdfAUAAP//&#10;AwBQSwMEFAAGAAgAAAAhAAq5Ve7hAAAACgEAAA8AAABkcnMvZG93bnJldi54bWxMj8FuwjAMhu+T&#10;9g6RJ+0GadigtGuKENp2QkiDSRM305i2okmqJrTl7RdO282WP/3+/mw16ob11LnaGgliGgEjU1hV&#10;m1LC9+FjsgTmPBqFjTUk4UYOVvnjQ4apsoP5on7vSxZCjEtRQuV9m3Luioo0uqltyYTb2XYafVi7&#10;kqsOhxCuGz6LogXXWJvwocKWNhUVl/1VS/gccFi/iPd+ezlvbsfDfPezFSTl89O4fgPmafR/MNz1&#10;gzrkwelkr0Y51kiYiDiQEl4TMQcWgGQWJ8BO92ERA88z/r9C/gsAAP//AwBQSwECLQAUAAYACAAA&#10;ACEAtoM4kv4AAADhAQAAEwAAAAAAAAAAAAAAAAAAAAAAW0NvbnRlbnRfVHlwZXNdLnhtbFBLAQIt&#10;ABQABgAIAAAAIQA4/SH/1gAAAJQBAAALAAAAAAAAAAAAAAAAAC8BAABfcmVscy8ucmVsc1BLAQIt&#10;ABQABgAIAAAAIQAAuSbOqwMAAJwJAAAOAAAAAAAAAAAAAAAAAC4CAABkcnMvZTJvRG9jLnhtbFBL&#10;AQItABQABgAIAAAAIQAKuVXu4QAAAAoBAAAPAAAAAAAAAAAAAAAAAAUGAABkcnMvZG93bnJldi54&#10;bWxQSwUGAAAAAAQABADzAAAAEwcAAAAA&#10;">
                <v:shape id="_x0000_s1047" type="#_x0000_t202" style="position:absolute;left:948;top:2846;width:57360;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5D1C1A" w:rsidRDefault="005D1C1A" w:rsidP="004D5A2A">
                        <w:r>
                          <w:rPr>
                            <w:noProof/>
                            <w:lang w:eastAsia="zh-CN"/>
                          </w:rPr>
                          <w:drawing>
                            <wp:inline distT="0" distB="0" distL="0" distR="0" wp14:anchorId="3CBC2A49" wp14:editId="070BFFE2">
                              <wp:extent cx="5599416" cy="22796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png"/>
                                      <pic:cNvPicPr/>
                                    </pic:nvPicPr>
                                    <pic:blipFill>
                                      <a:blip r:embed="rId23"/>
                                      <a:stretch>
                                        <a:fillRect/>
                                      </a:stretch>
                                    </pic:blipFill>
                                    <pic:spPr>
                                      <a:xfrm>
                                        <a:off x="0" y="0"/>
                                        <a:ext cx="5602080" cy="2280735"/>
                                      </a:xfrm>
                                      <a:prstGeom prst="rect">
                                        <a:avLst/>
                                      </a:prstGeom>
                                    </pic:spPr>
                                  </pic:pic>
                                </a:graphicData>
                              </a:graphic>
                            </wp:inline>
                          </w:drawing>
                        </w:r>
                      </w:p>
                    </w:txbxContent>
                  </v:textbox>
                </v:shape>
                <v:shape id="Text Box 304" o:spid="_x0000_s1048" type="#_x0000_t202" style="position:absolute;top:-984;width:5902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XHMcA&#10;AADcAAAADwAAAGRycy9kb3ducmV2LnhtbESPQUvDQBSE70L/w/IEL2I3Na0tabeliFXx1qRaentk&#10;n0lo9m3IbpP4792C4HGYmW+Y1WYwteiodZVlBZNxBII4t7riQsEh2z0sQDiPrLG2TAp+yMFmPbpZ&#10;YaJtz3vqUl+IAGGXoILS+yaR0uUlGXRj2xAH79u2Bn2QbSF1i32Am1o+RtGTNFhxWCixoeeS8nN6&#10;MQpO98Xxww2vn308i5uXty6bf+lMqbvbYbsE4Wnw/+G/9rtWEEdT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VxzHAAAA3AAAAA8AAAAAAAAAAAAAAAAAmAIAAGRy&#10;cy9kb3ducmV2LnhtbFBLBQYAAAAABAAEAPUAAACMAwAAAAA=&#10;" fillcolor="white [3201]" stroked="f" strokeweight=".5pt">
                  <v:textbox>
                    <w:txbxContent>
                      <w:p w:rsidR="005D1C1A" w:rsidRPr="00D52FBB" w:rsidRDefault="005D1C1A" w:rsidP="004D5A2A">
                        <w:pPr>
                          <w:rPr>
                            <w:sz w:val="20"/>
                          </w:rPr>
                        </w:pPr>
                        <w:r w:rsidRPr="00D52FBB">
                          <w:rPr>
                            <w:b/>
                            <w:sz w:val="20"/>
                          </w:rPr>
                          <w:t xml:space="preserve">Figure </w:t>
                        </w:r>
                        <w:r>
                          <w:rPr>
                            <w:b/>
                            <w:sz w:val="20"/>
                          </w:rPr>
                          <w:t>6</w:t>
                        </w:r>
                        <w:r w:rsidRPr="00D52FBB">
                          <w:rPr>
                            <w:sz w:val="20"/>
                          </w:rPr>
                          <w:t xml:space="preserve">: </w:t>
                        </w:r>
                        <w:r>
                          <w:rPr>
                            <w:sz w:val="20"/>
                          </w:rPr>
                          <w:t xml:space="preserve">The cross-correlation between Bitcoin returns and RV over the four subsample periods for different lead and lag intervals. </w:t>
                        </w:r>
                      </w:p>
                    </w:txbxContent>
                  </v:textbox>
                </v:shape>
              </v:group>
            </w:pict>
          </mc:Fallback>
        </mc:AlternateContent>
      </w:r>
      <w:r>
        <w:rPr>
          <w:b/>
          <w:noProof/>
          <w:lang w:eastAsia="zh-CN"/>
        </w:rPr>
        <mc:AlternateContent>
          <mc:Choice Requires="wpg">
            <w:drawing>
              <wp:anchor distT="0" distB="0" distL="114300" distR="114300" simplePos="0" relativeHeight="251739136" behindDoc="0" locked="0" layoutInCell="1" allowOverlap="1" wp14:anchorId="3A22FA2F" wp14:editId="5D3372D9">
                <wp:simplePos x="0" y="0"/>
                <wp:positionH relativeFrom="column">
                  <wp:posOffset>12526</wp:posOffset>
                </wp:positionH>
                <wp:positionV relativeFrom="paragraph">
                  <wp:posOffset>5974916</wp:posOffset>
                </wp:positionV>
                <wp:extent cx="5873115" cy="2763520"/>
                <wp:effectExtent l="0" t="0" r="0" b="17780"/>
                <wp:wrapNone/>
                <wp:docPr id="312" name="Group 312"/>
                <wp:cNvGraphicFramePr/>
                <a:graphic xmlns:a="http://schemas.openxmlformats.org/drawingml/2006/main">
                  <a:graphicData uri="http://schemas.microsoft.com/office/word/2010/wordprocessingGroup">
                    <wpg:wgp>
                      <wpg:cNvGrpSpPr/>
                      <wpg:grpSpPr>
                        <a:xfrm>
                          <a:off x="0" y="0"/>
                          <a:ext cx="5873115" cy="2763520"/>
                          <a:chOff x="0" y="-98424"/>
                          <a:chExt cx="5902960" cy="2763711"/>
                        </a:xfrm>
                      </wpg:grpSpPr>
                      <wps:wsp>
                        <wps:cNvPr id="313" name="Text Box 2"/>
                        <wps:cNvSpPr txBox="1">
                          <a:spLocks noChangeArrowheads="1"/>
                        </wps:cNvSpPr>
                        <wps:spPr bwMode="auto">
                          <a:xfrm>
                            <a:off x="94890" y="284672"/>
                            <a:ext cx="5735955" cy="2380615"/>
                          </a:xfrm>
                          <a:prstGeom prst="rect">
                            <a:avLst/>
                          </a:prstGeom>
                          <a:solidFill>
                            <a:srgbClr val="FFFFFF"/>
                          </a:solidFill>
                          <a:ln w="9525">
                            <a:solidFill>
                              <a:srgbClr val="000000"/>
                            </a:solidFill>
                            <a:miter lim="800000"/>
                            <a:headEnd/>
                            <a:tailEnd/>
                          </a:ln>
                        </wps:spPr>
                        <wps:txbx>
                          <w:txbxContent>
                            <w:p w:rsidR="005D1C1A" w:rsidRDefault="005D1C1A" w:rsidP="004765FF">
                              <w:r>
                                <w:rPr>
                                  <w:noProof/>
                                  <w:lang w:eastAsia="zh-CN"/>
                                </w:rPr>
                                <w:drawing>
                                  <wp:inline distT="0" distB="0" distL="0" distR="0" wp14:anchorId="6DDE4777" wp14:editId="4E2B2669">
                                    <wp:extent cx="5568593" cy="227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7.png"/>
                                            <pic:cNvPicPr/>
                                          </pic:nvPicPr>
                                          <pic:blipFill>
                                            <a:blip r:embed="rId24"/>
                                            <a:stretch>
                                              <a:fillRect/>
                                            </a:stretch>
                                          </pic:blipFill>
                                          <pic:spPr>
                                            <a:xfrm>
                                              <a:off x="0" y="0"/>
                                              <a:ext cx="5570413" cy="2280395"/>
                                            </a:xfrm>
                                            <a:prstGeom prst="rect">
                                              <a:avLst/>
                                            </a:prstGeom>
                                          </pic:spPr>
                                        </pic:pic>
                                      </a:graphicData>
                                    </a:graphic>
                                  </wp:inline>
                                </w:drawing>
                              </w:r>
                            </w:p>
                          </w:txbxContent>
                        </wps:txbx>
                        <wps:bodyPr rot="0" vert="horz" wrap="square" lIns="91440" tIns="45720" rIns="91440" bIns="45720" anchor="t" anchorCtr="0">
                          <a:noAutofit/>
                        </wps:bodyPr>
                      </wps:wsp>
                      <wps:wsp>
                        <wps:cNvPr id="314" name="Text Box 314"/>
                        <wps:cNvSpPr txBox="1"/>
                        <wps:spPr>
                          <a:xfrm>
                            <a:off x="0" y="-98424"/>
                            <a:ext cx="5902960" cy="383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D52FBB" w:rsidRDefault="005D1C1A" w:rsidP="004765FF">
                              <w:pPr>
                                <w:rPr>
                                  <w:sz w:val="20"/>
                                </w:rPr>
                              </w:pPr>
                              <w:r w:rsidRPr="00D52FBB">
                                <w:rPr>
                                  <w:b/>
                                  <w:sz w:val="20"/>
                                </w:rPr>
                                <w:t xml:space="preserve">Figure </w:t>
                              </w:r>
                              <w:r>
                                <w:rPr>
                                  <w:b/>
                                  <w:sz w:val="20"/>
                                </w:rPr>
                                <w:t>7</w:t>
                              </w:r>
                              <w:r w:rsidRPr="00D52FBB">
                                <w:rPr>
                                  <w:sz w:val="20"/>
                                </w:rPr>
                                <w:t xml:space="preserve">: </w:t>
                              </w:r>
                              <w:r>
                                <w:rPr>
                                  <w:sz w:val="20"/>
                                </w:rPr>
                                <w:t xml:space="preserve">The cross-correlation between Bitcoin RV and volume over the four subsample periods for different lead and lag intervals.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2FA2F" id="Group 312" o:spid="_x0000_s1049" style="position:absolute;left:0;text-align:left;margin-left:1pt;margin-top:470.45pt;width:462.45pt;height:217.6pt;z-index:251739136;mso-width-relative:margin;mso-height-relative:margin" coordorigin=",-984" coordsize="59029,2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EtAMAAJwJAAAOAAAAZHJzL2Uyb0RvYy54bWy8Vllv2zgQfl+g/4Hge2PJ8ilEKbxpEyyQ&#10;tsEmiz7TFGUJpUguSUdKf31nqMOOmwC9UD/IPIZzfPPNkOdv2lqSB2FdpVVG47OIEqG4ziu1y+h/&#10;91evV5Q4z1TOpFYio4/C0TcXr/46b0wqprrUMheWgBLl0sZktPTepJOJ46WomTvTRijYLLStmYep&#10;3U1yyxrQXsvJNIoWk0bb3FjNhXOw+rbbpBdBf1EI7j8WhROeyIyCbz58bfhu8Tu5OGfpzjJTVrx3&#10;g/2EFzWrFBgdVb1lnpG9rb5RVVfcaqcLf8Z1PdFFUXERYoBo4ugkmmur9ybEskubnRlhAmhPcPpp&#10;tfzDw60lVZ7RJJ5SolgNSQp2CS4API3ZpSB1bc2dubX9wq6bYcRtYWv8h1hIG4B9HIEVrSccFuer&#10;ZRLHc0o47E2Xi2Q+7aHnJeTncO71ejWbzrqs8PLdcHwdTdcLSN9wfBnHKDMZrE/QydGnxgCX3AEu&#10;92tw3ZXMiJAFh0CMcCUDXPcY5t+6JT1eQQzBIr6FZSiLQA1nbjT/7IjSlyVTO7GxVjelYDn414WD&#10;joMFPIq4u9Shkm3zXueQFbb3Oig6QXw9W60BG0R2NVssgxMsHaFfJvP1fIA+WUULyMMxdiw11vlr&#10;oWuCg4xaKJpghz3cON+JDiKYaKdllV9VUoaJ3W0vpSUPDArsKvx67U/EpCJNRtfz6byD4kUVUfg9&#10;p6KuPHQKWdUZXY1CLEUA36kc3GSpZ5XsxsAMqYAgA4gdnL7dtoHr8QIt4OZW54+AsdVdZ4BOBoNS&#10;2y+UNNAVMur+3zMrKJH/KMjTOp7NsI2EyWy+BBoTe7yzPd5hioOqjHpKuuGlD60HfVV6A/ksqgDw&#10;wZPeZ6Bv598f4PHsGx4ncShB9Kqn44HJPW7ITAzjhIsdD4+reOThcQ0nqyRahhyMJfyLNMT7QoxE&#10;lH7oD8+wELpPFFioNLK4IziyBYom3Bg9659yx/lHKVBGqn9FASwKvQ4Xwl11sM04F2q0H6RRqgBT&#10;P3Kwlz949SOHuzjgRLCslR8P15XStqvBp5DlnwfIik5+qJ4ubgTjUD7LF8rHGX5VQRO5Yc7fMgs3&#10;KRACa+ojfAqpoQfofkQJVtlz67+3BtW+vtTQm2J4hxgehlizXg7Dwur6EzwiNlj5sPVS0RJ4hHCx&#10;2QQhuLwN8zfqzvChvWOLvG8/MWv6PuqB+h/0cHuw9KSddrKYoO9oBeGCgydAuPP65wq+MY7nIWGH&#10;R9XFVwAAAP//AwBQSwMEFAAGAAgAAAAhAJ00g7zhAAAACgEAAA8AAABkcnMvZG93bnJldi54bWxM&#10;j0FLw0AQhe+C/2EZwZvdJNVoYjalFPVUBFtBvE2z0yQ0uxuy2yT9944nvc3jPd58r1jNphMjDb51&#10;VkG8iECQrZxuba3gc/969wTCB7QaO2dJwYU8rMrrqwJz7Sb7QeMu1IJLrM9RQRNCn0vpq4YM+oXr&#10;ybJ3dIPBwHKopR5w4nLTySSKUmmwtfyhwZ42DVWn3dkoeJtwWi/jl3F7Om4u3/uH969tTErd3szr&#10;ZxCB5vAXhl98RoeSmQ7ubLUXnYKElwQF2X2UgWA/S1I+DhxcPqYxyLKQ/yeUPwAAAP//AwBQSwEC&#10;LQAUAAYACAAAACEAtoM4kv4AAADhAQAAEwAAAAAAAAAAAAAAAAAAAAAAW0NvbnRlbnRfVHlwZXNd&#10;LnhtbFBLAQItABQABgAIAAAAIQA4/SH/1gAAAJQBAAALAAAAAAAAAAAAAAAAAC8BAABfcmVscy8u&#10;cmVsc1BLAQItABQABgAIAAAAIQC/pyHEtAMAAJwJAAAOAAAAAAAAAAAAAAAAAC4CAABkcnMvZTJv&#10;RG9jLnhtbFBLAQItABQABgAIAAAAIQCdNIO84QAAAAoBAAAPAAAAAAAAAAAAAAAAAA4GAABkcnMv&#10;ZG93bnJldi54bWxQSwUGAAAAAAQABADzAAAAHAcAAAAA&#10;">
                <v:shape id="_x0000_s1050" type="#_x0000_t202" style="position:absolute;left:948;top:2846;width:57360;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5D1C1A" w:rsidRDefault="005D1C1A" w:rsidP="004765FF">
                        <w:r>
                          <w:rPr>
                            <w:noProof/>
                            <w:lang w:eastAsia="zh-CN"/>
                          </w:rPr>
                          <w:drawing>
                            <wp:inline distT="0" distB="0" distL="0" distR="0" wp14:anchorId="6DDE4777" wp14:editId="4E2B2669">
                              <wp:extent cx="5568593" cy="227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7.png"/>
                                      <pic:cNvPicPr/>
                                    </pic:nvPicPr>
                                    <pic:blipFill>
                                      <a:blip r:embed="rId25"/>
                                      <a:stretch>
                                        <a:fillRect/>
                                      </a:stretch>
                                    </pic:blipFill>
                                    <pic:spPr>
                                      <a:xfrm>
                                        <a:off x="0" y="0"/>
                                        <a:ext cx="5570413" cy="2280395"/>
                                      </a:xfrm>
                                      <a:prstGeom prst="rect">
                                        <a:avLst/>
                                      </a:prstGeom>
                                    </pic:spPr>
                                  </pic:pic>
                                </a:graphicData>
                              </a:graphic>
                            </wp:inline>
                          </w:drawing>
                        </w:r>
                      </w:p>
                    </w:txbxContent>
                  </v:textbox>
                </v:shape>
                <v:shape id="Text Box 314" o:spid="_x0000_s1051" type="#_x0000_t202" style="position:absolute;top:-984;width:5902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BwccA&#10;AADcAAAADwAAAGRycy9kb3ducmV2LnhtbESPQUvDQBSE74L/YXmCF7GbNm2V2G2Rom3prYlaentk&#10;n0kw+zZk1yT9992C4HGYmW+YxWowteiodZVlBeNRBII4t7riQsFH9v74DMJ5ZI21ZVJwJger5e3N&#10;AhNtez5Ql/pCBAi7BBWU3jeJlC4vyaAb2YY4eN+2NeiDbAupW+wD3NRyEkVzabDisFBiQ+uS8p/0&#10;1yg4PRTHvRs2n308i5u3bZc9felMqfu74fUFhKfB/4f/2jutIB5P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wcHHAAAA3AAAAA8AAAAAAAAAAAAAAAAAmAIAAGRy&#10;cy9kb3ducmV2LnhtbFBLBQYAAAAABAAEAPUAAACMAwAAAAA=&#10;" fillcolor="white [3201]" stroked="f" strokeweight=".5pt">
                  <v:textbox>
                    <w:txbxContent>
                      <w:p w:rsidR="005D1C1A" w:rsidRPr="00D52FBB" w:rsidRDefault="005D1C1A" w:rsidP="004765FF">
                        <w:pPr>
                          <w:rPr>
                            <w:sz w:val="20"/>
                          </w:rPr>
                        </w:pPr>
                        <w:r w:rsidRPr="00D52FBB">
                          <w:rPr>
                            <w:b/>
                            <w:sz w:val="20"/>
                          </w:rPr>
                          <w:t xml:space="preserve">Figure </w:t>
                        </w:r>
                        <w:r>
                          <w:rPr>
                            <w:b/>
                            <w:sz w:val="20"/>
                          </w:rPr>
                          <w:t>7</w:t>
                        </w:r>
                        <w:r w:rsidRPr="00D52FBB">
                          <w:rPr>
                            <w:sz w:val="20"/>
                          </w:rPr>
                          <w:t xml:space="preserve">: </w:t>
                        </w:r>
                        <w:r>
                          <w:rPr>
                            <w:sz w:val="20"/>
                          </w:rPr>
                          <w:t xml:space="preserve">The cross-correlation between Bitcoin RV and volume over the four subsample periods for different lead and lag intervals. </w:t>
                        </w:r>
                      </w:p>
                    </w:txbxContent>
                  </v:textbox>
                </v:shape>
              </v:group>
            </w:pict>
          </mc:Fallback>
        </mc:AlternateContent>
      </w:r>
      <w:r w:rsidR="004D5A2A">
        <w:rPr>
          <w:b/>
          <w:noProof/>
          <w:lang w:eastAsia="zh-CN"/>
        </w:rPr>
        <mc:AlternateContent>
          <mc:Choice Requires="wpg">
            <w:drawing>
              <wp:anchor distT="0" distB="0" distL="114300" distR="114300" simplePos="0" relativeHeight="251735040" behindDoc="0" locked="0" layoutInCell="1" allowOverlap="1" wp14:anchorId="11C90036" wp14:editId="77301584">
                <wp:simplePos x="0" y="0"/>
                <wp:positionH relativeFrom="column">
                  <wp:posOffset>0</wp:posOffset>
                </wp:positionH>
                <wp:positionV relativeFrom="paragraph">
                  <wp:posOffset>0</wp:posOffset>
                </wp:positionV>
                <wp:extent cx="5902960" cy="2763520"/>
                <wp:effectExtent l="0" t="0" r="2540" b="17780"/>
                <wp:wrapNone/>
                <wp:docPr id="7" name="Group 7"/>
                <wp:cNvGraphicFramePr/>
                <a:graphic xmlns:a="http://schemas.openxmlformats.org/drawingml/2006/main">
                  <a:graphicData uri="http://schemas.microsoft.com/office/word/2010/wordprocessingGroup">
                    <wpg:wgp>
                      <wpg:cNvGrpSpPr/>
                      <wpg:grpSpPr>
                        <a:xfrm>
                          <a:off x="0" y="0"/>
                          <a:ext cx="5902960" cy="2763520"/>
                          <a:chOff x="0" y="-98424"/>
                          <a:chExt cx="5902960" cy="2763711"/>
                        </a:xfrm>
                      </wpg:grpSpPr>
                      <wps:wsp>
                        <wps:cNvPr id="10" name="Text Box 2"/>
                        <wps:cNvSpPr txBox="1">
                          <a:spLocks noChangeArrowheads="1"/>
                        </wps:cNvSpPr>
                        <wps:spPr bwMode="auto">
                          <a:xfrm>
                            <a:off x="94890" y="284672"/>
                            <a:ext cx="5735955" cy="2380615"/>
                          </a:xfrm>
                          <a:prstGeom prst="rect">
                            <a:avLst/>
                          </a:prstGeom>
                          <a:solidFill>
                            <a:srgbClr val="FFFFFF"/>
                          </a:solidFill>
                          <a:ln w="9525">
                            <a:solidFill>
                              <a:srgbClr val="000000"/>
                            </a:solidFill>
                            <a:miter lim="800000"/>
                            <a:headEnd/>
                            <a:tailEnd/>
                          </a:ln>
                        </wps:spPr>
                        <wps:txbx>
                          <w:txbxContent>
                            <w:p w:rsidR="005D1C1A" w:rsidRDefault="005D1C1A" w:rsidP="004D5A2A">
                              <w:r>
                                <w:rPr>
                                  <w:noProof/>
                                  <w:lang w:eastAsia="zh-CN"/>
                                </w:rPr>
                                <w:drawing>
                                  <wp:inline distT="0" distB="0" distL="0" distR="0" wp14:anchorId="3850C97D" wp14:editId="0CF4F907">
                                    <wp:extent cx="5599416" cy="2279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26"/>
                                            <a:stretch>
                                              <a:fillRect/>
                                            </a:stretch>
                                          </pic:blipFill>
                                          <pic:spPr>
                                            <a:xfrm>
                                              <a:off x="0" y="0"/>
                                              <a:ext cx="5605807" cy="2282252"/>
                                            </a:xfrm>
                                            <a:prstGeom prst="rect">
                                              <a:avLst/>
                                            </a:prstGeom>
                                          </pic:spPr>
                                        </pic:pic>
                                      </a:graphicData>
                                    </a:graphic>
                                  </wp:inline>
                                </w:drawing>
                              </w:r>
                            </w:p>
                          </w:txbxContent>
                        </wps:txbx>
                        <wps:bodyPr rot="0" vert="horz" wrap="square" lIns="91440" tIns="45720" rIns="91440" bIns="45720" anchor="t" anchorCtr="0">
                          <a:noAutofit/>
                        </wps:bodyPr>
                      </wps:wsp>
                      <wps:wsp>
                        <wps:cNvPr id="15" name="Text Box 15"/>
                        <wps:cNvSpPr txBox="1"/>
                        <wps:spPr>
                          <a:xfrm>
                            <a:off x="0" y="-98424"/>
                            <a:ext cx="5902960" cy="383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3D3CA5" w:rsidRDefault="005D1C1A" w:rsidP="004D5A2A">
                              <w:pPr>
                                <w:rPr>
                                  <w:b/>
                                  <w:sz w:val="20"/>
                                </w:rPr>
                              </w:pPr>
                              <w:r w:rsidRPr="00D52FBB">
                                <w:rPr>
                                  <w:b/>
                                  <w:sz w:val="20"/>
                                </w:rPr>
                                <w:t xml:space="preserve">Figure </w:t>
                              </w:r>
                              <w:r>
                                <w:rPr>
                                  <w:b/>
                                  <w:sz w:val="20"/>
                                </w:rPr>
                                <w:t>5</w:t>
                              </w:r>
                              <w:r w:rsidRPr="00D52FBB">
                                <w:rPr>
                                  <w:sz w:val="20"/>
                                </w:rPr>
                                <w:t xml:space="preserve">: </w:t>
                              </w:r>
                              <w:r>
                                <w:rPr>
                                  <w:sz w:val="20"/>
                                </w:rPr>
                                <w:t xml:space="preserve">The cross-correlation between Bitcoin returns and volume over the four subsample periods for different lead and lag intervals.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C90036" id="Group 7" o:spid="_x0000_s1052" style="position:absolute;left:0;text-align:left;margin-left:0;margin-top:0;width:464.8pt;height:217.6pt;z-index:251735040;mso-width-relative:margin;mso-height-relative:margin" coordorigin=",-984" coordsize="59029,2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qqgMAAJUJAAAOAAAAZHJzL2Uyb0RvYy54bWy0Vm1v2zYQ/j5g/4Hg90aSbdmWEKXw0iYY&#10;kLXBkqGfaYp6QSmSI+lI2a/fkZRkx0uAtev8QebL8Xj33HN3vHw/dBw9MW1aKQqcXMQYMUFl2Yq6&#10;wH883rzbYmQsESXhUrACPzOD31/9/NNlr3K2kI3kJdMIlAiT96rAjbUqjyJDG9YRcyEVE7BZSd0R&#10;C1NdR6UmPWjveLSI43XUS10qLSkzBlY/hE185fVXFaP2c1UZZhEvMNhm/Vf77959o6tLkteaqKal&#10;oxnkO6zoSCvg0lnVB2IJOuj2H6q6lmppZGUvqOwiWVUtZd4H8CaJz7y51fKgvC913tdqhgmgPcPp&#10;u9XST0/3GrVlgTcYCdJBiPytaOOg6VWdg8StVg/qXo8LdZg5b4dKd+4f/ECDB/V5BpUNFlFYTLN4&#10;ka0Bewp7i816mS5G2GkDsTmee5dtV4tViAhtPr51fJMkTiaabo+ckbNNvQIemSNU5r9B9dAQxXwE&#10;jANihCoBbwJWj87LX+SAFgEuL+WwQnaAZcgIzwqj7iT9apCQ1w0RNdtpLfuGkRLMC944u+ECd9TB&#10;bnLjlOz732QJISEHK72iM8Cz1TYDWxyw29V6440g+Yz8ZplmaToiv9zG6yR9AR3JlTb2lskOuUGB&#10;NeSLv4c83RkbUJ5EXJyN5G1503LuJ7reX3ONngjk1o3/jdpfiHGB+gJn6SINULypIva/11R0rYUi&#10;wduuwNtZiOQOwI+iBDNJbknLwxiIwQXwYwIxwGmH/eBpnmynSO1l+QwYaxmKAhQxGDRS/4VRDwWh&#10;wObPA9EMI/6rgDhlyWrlKoifrNINsBjp05396Q4RFFQV2GIUhtfWVx1nq5A7iGfVeoCdmcGS0WZg&#10;bzD5/6cxUOOMxoEgJ2Q88thnf+Clc+KMiYGFpyk8s/A0/5fbZbxZ/0gSukbBZhpyOxWHVzgIpSf2&#10;HBTScTjQ23EFUsa3ipHzL5lj7DNnToaL31kFHPKFzi34JnW8m1DKxHy/l3ZSFVz1LQdH+aNV33I4&#10;+AEn/M1S2Plw1wqpQwa+hKz8OkFWBfkpd4LfDoxj8mRvJI9R9KaFEnJHjL0nGlooEMJl1Gf4VFxC&#10;BZDjCCOXY6+t/9gMFIfuWkJlSuABoqgfuoy1fBpWWnZf4PWwc3kPW2+lLILXB2W7nReCrq2IvRMP&#10;ik7F3RXIx+EL0Wqsohao/0lOrYPkZ8U0yLoA/YtC4Lsb9H7f8MZ3intcnM59wI6vqau/AQAA//8D&#10;AFBLAwQUAAYACAAAACEARJ/khN4AAAAFAQAADwAAAGRycy9kb3ducmV2LnhtbEyPQWvCQBCF74X+&#10;h2UKvdVNYpUasxGRticpqIXibcyOSTA7G7JrEv99t720l4HHe7z3TbYaTSN66lxtWUE8iUAQF1bX&#10;XCr4PLw9vYBwHlljY5kU3MjBKr+/yzDVduAd9XtfilDCLkUFlfdtKqUrKjLoJrYlDt7ZdgZ9kF0p&#10;dYdDKDeNTKJoLg3WHBYqbGlTUXHZX42C9wGH9TR+7beX8+Z2PMw+vrYxKfX4MK6XIDyN/i8MP/gB&#10;HfLAdLJX1k40CsIj/vcGb5Es5iBOCp6nswRknsn/9Pk3AAAA//8DAFBLAQItABQABgAIAAAAIQC2&#10;gziS/gAAAOEBAAATAAAAAAAAAAAAAAAAAAAAAABbQ29udGVudF9UeXBlc10ueG1sUEsBAi0AFAAG&#10;AAgAAAAhADj9If/WAAAAlAEAAAsAAAAAAAAAAAAAAAAALwEAAF9yZWxzLy5yZWxzUEsBAi0AFAAG&#10;AAgAAAAhAHdNYaqqAwAAlQkAAA4AAAAAAAAAAAAAAAAALgIAAGRycy9lMm9Eb2MueG1sUEsBAi0A&#10;FAAGAAgAAAAhAESf5ITeAAAABQEAAA8AAAAAAAAAAAAAAAAABAYAAGRycy9kb3ducmV2LnhtbFBL&#10;BQYAAAAABAAEAPMAAAAPBwAAAAA=&#10;">
                <v:shape id="_x0000_s1053" type="#_x0000_t202" style="position:absolute;left:948;top:2846;width:57360;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D1C1A" w:rsidRDefault="005D1C1A" w:rsidP="004D5A2A">
                        <w:r>
                          <w:rPr>
                            <w:noProof/>
                            <w:lang w:eastAsia="zh-CN"/>
                          </w:rPr>
                          <w:drawing>
                            <wp:inline distT="0" distB="0" distL="0" distR="0" wp14:anchorId="3850C97D" wp14:editId="0CF4F907">
                              <wp:extent cx="5599416" cy="2279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27"/>
                                      <a:stretch>
                                        <a:fillRect/>
                                      </a:stretch>
                                    </pic:blipFill>
                                    <pic:spPr>
                                      <a:xfrm>
                                        <a:off x="0" y="0"/>
                                        <a:ext cx="5605807" cy="2282252"/>
                                      </a:xfrm>
                                      <a:prstGeom prst="rect">
                                        <a:avLst/>
                                      </a:prstGeom>
                                    </pic:spPr>
                                  </pic:pic>
                                </a:graphicData>
                              </a:graphic>
                            </wp:inline>
                          </w:drawing>
                        </w:r>
                      </w:p>
                    </w:txbxContent>
                  </v:textbox>
                </v:shape>
                <v:shape id="Text Box 15" o:spid="_x0000_s1054" type="#_x0000_t202" style="position:absolute;top:-984;width:5902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5D1C1A" w:rsidRPr="003D3CA5" w:rsidRDefault="005D1C1A" w:rsidP="004D5A2A">
                        <w:pPr>
                          <w:rPr>
                            <w:b/>
                            <w:sz w:val="20"/>
                          </w:rPr>
                        </w:pPr>
                        <w:r w:rsidRPr="00D52FBB">
                          <w:rPr>
                            <w:b/>
                            <w:sz w:val="20"/>
                          </w:rPr>
                          <w:t xml:space="preserve">Figure </w:t>
                        </w:r>
                        <w:r>
                          <w:rPr>
                            <w:b/>
                            <w:sz w:val="20"/>
                          </w:rPr>
                          <w:t>5</w:t>
                        </w:r>
                        <w:r w:rsidRPr="00D52FBB">
                          <w:rPr>
                            <w:sz w:val="20"/>
                          </w:rPr>
                          <w:t xml:space="preserve">: </w:t>
                        </w:r>
                        <w:r>
                          <w:rPr>
                            <w:sz w:val="20"/>
                          </w:rPr>
                          <w:t xml:space="preserve">The cross-correlation between Bitcoin returns and volume over the four subsample periods for different lead and lag intervals. </w:t>
                        </w:r>
                      </w:p>
                    </w:txbxContent>
                  </v:textbox>
                </v:shape>
              </v:group>
            </w:pict>
          </mc:Fallback>
        </mc:AlternateContent>
      </w:r>
    </w:p>
    <w:p w:rsidR="00377060" w:rsidRDefault="004765FF" w:rsidP="004765FF">
      <w:pPr>
        <w:pageBreakBefore/>
        <w:jc w:val="both"/>
        <w:rPr>
          <w:b/>
        </w:rPr>
      </w:pPr>
      <w:r>
        <w:rPr>
          <w:b/>
          <w:noProof/>
          <w:lang w:eastAsia="zh-CN"/>
        </w:rPr>
        <mc:AlternateContent>
          <mc:Choice Requires="wpg">
            <w:drawing>
              <wp:anchor distT="0" distB="0" distL="114300" distR="114300" simplePos="0" relativeHeight="251741184" behindDoc="0" locked="0" layoutInCell="1" allowOverlap="1" wp14:anchorId="7BB49F64" wp14:editId="71C27DF2">
                <wp:simplePos x="0" y="0"/>
                <wp:positionH relativeFrom="column">
                  <wp:posOffset>0</wp:posOffset>
                </wp:positionH>
                <wp:positionV relativeFrom="paragraph">
                  <wp:posOffset>0</wp:posOffset>
                </wp:positionV>
                <wp:extent cx="5902960" cy="2763520"/>
                <wp:effectExtent l="0" t="0" r="2540" b="17780"/>
                <wp:wrapNone/>
                <wp:docPr id="368" name="Group 368"/>
                <wp:cNvGraphicFramePr/>
                <a:graphic xmlns:a="http://schemas.openxmlformats.org/drawingml/2006/main">
                  <a:graphicData uri="http://schemas.microsoft.com/office/word/2010/wordprocessingGroup">
                    <wpg:wgp>
                      <wpg:cNvGrpSpPr/>
                      <wpg:grpSpPr>
                        <a:xfrm>
                          <a:off x="0" y="0"/>
                          <a:ext cx="5902960" cy="2763520"/>
                          <a:chOff x="0" y="-98424"/>
                          <a:chExt cx="5902960" cy="2763711"/>
                        </a:xfrm>
                      </wpg:grpSpPr>
                      <wps:wsp>
                        <wps:cNvPr id="371" name="Text Box 2"/>
                        <wps:cNvSpPr txBox="1">
                          <a:spLocks noChangeArrowheads="1"/>
                        </wps:cNvSpPr>
                        <wps:spPr bwMode="auto">
                          <a:xfrm>
                            <a:off x="94890" y="284672"/>
                            <a:ext cx="5735955" cy="2380615"/>
                          </a:xfrm>
                          <a:prstGeom prst="rect">
                            <a:avLst/>
                          </a:prstGeom>
                          <a:solidFill>
                            <a:srgbClr val="FFFFFF"/>
                          </a:solidFill>
                          <a:ln w="9525">
                            <a:solidFill>
                              <a:srgbClr val="000000"/>
                            </a:solidFill>
                            <a:miter lim="800000"/>
                            <a:headEnd/>
                            <a:tailEnd/>
                          </a:ln>
                        </wps:spPr>
                        <wps:txbx>
                          <w:txbxContent>
                            <w:p w:rsidR="005D1C1A" w:rsidRDefault="005D1C1A" w:rsidP="004765FF">
                              <w:r>
                                <w:rPr>
                                  <w:noProof/>
                                  <w:lang w:eastAsia="zh-CN"/>
                                </w:rPr>
                                <w:drawing>
                                  <wp:inline distT="0" distB="0" distL="0" distR="0" wp14:anchorId="50771BAB" wp14:editId="0A34FF73">
                                    <wp:extent cx="5568593" cy="227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8.png"/>
                                            <pic:cNvPicPr/>
                                          </pic:nvPicPr>
                                          <pic:blipFill>
                                            <a:blip r:embed="rId28"/>
                                            <a:stretch>
                                              <a:fillRect/>
                                            </a:stretch>
                                          </pic:blipFill>
                                          <pic:spPr>
                                            <a:xfrm>
                                              <a:off x="0" y="0"/>
                                              <a:ext cx="5572069" cy="2281073"/>
                                            </a:xfrm>
                                            <a:prstGeom prst="rect">
                                              <a:avLst/>
                                            </a:prstGeom>
                                          </pic:spPr>
                                        </pic:pic>
                                      </a:graphicData>
                                    </a:graphic>
                                  </wp:inline>
                                </w:drawing>
                              </w:r>
                            </w:p>
                          </w:txbxContent>
                        </wps:txbx>
                        <wps:bodyPr rot="0" vert="horz" wrap="square" lIns="91440" tIns="45720" rIns="91440" bIns="45720" anchor="t" anchorCtr="0">
                          <a:noAutofit/>
                        </wps:bodyPr>
                      </wps:wsp>
                      <wps:wsp>
                        <wps:cNvPr id="372" name="Text Box 372"/>
                        <wps:cNvSpPr txBox="1"/>
                        <wps:spPr>
                          <a:xfrm>
                            <a:off x="0" y="-98424"/>
                            <a:ext cx="5902960" cy="383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C1A" w:rsidRPr="00D52FBB" w:rsidRDefault="005D1C1A" w:rsidP="004765FF">
                              <w:pPr>
                                <w:rPr>
                                  <w:sz w:val="20"/>
                                </w:rPr>
                              </w:pPr>
                              <w:r w:rsidRPr="00D52FBB">
                                <w:rPr>
                                  <w:b/>
                                  <w:sz w:val="20"/>
                                </w:rPr>
                                <w:t xml:space="preserve">Figure </w:t>
                              </w:r>
                              <w:r>
                                <w:rPr>
                                  <w:b/>
                                  <w:sz w:val="20"/>
                                </w:rPr>
                                <w:t>8</w:t>
                              </w:r>
                              <w:r w:rsidRPr="00D52FBB">
                                <w:rPr>
                                  <w:sz w:val="20"/>
                                </w:rPr>
                                <w:t xml:space="preserve">: </w:t>
                              </w:r>
                              <w:r>
                                <w:rPr>
                                  <w:sz w:val="20"/>
                                </w:rPr>
                                <w:t xml:space="preserve">The cross-correlation between Bitcoin volume </w:t>
                              </w:r>
                              <w:r w:rsidRPr="00377060">
                                <w:rPr>
                                  <w:sz w:val="20"/>
                                  <w:vertAlign w:val="superscript"/>
                                </w:rPr>
                                <w:t xml:space="preserve"> </w:t>
                              </w:r>
                              <w:r>
                                <w:rPr>
                                  <w:sz w:val="20"/>
                                </w:rPr>
                                <w:t xml:space="preserve">and liquidity over four subsample periods for different lead and lag intervals.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49F64" id="Group 368" o:spid="_x0000_s1055" style="position:absolute;left:0;text-align:left;margin-left:0;margin-top:0;width:464.8pt;height:217.6pt;z-index:251741184;mso-width-relative:margin;mso-height-relative:margin" coordorigin=",-984" coordsize="59029,2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i5qwMAAJwJAAAOAAAAZHJzL2Uyb0RvYy54bWy8Vllv2zgQfl+g/4Hge2NZtnwIUQpv2gQL&#10;pG2wyaLPNEUdKEVySTpS+us7JHU4bgL0Qv0g8xjO8c03Q56/6RqOHpg2tRQZnp9FGDFBZV6LMsP/&#10;3V+93mBkLBE54VKwDD8yg99cvPrrvFUpi2Ulec40AiXCpK3KcGWtSmczQyvWEHMmFROwWUjdEAtT&#10;Xc5yTVrQ3vBZHEWrWSt1rrSkzBhYfRs28YXXXxSM2o9FYZhFPMPgm/Vf7b97951dnJO01ERVNe3d&#10;ID/hRUNqAUZHVW+JJeig629UNTXV0sjCnlHZzGRR1JT5GCCaeXQSzbWWB+VjKdO2VCNMAO0JTj+t&#10;ln54uNWozjO8WEGqBGkgSd4ucgsAT6vKFKSutbpTt7pfKMPMRdwVunH/EAvqPLCPI7Css4jCYrKN&#10;4u0K8KewF69XiyTuoacV5Gc693q7WcbLkBVavXvp+Ho+dzKzwfrMOTn61CrgkpngMr8G111FFPNZ&#10;MA6IAa71fIDr3oX5t+xQHPDyYg4sZDtYhrLw1DDqRtLPBgl5WRFRsp3Wsq0YycG/EI5zHCy4ow53&#10;kxqnZN++lzlkhRys9IpOEN8uN1uA1iG7Wa7W3gmSjtCvF8k2SXroF5toNU+eYEdSpY29ZrJBbpBh&#10;DUXj7ZCHG2MDzIOIS7SRvM6vas79RJf7S67RA4ECu/K/XvsTMS5Qm+FtEicBihdVRP73nIqmttAp&#10;eN1keDMKkdQB+E7k4CZJLal5GAMzuACCDCAGOG237zzXA/vc5l7mj4CxlqEzQCeDQSX1F4xa6AoZ&#10;Nv8fiGYY8X8E5Gk7Xy5dG/GTZbIGRUgf7+yPd4igoCrDFqMwvLS+9ThfhdxBPovaAzx50vsM9A0u&#10;/wEex9/weBFI5Lzq6Tgx2TeAwEwXxgkXAw+Pq3jk4XELWGwW0Xr1O2no7gs2EpHboT88w0LoPpFn&#10;oZCOxYHgji1QNP7G6Fn/lDvGPnLmZLj4lxXAIt/r3IK/qybbhFImRvte2kkVYOpHDvbyk1c/cjjE&#10;ASe8ZSnseLiphdShBp9Cln8eICuC/FA9IW4HxlQ+XnQi7Vg+RtGrGprIDTH2lmi4SYEQrqY+wqfg&#10;EnqA7EcYuSp7bv331qA4NJcSehN0a/DOD13NWj4MCy2bT/CI2LnKh62XihbBI4Sy3c4LweWtiL0R&#10;d4oO7d21yPvuE9Gq76MWqP9BDrcHSU/aaZB1CfqOVuAvOHgC+Duvf664N8bx3CdselRdfAUAAP//&#10;AwBQSwMEFAAGAAgAAAAhAESf5ITeAAAABQEAAA8AAABkcnMvZG93bnJldi54bWxMj0FrwkAQhe+F&#10;/odlCr3VTWKVGrMRkbYnKaiF4m3MjkkwOxuyaxL/fbe9tJeBx3u89022Gk0jeupcbVlBPIlAEBdW&#10;11wq+Dy8Pb2AcB5ZY2OZFNzIwSq/v8sw1XbgHfV7X4pQwi5FBZX3bSqlKyoy6Ca2JQ7e2XYGfZBd&#10;KXWHQyg3jUyiaC4N1hwWKmxpU1Fx2V+NgvcBh/U0fu23l/PmdjzMPr62MSn1+DCulyA8jf4vDD/4&#10;AR3ywHSyV9ZONArCI/73Bm+RLOYgTgqep7MEZJ7J//T5NwAAAP//AwBQSwECLQAUAAYACAAAACEA&#10;toM4kv4AAADhAQAAEwAAAAAAAAAAAAAAAAAAAAAAW0NvbnRlbnRfVHlwZXNdLnhtbFBLAQItABQA&#10;BgAIAAAAIQA4/SH/1gAAAJQBAAALAAAAAAAAAAAAAAAAAC8BAABfcmVscy8ucmVsc1BLAQItABQA&#10;BgAIAAAAIQBT5ci5qwMAAJwJAAAOAAAAAAAAAAAAAAAAAC4CAABkcnMvZTJvRG9jLnhtbFBLAQIt&#10;ABQABgAIAAAAIQBEn+SE3gAAAAUBAAAPAAAAAAAAAAAAAAAAAAUGAABkcnMvZG93bnJldi54bWxQ&#10;SwUGAAAAAAQABADzAAAAEAcAAAAA&#10;">
                <v:shape id="_x0000_s1056" type="#_x0000_t202" style="position:absolute;left:948;top:2846;width:57360;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5D1C1A" w:rsidRDefault="005D1C1A" w:rsidP="004765FF">
                        <w:r>
                          <w:rPr>
                            <w:noProof/>
                            <w:lang w:eastAsia="zh-CN"/>
                          </w:rPr>
                          <w:drawing>
                            <wp:inline distT="0" distB="0" distL="0" distR="0" wp14:anchorId="50771BAB" wp14:editId="0A34FF73">
                              <wp:extent cx="5568593" cy="227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8.png"/>
                                      <pic:cNvPicPr/>
                                    </pic:nvPicPr>
                                    <pic:blipFill>
                                      <a:blip r:embed="rId29"/>
                                      <a:stretch>
                                        <a:fillRect/>
                                      </a:stretch>
                                    </pic:blipFill>
                                    <pic:spPr>
                                      <a:xfrm>
                                        <a:off x="0" y="0"/>
                                        <a:ext cx="5572069" cy="2281073"/>
                                      </a:xfrm>
                                      <a:prstGeom prst="rect">
                                        <a:avLst/>
                                      </a:prstGeom>
                                    </pic:spPr>
                                  </pic:pic>
                                </a:graphicData>
                              </a:graphic>
                            </wp:inline>
                          </w:drawing>
                        </w:r>
                      </w:p>
                    </w:txbxContent>
                  </v:textbox>
                </v:shape>
                <v:shape id="Text Box 372" o:spid="_x0000_s1057" type="#_x0000_t202" style="position:absolute;top:-984;width:59029;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ZjsYA&#10;AADcAAAADwAAAGRycy9kb3ducmV2LnhtbESPQWvCQBSE70L/w/KEXkQ3NVgldZUithZvNdrS2yP7&#10;TEKzb0N2m8R/3xUEj8PMfMMs172pREuNKy0reJpEIIgzq0vOFRzTt/EChPPIGivLpOBCDtarh8ES&#10;E207/qT24HMRIOwSVFB4XydSuqwgg25ia+LgnW1j0AfZ5FI32AW4qeQ0ip6lwZLDQoE1bQrKfg9/&#10;RsHPKP/eu/791MWzuN7u2nT+pVOlHof96wsIT72/h2/tD60gnk/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wZjsYAAADcAAAADwAAAAAAAAAAAAAAAACYAgAAZHJz&#10;L2Rvd25yZXYueG1sUEsFBgAAAAAEAAQA9QAAAIsDAAAAAA==&#10;" fillcolor="white [3201]" stroked="f" strokeweight=".5pt">
                  <v:textbox>
                    <w:txbxContent>
                      <w:p w:rsidR="005D1C1A" w:rsidRPr="00D52FBB" w:rsidRDefault="005D1C1A" w:rsidP="004765FF">
                        <w:pPr>
                          <w:rPr>
                            <w:sz w:val="20"/>
                          </w:rPr>
                        </w:pPr>
                        <w:r w:rsidRPr="00D52FBB">
                          <w:rPr>
                            <w:b/>
                            <w:sz w:val="20"/>
                          </w:rPr>
                          <w:t xml:space="preserve">Figure </w:t>
                        </w:r>
                        <w:r>
                          <w:rPr>
                            <w:b/>
                            <w:sz w:val="20"/>
                          </w:rPr>
                          <w:t>8</w:t>
                        </w:r>
                        <w:r w:rsidRPr="00D52FBB">
                          <w:rPr>
                            <w:sz w:val="20"/>
                          </w:rPr>
                          <w:t xml:space="preserve">: </w:t>
                        </w:r>
                        <w:r>
                          <w:rPr>
                            <w:sz w:val="20"/>
                          </w:rPr>
                          <w:t xml:space="preserve">The cross-correlation between Bitcoin volume </w:t>
                        </w:r>
                        <w:r w:rsidRPr="00377060">
                          <w:rPr>
                            <w:sz w:val="20"/>
                            <w:vertAlign w:val="superscript"/>
                          </w:rPr>
                          <w:t xml:space="preserve"> </w:t>
                        </w:r>
                        <w:r>
                          <w:rPr>
                            <w:sz w:val="20"/>
                          </w:rPr>
                          <w:t xml:space="preserve">and liquidity over four subsample periods for different lead and lag intervals. </w:t>
                        </w:r>
                      </w:p>
                    </w:txbxContent>
                  </v:textbox>
                </v:shape>
              </v:group>
            </w:pict>
          </mc:Fallback>
        </mc:AlternateContent>
      </w:r>
    </w:p>
    <w:p w:rsidR="00642A0A" w:rsidRDefault="00642A0A">
      <w:pPr>
        <w:rPr>
          <w:b/>
        </w:rPr>
      </w:pPr>
    </w:p>
    <w:sectPr w:rsidR="00642A0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58A" w:rsidRDefault="0031658A" w:rsidP="00811957">
      <w:r>
        <w:separator/>
      </w:r>
    </w:p>
  </w:endnote>
  <w:endnote w:type="continuationSeparator" w:id="0">
    <w:p w:rsidR="0031658A" w:rsidRDefault="0031658A" w:rsidP="00811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327170"/>
      <w:docPartObj>
        <w:docPartGallery w:val="Page Numbers (Bottom of Page)"/>
        <w:docPartUnique/>
      </w:docPartObj>
    </w:sdtPr>
    <w:sdtEndPr>
      <w:rPr>
        <w:rFonts w:ascii="Times New Roman" w:hAnsi="Times New Roman" w:cs="Times New Roman"/>
        <w:sz w:val="20"/>
      </w:rPr>
    </w:sdtEndPr>
    <w:sdtContent>
      <w:p w:rsidR="005D1C1A" w:rsidRPr="00811957" w:rsidRDefault="005D1C1A">
        <w:pPr>
          <w:pStyle w:val="Footer"/>
          <w:jc w:val="right"/>
          <w:rPr>
            <w:rFonts w:ascii="Times New Roman" w:hAnsi="Times New Roman" w:cs="Times New Roman"/>
            <w:sz w:val="20"/>
          </w:rPr>
        </w:pPr>
        <w:r w:rsidRPr="00811957">
          <w:rPr>
            <w:rFonts w:ascii="Times New Roman" w:hAnsi="Times New Roman" w:cs="Times New Roman"/>
            <w:sz w:val="20"/>
          </w:rPr>
          <w:fldChar w:fldCharType="begin"/>
        </w:r>
        <w:r w:rsidRPr="00811957">
          <w:rPr>
            <w:rFonts w:ascii="Times New Roman" w:hAnsi="Times New Roman" w:cs="Times New Roman"/>
            <w:sz w:val="20"/>
          </w:rPr>
          <w:instrText xml:space="preserve"> PAGE   \* MERGEFORMAT </w:instrText>
        </w:r>
        <w:r w:rsidRPr="00811957">
          <w:rPr>
            <w:rFonts w:ascii="Times New Roman" w:hAnsi="Times New Roman" w:cs="Times New Roman"/>
            <w:sz w:val="20"/>
          </w:rPr>
          <w:fldChar w:fldCharType="separate"/>
        </w:r>
        <w:r w:rsidR="004075A6">
          <w:rPr>
            <w:rFonts w:ascii="Times New Roman" w:hAnsi="Times New Roman" w:cs="Times New Roman"/>
            <w:noProof/>
            <w:sz w:val="20"/>
          </w:rPr>
          <w:t>1</w:t>
        </w:r>
        <w:r w:rsidRPr="00811957">
          <w:rPr>
            <w:rFonts w:ascii="Times New Roman" w:hAnsi="Times New Roman" w:cs="Times New Roman"/>
            <w:noProof/>
            <w:sz w:val="20"/>
          </w:rPr>
          <w:fldChar w:fldCharType="end"/>
        </w:r>
      </w:p>
    </w:sdtContent>
  </w:sdt>
  <w:p w:rsidR="005D1C1A" w:rsidRDefault="005D1C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58A" w:rsidRDefault="0031658A" w:rsidP="00811957">
      <w:r>
        <w:separator/>
      </w:r>
    </w:p>
  </w:footnote>
  <w:footnote w:type="continuationSeparator" w:id="0">
    <w:p w:rsidR="0031658A" w:rsidRDefault="0031658A" w:rsidP="00811957">
      <w:r>
        <w:continuationSeparator/>
      </w:r>
    </w:p>
  </w:footnote>
  <w:footnote w:id="1">
    <w:p w:rsidR="005D1C1A" w:rsidRPr="009E5408" w:rsidRDefault="005D1C1A" w:rsidP="009E5408">
      <w:pPr>
        <w:pStyle w:val="FootnoteText"/>
        <w:jc w:val="both"/>
        <w:rPr>
          <w:rFonts w:ascii="Garamond" w:hAnsi="Garamond" w:cs="Times New Roman"/>
          <w:lang w:val="en-US"/>
        </w:rPr>
      </w:pPr>
      <w:r w:rsidRPr="009E5408">
        <w:rPr>
          <w:rStyle w:val="FootnoteReference"/>
          <w:rFonts w:ascii="Garamond" w:hAnsi="Garamond" w:cs="Times New Roman"/>
        </w:rPr>
        <w:footnoteRef/>
      </w:r>
      <w:r w:rsidRPr="009E5408">
        <w:rPr>
          <w:rFonts w:ascii="Garamond" w:hAnsi="Garamond" w:cs="Times New Roman"/>
        </w:rPr>
        <w:t xml:space="preserve"> </w:t>
      </w:r>
      <w:r w:rsidRPr="009E5408">
        <w:rPr>
          <w:rFonts w:ascii="Garamond" w:hAnsi="Garamond" w:cs="Times New Roman"/>
          <w:lang w:val="en-US"/>
        </w:rPr>
        <w:t>For a discussion on the economics of mining Bitcoin, see Kroll et al (2013).</w:t>
      </w:r>
    </w:p>
  </w:footnote>
  <w:footnote w:id="2">
    <w:p w:rsidR="009E5408" w:rsidRDefault="009E5408" w:rsidP="009E5408">
      <w:pPr>
        <w:pStyle w:val="FootnoteText"/>
        <w:jc w:val="both"/>
      </w:pPr>
      <w:r w:rsidRPr="009E5408">
        <w:rPr>
          <w:rStyle w:val="FootnoteReference"/>
          <w:rFonts w:ascii="Garamond" w:hAnsi="Garamond"/>
        </w:rPr>
        <w:footnoteRef/>
      </w:r>
      <w:r w:rsidRPr="009E5408">
        <w:rPr>
          <w:rFonts w:ascii="Garamond" w:hAnsi="Garamond"/>
        </w:rPr>
        <w:t xml:space="preserve"> See section 2 for a review of the literature on cryptocurrencies.</w:t>
      </w:r>
    </w:p>
  </w:footnote>
  <w:footnote w:id="3">
    <w:p w:rsidR="009E5408" w:rsidRPr="00E221DE" w:rsidRDefault="009E5408" w:rsidP="009E5408">
      <w:pPr>
        <w:jc w:val="both"/>
        <w:rPr>
          <w:rFonts w:ascii="Garamond" w:hAnsi="Garamond"/>
          <w:sz w:val="20"/>
          <w:lang w:eastAsia="zh-TW"/>
        </w:rPr>
      </w:pPr>
      <w:r w:rsidRPr="00E221DE">
        <w:rPr>
          <w:rStyle w:val="FootnoteReference"/>
          <w:rFonts w:ascii="Garamond" w:hAnsi="Garamond"/>
          <w:sz w:val="20"/>
        </w:rPr>
        <w:footnoteRef/>
      </w:r>
      <w:r w:rsidRPr="00E221DE">
        <w:rPr>
          <w:rFonts w:ascii="Garamond" w:hAnsi="Garamond"/>
          <w:sz w:val="20"/>
        </w:rPr>
        <w:t xml:space="preserve"> Corbet et al (2018c) provide a thorough review of the development of the literature among cryptocurrencies.</w:t>
      </w:r>
    </w:p>
    <w:p w:rsidR="009E5408" w:rsidRDefault="009E5408" w:rsidP="009E5408">
      <w:pPr>
        <w:pStyle w:val="FootnoteText"/>
      </w:pPr>
    </w:p>
  </w:footnote>
  <w:footnote w:id="4">
    <w:p w:rsidR="009E5408" w:rsidRPr="002E6881" w:rsidRDefault="009E5408" w:rsidP="009E5408">
      <w:pPr>
        <w:pStyle w:val="FootnoteText"/>
        <w:jc w:val="both"/>
        <w:rPr>
          <w:rFonts w:ascii="Garamond" w:hAnsi="Garamond"/>
        </w:rPr>
      </w:pPr>
      <w:r w:rsidRPr="002E6881">
        <w:rPr>
          <w:rStyle w:val="FootnoteReference"/>
          <w:rFonts w:ascii="Garamond" w:hAnsi="Garamond"/>
        </w:rPr>
        <w:footnoteRef/>
      </w:r>
      <w:r w:rsidRPr="002E6881">
        <w:rPr>
          <w:rFonts w:ascii="Garamond" w:hAnsi="Garamond"/>
        </w:rPr>
        <w:t xml:space="preserve"> </w:t>
      </w:r>
      <w:r w:rsidRPr="002E6881">
        <w:rPr>
          <w:rFonts w:ascii="Garamond" w:hAnsi="Garamond" w:cs="Times New Roman"/>
          <w:szCs w:val="24"/>
          <w:lang w:eastAsia="zh-TW"/>
        </w:rPr>
        <w:t xml:space="preserve">Since there is no daily open or close in the Bitcoin market, our focus follows Admati and Pfleiderer (1988).  </w:t>
      </w:r>
    </w:p>
  </w:footnote>
  <w:footnote w:id="5">
    <w:p w:rsidR="009E5408" w:rsidRPr="002E6881" w:rsidRDefault="009E5408" w:rsidP="009E5408">
      <w:pPr>
        <w:pStyle w:val="FootnoteText"/>
        <w:jc w:val="both"/>
        <w:rPr>
          <w:rFonts w:ascii="Garamond" w:hAnsi="Garamond" w:cs="Times New Roman"/>
          <w:lang w:val="en-US"/>
        </w:rPr>
      </w:pPr>
      <w:r w:rsidRPr="002E6881">
        <w:rPr>
          <w:rStyle w:val="FootnoteReference"/>
          <w:rFonts w:ascii="Garamond" w:hAnsi="Garamond" w:cs="Times New Roman"/>
        </w:rPr>
        <w:footnoteRef/>
      </w:r>
      <w:r w:rsidRPr="002E6881">
        <w:rPr>
          <w:rFonts w:ascii="Garamond" w:hAnsi="Garamond" w:cs="Times New Roman"/>
        </w:rPr>
        <w:t xml:space="preserve"> </w:t>
      </w:r>
      <w:r w:rsidRPr="002E6881">
        <w:rPr>
          <w:rFonts w:ascii="Garamond" w:hAnsi="Garamond" w:cs="Times New Roman"/>
          <w:lang w:val="en-US"/>
        </w:rPr>
        <w:t>Bollerslev et al (2006), Giot (2005) and Dufour et al (2012) report evidence of a return-driven relationship while Bekaert and Wu (2000) and Dennis et al (2006) find evidence of a volatility-driven relationship.</w:t>
      </w:r>
    </w:p>
  </w:footnote>
  <w:footnote w:id="6">
    <w:p w:rsidR="005D1C1A" w:rsidRPr="002E6881" w:rsidRDefault="005D1C1A" w:rsidP="002E6881">
      <w:pPr>
        <w:pStyle w:val="FootnoteText"/>
        <w:jc w:val="both"/>
        <w:rPr>
          <w:rFonts w:ascii="Garamond" w:hAnsi="Garamond" w:cs="Times New Roman"/>
        </w:rPr>
      </w:pPr>
      <w:r w:rsidRPr="002E6881">
        <w:rPr>
          <w:rStyle w:val="FootnoteReference"/>
          <w:rFonts w:ascii="Garamond" w:hAnsi="Garamond" w:cs="Times New Roman"/>
        </w:rPr>
        <w:footnoteRef/>
      </w:r>
      <w:r w:rsidRPr="002E6881">
        <w:rPr>
          <w:rFonts w:ascii="Garamond" w:hAnsi="Garamond" w:cs="Times New Roman"/>
        </w:rPr>
        <w:t xml:space="preserve"> Mt</w:t>
      </w:r>
      <w:r>
        <w:rPr>
          <w:rFonts w:ascii="Garamond" w:hAnsi="Garamond" w:cs="Times New Roman"/>
        </w:rPr>
        <w:t>.G</w:t>
      </w:r>
      <w:r w:rsidRPr="002E6881">
        <w:rPr>
          <w:rFonts w:ascii="Garamond" w:hAnsi="Garamond" w:cs="Times New Roman"/>
        </w:rPr>
        <w:t>ox went bankrupt on 26</w:t>
      </w:r>
      <w:r w:rsidRPr="002E6881">
        <w:rPr>
          <w:rFonts w:ascii="Garamond" w:hAnsi="Garamond" w:cs="Times New Roman"/>
          <w:vertAlign w:val="superscript"/>
        </w:rPr>
        <w:t>th</w:t>
      </w:r>
      <w:r w:rsidRPr="002E6881">
        <w:rPr>
          <w:rFonts w:ascii="Garamond" w:hAnsi="Garamond" w:cs="Times New Roman"/>
        </w:rPr>
        <w:t xml:space="preserve"> February 2014 and so is not included in our study.  Mt</w:t>
      </w:r>
      <w:r>
        <w:rPr>
          <w:rFonts w:ascii="Garamond" w:hAnsi="Garamond" w:cs="Times New Roman"/>
        </w:rPr>
        <w:t>.G</w:t>
      </w:r>
      <w:r w:rsidRPr="002E6881">
        <w:rPr>
          <w:rFonts w:ascii="Garamond" w:hAnsi="Garamond" w:cs="Times New Roman"/>
        </w:rPr>
        <w:t xml:space="preserve">ox was the largest exchange before its bankruptcy.  </w:t>
      </w:r>
      <w:r>
        <w:rPr>
          <w:rFonts w:ascii="Garamond" w:hAnsi="Garamond" w:cs="Times New Roman"/>
        </w:rPr>
        <w:t>BTC-e</w:t>
      </w:r>
      <w:r w:rsidRPr="002E6881">
        <w:rPr>
          <w:rFonts w:ascii="Garamond" w:hAnsi="Garamond" w:cs="Times New Roman"/>
        </w:rPr>
        <w:t xml:space="preserve"> is also studied and reports similar results.  We do not report the results to conserve space but are available from the authors upon request.</w:t>
      </w:r>
    </w:p>
  </w:footnote>
  <w:footnote w:id="7">
    <w:p w:rsidR="005D1C1A" w:rsidRPr="002E6881" w:rsidRDefault="005D1C1A" w:rsidP="00EF62A3">
      <w:pPr>
        <w:pStyle w:val="FootnoteText"/>
        <w:jc w:val="both"/>
        <w:rPr>
          <w:rFonts w:ascii="Garamond" w:hAnsi="Garamond" w:cs="Times New Roman"/>
          <w:lang w:val="en-US"/>
        </w:rPr>
      </w:pPr>
      <w:r w:rsidRPr="002E6881">
        <w:rPr>
          <w:rStyle w:val="FootnoteReference"/>
          <w:rFonts w:ascii="Garamond" w:hAnsi="Garamond" w:cs="Times New Roman"/>
        </w:rPr>
        <w:footnoteRef/>
      </w:r>
      <w:r w:rsidRPr="002E6881">
        <w:rPr>
          <w:rFonts w:ascii="Garamond" w:hAnsi="Garamond" w:cs="Times New Roman"/>
        </w:rPr>
        <w:t xml:space="preserve"> </w:t>
      </w:r>
      <w:r>
        <w:rPr>
          <w:rFonts w:ascii="Garamond" w:hAnsi="Garamond" w:cs="Times New Roman"/>
          <w:lang w:val="en-US"/>
        </w:rPr>
        <w:t>Bitstamp</w:t>
      </w:r>
      <w:r w:rsidRPr="002E6881">
        <w:rPr>
          <w:rFonts w:ascii="Garamond" w:hAnsi="Garamond" w:cs="Times New Roman"/>
          <w:lang w:val="en-US"/>
        </w:rPr>
        <w:t xml:space="preserve"> has suffered some outages related to Distributed Denial service attacks and therefore no data is obtained during these periods.  However, these periods are very infrequent and do not last long (Millet, 2014).</w:t>
      </w:r>
    </w:p>
  </w:footnote>
  <w:footnote w:id="8">
    <w:p w:rsidR="005D1C1A" w:rsidRPr="004D5A2A" w:rsidRDefault="005D1C1A" w:rsidP="004D5A2A">
      <w:pPr>
        <w:pStyle w:val="FootnoteText"/>
        <w:jc w:val="both"/>
        <w:rPr>
          <w:rFonts w:ascii="Garamond" w:hAnsi="Garamond"/>
        </w:rPr>
      </w:pPr>
      <w:r w:rsidRPr="004D5A2A">
        <w:rPr>
          <w:rStyle w:val="FootnoteReference"/>
          <w:rFonts w:ascii="Garamond" w:hAnsi="Garamond"/>
        </w:rPr>
        <w:footnoteRef/>
      </w:r>
      <w:r w:rsidRPr="004D5A2A">
        <w:rPr>
          <w:rFonts w:ascii="Garamond" w:hAnsi="Garamond"/>
        </w:rPr>
        <w:t xml:space="preserve"> We do not include non-parametric volatility measures as these measures have very different properties </w:t>
      </w:r>
      <w:r>
        <w:rPr>
          <w:rFonts w:ascii="Garamond" w:hAnsi="Garamond"/>
        </w:rPr>
        <w:t xml:space="preserve">to </w:t>
      </w:r>
      <w:r w:rsidRPr="004D5A2A">
        <w:rPr>
          <w:rFonts w:ascii="Garamond" w:hAnsi="Garamond"/>
        </w:rPr>
        <w:t xml:space="preserve">the </w:t>
      </w:r>
      <w:r>
        <w:rPr>
          <w:rFonts w:ascii="Garamond" w:hAnsi="Garamond"/>
        </w:rPr>
        <w:t xml:space="preserve">other </w:t>
      </w:r>
      <w:r w:rsidRPr="004D5A2A">
        <w:rPr>
          <w:rFonts w:ascii="Garamond" w:hAnsi="Garamond"/>
        </w:rPr>
        <w:t>variables employed in this study.</w:t>
      </w:r>
    </w:p>
  </w:footnote>
  <w:footnote w:id="9">
    <w:p w:rsidR="005D1C1A" w:rsidRPr="007F67B6" w:rsidRDefault="005D1C1A" w:rsidP="007F67B6">
      <w:pPr>
        <w:pStyle w:val="FootnoteText"/>
        <w:jc w:val="both"/>
        <w:rPr>
          <w:rFonts w:ascii="Garamond" w:hAnsi="Garamond"/>
        </w:rPr>
      </w:pPr>
      <w:r w:rsidRPr="007F67B6">
        <w:rPr>
          <w:rStyle w:val="FootnoteReference"/>
          <w:rFonts w:ascii="Garamond" w:hAnsi="Garamond"/>
        </w:rPr>
        <w:footnoteRef/>
      </w:r>
      <w:r w:rsidRPr="007F67B6">
        <w:rPr>
          <w:rFonts w:ascii="Garamond" w:hAnsi="Garamond"/>
        </w:rPr>
        <w:t xml:space="preserve"> We only report the patterns for variables that show a discernible pattern to conserve space. However all intraday patterns are available upon request from the corresponding author.</w:t>
      </w:r>
    </w:p>
  </w:footnote>
  <w:footnote w:id="10">
    <w:p w:rsidR="005D1C1A" w:rsidRPr="002E6881" w:rsidRDefault="005D1C1A" w:rsidP="00D34F83">
      <w:pPr>
        <w:pStyle w:val="FootnoteText"/>
        <w:jc w:val="both"/>
        <w:rPr>
          <w:rFonts w:ascii="Garamond" w:hAnsi="Garamond"/>
        </w:rPr>
      </w:pPr>
      <w:r w:rsidRPr="002E6881">
        <w:rPr>
          <w:rStyle w:val="FootnoteReference"/>
          <w:rFonts w:ascii="Garamond" w:hAnsi="Garamond" w:cs="Times New Roman"/>
        </w:rPr>
        <w:footnoteRef/>
      </w:r>
      <w:r w:rsidRPr="002E6881">
        <w:rPr>
          <w:rFonts w:ascii="Garamond" w:hAnsi="Garamond" w:cs="Times New Roman"/>
        </w:rPr>
        <w:t xml:space="preserve"> Although investors can trade outside the usual trading hours of stock markets, consistent with the literature we assume that they will conduct most of their trading during normal stock market trading hours.</w:t>
      </w:r>
    </w:p>
  </w:footnote>
  <w:footnote w:id="11">
    <w:p w:rsidR="005D1C1A" w:rsidRPr="00BF22AE" w:rsidRDefault="005D1C1A" w:rsidP="00D34F83">
      <w:pPr>
        <w:pStyle w:val="FootnoteText"/>
        <w:jc w:val="both"/>
        <w:rPr>
          <w:rFonts w:ascii="Garamond" w:hAnsi="Garamond" w:cs="Times New Roman"/>
        </w:rPr>
      </w:pPr>
      <w:r w:rsidRPr="00BF22AE">
        <w:rPr>
          <w:rStyle w:val="FootnoteReference"/>
          <w:rFonts w:ascii="Garamond" w:hAnsi="Garamond" w:cs="Times New Roman"/>
        </w:rPr>
        <w:footnoteRef/>
      </w:r>
      <w:r w:rsidRPr="00BF22AE">
        <w:rPr>
          <w:rFonts w:ascii="Garamond" w:hAnsi="Garamond" w:cs="Times New Roman"/>
        </w:rPr>
        <w:t xml:space="preserve"> The lead-lag relationships at any higher lags are insignificant</w:t>
      </w:r>
      <w:r>
        <w:rPr>
          <w:rFonts w:ascii="Garamond" w:hAnsi="Garamond" w:cs="Times New Roman"/>
        </w:rPr>
        <w:t xml:space="preserve"> but are available upon request from the corresponding author.</w:t>
      </w:r>
    </w:p>
  </w:footnote>
  <w:footnote w:id="12">
    <w:p w:rsidR="005D1C1A" w:rsidRPr="00B5228B" w:rsidRDefault="005D1C1A" w:rsidP="00D34F83">
      <w:pPr>
        <w:pStyle w:val="FootnoteText"/>
        <w:jc w:val="both"/>
        <w:rPr>
          <w:rFonts w:ascii="Garamond" w:hAnsi="Garamond"/>
        </w:rPr>
      </w:pPr>
      <w:r w:rsidRPr="00B5228B">
        <w:rPr>
          <w:rStyle w:val="FootnoteReference"/>
          <w:rFonts w:ascii="Garamond" w:hAnsi="Garamond"/>
        </w:rPr>
        <w:footnoteRef/>
      </w:r>
      <w:r>
        <w:rPr>
          <w:rFonts w:ascii="Garamond" w:hAnsi="Garamond"/>
        </w:rPr>
        <w:t xml:space="preserve"> We only report </w:t>
      </w:r>
      <w:r w:rsidRPr="00B5228B">
        <w:rPr>
          <w:rFonts w:ascii="Garamond" w:hAnsi="Garamond"/>
        </w:rPr>
        <w:t>cross-correlations for variables with a discernible pat</w:t>
      </w:r>
      <w:r>
        <w:rPr>
          <w:rFonts w:ascii="Garamond" w:hAnsi="Garamond"/>
        </w:rPr>
        <w:t>tern. Some relationships offer n</w:t>
      </w:r>
      <w:r w:rsidRPr="00B5228B">
        <w:rPr>
          <w:rFonts w:ascii="Garamond" w:hAnsi="Garamond"/>
        </w:rPr>
        <w:t>o pattern and therefore are not included to conserve space but are available upon request from the corresponding author.</w:t>
      </w:r>
    </w:p>
  </w:footnote>
  <w:footnote w:id="13">
    <w:p w:rsidR="005D1C1A" w:rsidRPr="00E73018" w:rsidRDefault="005D1C1A" w:rsidP="00E73018">
      <w:pPr>
        <w:pStyle w:val="FootnoteText"/>
        <w:jc w:val="both"/>
        <w:rPr>
          <w:rFonts w:ascii="Garamond" w:hAnsi="Garamond"/>
        </w:rPr>
      </w:pPr>
      <w:r w:rsidRPr="00E73018">
        <w:rPr>
          <w:rStyle w:val="FootnoteReference"/>
          <w:rFonts w:ascii="Garamond" w:hAnsi="Garamond"/>
        </w:rPr>
        <w:footnoteRef/>
      </w:r>
      <w:r w:rsidRPr="00E73018">
        <w:rPr>
          <w:rFonts w:ascii="Garamond" w:hAnsi="Garamond"/>
        </w:rPr>
        <w:t xml:space="preserve"> All variables are noted to be stationary through the Augmented Dickey-Fuller unit root test and the KPSS test for stationarity. Results of these tests are available upon request from the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167962"/>
    <w:multiLevelType w:val="hybridMultilevel"/>
    <w:tmpl w:val="DB7E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CE19BB"/>
    <w:multiLevelType w:val="hybridMultilevel"/>
    <w:tmpl w:val="8B12B27A"/>
    <w:lvl w:ilvl="0" w:tplc="04090001">
      <w:start w:val="1"/>
      <w:numFmt w:val="bullet"/>
      <w:lvlText w:val=""/>
      <w:lvlJc w:val="left"/>
      <w:pPr>
        <w:ind w:left="5298" w:hanging="360"/>
      </w:pPr>
      <w:rPr>
        <w:rFonts w:ascii="Symbol" w:hAnsi="Symbol" w:hint="default"/>
      </w:rPr>
    </w:lvl>
    <w:lvl w:ilvl="1" w:tplc="04090003" w:tentative="1">
      <w:start w:val="1"/>
      <w:numFmt w:val="bullet"/>
      <w:lvlText w:val="o"/>
      <w:lvlJc w:val="left"/>
      <w:pPr>
        <w:ind w:left="6018" w:hanging="360"/>
      </w:pPr>
      <w:rPr>
        <w:rFonts w:ascii="Courier New" w:hAnsi="Courier New" w:cs="Courier New" w:hint="default"/>
      </w:rPr>
    </w:lvl>
    <w:lvl w:ilvl="2" w:tplc="04090005" w:tentative="1">
      <w:start w:val="1"/>
      <w:numFmt w:val="bullet"/>
      <w:lvlText w:val=""/>
      <w:lvlJc w:val="left"/>
      <w:pPr>
        <w:ind w:left="6738" w:hanging="360"/>
      </w:pPr>
      <w:rPr>
        <w:rFonts w:ascii="Wingdings" w:hAnsi="Wingdings" w:hint="default"/>
      </w:rPr>
    </w:lvl>
    <w:lvl w:ilvl="3" w:tplc="04090001" w:tentative="1">
      <w:start w:val="1"/>
      <w:numFmt w:val="bullet"/>
      <w:lvlText w:val=""/>
      <w:lvlJc w:val="left"/>
      <w:pPr>
        <w:ind w:left="7458" w:hanging="360"/>
      </w:pPr>
      <w:rPr>
        <w:rFonts w:ascii="Symbol" w:hAnsi="Symbol" w:hint="default"/>
      </w:rPr>
    </w:lvl>
    <w:lvl w:ilvl="4" w:tplc="04090003" w:tentative="1">
      <w:start w:val="1"/>
      <w:numFmt w:val="bullet"/>
      <w:lvlText w:val="o"/>
      <w:lvlJc w:val="left"/>
      <w:pPr>
        <w:ind w:left="8178" w:hanging="360"/>
      </w:pPr>
      <w:rPr>
        <w:rFonts w:ascii="Courier New" w:hAnsi="Courier New" w:cs="Courier New" w:hint="default"/>
      </w:rPr>
    </w:lvl>
    <w:lvl w:ilvl="5" w:tplc="04090005" w:tentative="1">
      <w:start w:val="1"/>
      <w:numFmt w:val="bullet"/>
      <w:lvlText w:val=""/>
      <w:lvlJc w:val="left"/>
      <w:pPr>
        <w:ind w:left="8898" w:hanging="360"/>
      </w:pPr>
      <w:rPr>
        <w:rFonts w:ascii="Wingdings" w:hAnsi="Wingdings" w:hint="default"/>
      </w:rPr>
    </w:lvl>
    <w:lvl w:ilvl="6" w:tplc="04090001" w:tentative="1">
      <w:start w:val="1"/>
      <w:numFmt w:val="bullet"/>
      <w:lvlText w:val=""/>
      <w:lvlJc w:val="left"/>
      <w:pPr>
        <w:ind w:left="9618" w:hanging="360"/>
      </w:pPr>
      <w:rPr>
        <w:rFonts w:ascii="Symbol" w:hAnsi="Symbol" w:hint="default"/>
      </w:rPr>
    </w:lvl>
    <w:lvl w:ilvl="7" w:tplc="04090003" w:tentative="1">
      <w:start w:val="1"/>
      <w:numFmt w:val="bullet"/>
      <w:lvlText w:val="o"/>
      <w:lvlJc w:val="left"/>
      <w:pPr>
        <w:ind w:left="10338" w:hanging="360"/>
      </w:pPr>
      <w:rPr>
        <w:rFonts w:ascii="Courier New" w:hAnsi="Courier New" w:cs="Courier New" w:hint="default"/>
      </w:rPr>
    </w:lvl>
    <w:lvl w:ilvl="8" w:tplc="04090005" w:tentative="1">
      <w:start w:val="1"/>
      <w:numFmt w:val="bullet"/>
      <w:lvlText w:val=""/>
      <w:lvlJc w:val="left"/>
      <w:pPr>
        <w:ind w:left="11058" w:hanging="360"/>
      </w:pPr>
      <w:rPr>
        <w:rFonts w:ascii="Wingdings" w:hAnsi="Wingdings" w:hint="default"/>
      </w:rPr>
    </w:lvl>
  </w:abstractNum>
  <w:abstractNum w:abstractNumId="2" w15:restartNumberingAfterBreak="0">
    <w:nsid w:val="6A017FFC"/>
    <w:multiLevelType w:val="hybridMultilevel"/>
    <w:tmpl w:val="7B82A8D4"/>
    <w:lvl w:ilvl="0" w:tplc="B56C6A88">
      <w:start w:val="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64" w:dllVersion="6" w:nlCheck="1" w:checkStyle="0"/>
  <w:activeWritingStyle w:appName="MSWord" w:lang="en-GB"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AD7"/>
    <w:rsid w:val="00000D18"/>
    <w:rsid w:val="00004232"/>
    <w:rsid w:val="00007F4E"/>
    <w:rsid w:val="00010DDD"/>
    <w:rsid w:val="00011375"/>
    <w:rsid w:val="00012251"/>
    <w:rsid w:val="00015F39"/>
    <w:rsid w:val="00021A7B"/>
    <w:rsid w:val="00026ACD"/>
    <w:rsid w:val="00027CBE"/>
    <w:rsid w:val="00030966"/>
    <w:rsid w:val="00033FF5"/>
    <w:rsid w:val="00037037"/>
    <w:rsid w:val="00041B5C"/>
    <w:rsid w:val="000555C4"/>
    <w:rsid w:val="0006671C"/>
    <w:rsid w:val="0007548B"/>
    <w:rsid w:val="00075831"/>
    <w:rsid w:val="000825B7"/>
    <w:rsid w:val="00087FC7"/>
    <w:rsid w:val="00091141"/>
    <w:rsid w:val="00092430"/>
    <w:rsid w:val="000939EA"/>
    <w:rsid w:val="00094C79"/>
    <w:rsid w:val="000D400B"/>
    <w:rsid w:val="000D6922"/>
    <w:rsid w:val="000E6D30"/>
    <w:rsid w:val="000E78B5"/>
    <w:rsid w:val="000F30A4"/>
    <w:rsid w:val="00107748"/>
    <w:rsid w:val="00131566"/>
    <w:rsid w:val="00131BC7"/>
    <w:rsid w:val="0013204B"/>
    <w:rsid w:val="0013665C"/>
    <w:rsid w:val="001379CC"/>
    <w:rsid w:val="0014640B"/>
    <w:rsid w:val="001527D0"/>
    <w:rsid w:val="001527D8"/>
    <w:rsid w:val="001612B8"/>
    <w:rsid w:val="00167CDD"/>
    <w:rsid w:val="001706E0"/>
    <w:rsid w:val="00171019"/>
    <w:rsid w:val="00175462"/>
    <w:rsid w:val="001766FC"/>
    <w:rsid w:val="001812D9"/>
    <w:rsid w:val="00190AD7"/>
    <w:rsid w:val="001B0E76"/>
    <w:rsid w:val="001B4AEB"/>
    <w:rsid w:val="001B560E"/>
    <w:rsid w:val="001C03EF"/>
    <w:rsid w:val="001C7320"/>
    <w:rsid w:val="001D5A6B"/>
    <w:rsid w:val="001E2A0B"/>
    <w:rsid w:val="001E34B4"/>
    <w:rsid w:val="001E43A5"/>
    <w:rsid w:val="001E4914"/>
    <w:rsid w:val="001E6EF1"/>
    <w:rsid w:val="001F428A"/>
    <w:rsid w:val="0020512E"/>
    <w:rsid w:val="00217B0B"/>
    <w:rsid w:val="0022126C"/>
    <w:rsid w:val="00224E06"/>
    <w:rsid w:val="00226B92"/>
    <w:rsid w:val="00233F19"/>
    <w:rsid w:val="002416A9"/>
    <w:rsid w:val="00245174"/>
    <w:rsid w:val="00247DD0"/>
    <w:rsid w:val="002528F6"/>
    <w:rsid w:val="00262C42"/>
    <w:rsid w:val="00262D01"/>
    <w:rsid w:val="00271595"/>
    <w:rsid w:val="00276CF9"/>
    <w:rsid w:val="0028002A"/>
    <w:rsid w:val="002A1F2F"/>
    <w:rsid w:val="002A647D"/>
    <w:rsid w:val="002B1D41"/>
    <w:rsid w:val="002B221A"/>
    <w:rsid w:val="002C705E"/>
    <w:rsid w:val="002D0B4E"/>
    <w:rsid w:val="002D2AA5"/>
    <w:rsid w:val="002E07DB"/>
    <w:rsid w:val="002E1C9C"/>
    <w:rsid w:val="002E1E46"/>
    <w:rsid w:val="002E3E7A"/>
    <w:rsid w:val="002E6881"/>
    <w:rsid w:val="002F33FA"/>
    <w:rsid w:val="002F3E0B"/>
    <w:rsid w:val="00304113"/>
    <w:rsid w:val="00305612"/>
    <w:rsid w:val="00312614"/>
    <w:rsid w:val="0031658A"/>
    <w:rsid w:val="003232BE"/>
    <w:rsid w:val="00323EAA"/>
    <w:rsid w:val="00324133"/>
    <w:rsid w:val="00326D3D"/>
    <w:rsid w:val="00327154"/>
    <w:rsid w:val="00330BAC"/>
    <w:rsid w:val="0034503B"/>
    <w:rsid w:val="0034657E"/>
    <w:rsid w:val="00346F15"/>
    <w:rsid w:val="00360B2F"/>
    <w:rsid w:val="00361132"/>
    <w:rsid w:val="003642A0"/>
    <w:rsid w:val="003647F4"/>
    <w:rsid w:val="0037127C"/>
    <w:rsid w:val="00372F1C"/>
    <w:rsid w:val="00373DD4"/>
    <w:rsid w:val="00377060"/>
    <w:rsid w:val="0038122F"/>
    <w:rsid w:val="00384522"/>
    <w:rsid w:val="00385A1A"/>
    <w:rsid w:val="003878E0"/>
    <w:rsid w:val="00395A22"/>
    <w:rsid w:val="003A23DB"/>
    <w:rsid w:val="003B67A5"/>
    <w:rsid w:val="003C1917"/>
    <w:rsid w:val="003D2D9A"/>
    <w:rsid w:val="003D313A"/>
    <w:rsid w:val="003D3CA5"/>
    <w:rsid w:val="003D5BB0"/>
    <w:rsid w:val="003D5C2D"/>
    <w:rsid w:val="003E0AE7"/>
    <w:rsid w:val="003F466E"/>
    <w:rsid w:val="003F6FE0"/>
    <w:rsid w:val="003F704D"/>
    <w:rsid w:val="0040073A"/>
    <w:rsid w:val="00403C88"/>
    <w:rsid w:val="004075A6"/>
    <w:rsid w:val="00410758"/>
    <w:rsid w:val="0041463F"/>
    <w:rsid w:val="00414834"/>
    <w:rsid w:val="00416956"/>
    <w:rsid w:val="00424A1B"/>
    <w:rsid w:val="004423C0"/>
    <w:rsid w:val="00467228"/>
    <w:rsid w:val="004677E2"/>
    <w:rsid w:val="004734F0"/>
    <w:rsid w:val="004765FF"/>
    <w:rsid w:val="004776C2"/>
    <w:rsid w:val="00482B62"/>
    <w:rsid w:val="004869D0"/>
    <w:rsid w:val="00496951"/>
    <w:rsid w:val="00496D5D"/>
    <w:rsid w:val="004A01FF"/>
    <w:rsid w:val="004A1492"/>
    <w:rsid w:val="004A4227"/>
    <w:rsid w:val="004A4F59"/>
    <w:rsid w:val="004C0FB9"/>
    <w:rsid w:val="004C3836"/>
    <w:rsid w:val="004C52A0"/>
    <w:rsid w:val="004D2076"/>
    <w:rsid w:val="004D5A2A"/>
    <w:rsid w:val="004E1A2C"/>
    <w:rsid w:val="004E1FED"/>
    <w:rsid w:val="004F49F1"/>
    <w:rsid w:val="004F5647"/>
    <w:rsid w:val="00504221"/>
    <w:rsid w:val="00510FAB"/>
    <w:rsid w:val="005126A2"/>
    <w:rsid w:val="005230A2"/>
    <w:rsid w:val="005238E9"/>
    <w:rsid w:val="00553BF4"/>
    <w:rsid w:val="00555445"/>
    <w:rsid w:val="005609EA"/>
    <w:rsid w:val="00575174"/>
    <w:rsid w:val="00575D08"/>
    <w:rsid w:val="00583864"/>
    <w:rsid w:val="00583BBF"/>
    <w:rsid w:val="005A1C62"/>
    <w:rsid w:val="005A4A39"/>
    <w:rsid w:val="005B0F5B"/>
    <w:rsid w:val="005D1C1A"/>
    <w:rsid w:val="005E3B9A"/>
    <w:rsid w:val="005F3512"/>
    <w:rsid w:val="0060370F"/>
    <w:rsid w:val="00604013"/>
    <w:rsid w:val="00604614"/>
    <w:rsid w:val="00604F12"/>
    <w:rsid w:val="006264ED"/>
    <w:rsid w:val="00642A0A"/>
    <w:rsid w:val="00644526"/>
    <w:rsid w:val="00652A65"/>
    <w:rsid w:val="00652C5E"/>
    <w:rsid w:val="00654C2B"/>
    <w:rsid w:val="00657DC8"/>
    <w:rsid w:val="0067379C"/>
    <w:rsid w:val="00684476"/>
    <w:rsid w:val="006953E3"/>
    <w:rsid w:val="00695D20"/>
    <w:rsid w:val="00695F6E"/>
    <w:rsid w:val="00696D18"/>
    <w:rsid w:val="00697D8C"/>
    <w:rsid w:val="006B3ACD"/>
    <w:rsid w:val="006C3A8C"/>
    <w:rsid w:val="006E2B85"/>
    <w:rsid w:val="006E2E68"/>
    <w:rsid w:val="006F1670"/>
    <w:rsid w:val="006F2279"/>
    <w:rsid w:val="006F54EF"/>
    <w:rsid w:val="00702CCF"/>
    <w:rsid w:val="00703E23"/>
    <w:rsid w:val="00704C0D"/>
    <w:rsid w:val="00705374"/>
    <w:rsid w:val="007128D5"/>
    <w:rsid w:val="00714B0F"/>
    <w:rsid w:val="00721FF5"/>
    <w:rsid w:val="00727E84"/>
    <w:rsid w:val="0074224C"/>
    <w:rsid w:val="00750826"/>
    <w:rsid w:val="0075564D"/>
    <w:rsid w:val="007639C4"/>
    <w:rsid w:val="00770322"/>
    <w:rsid w:val="007715B4"/>
    <w:rsid w:val="00776D11"/>
    <w:rsid w:val="007772FF"/>
    <w:rsid w:val="00777D06"/>
    <w:rsid w:val="00780307"/>
    <w:rsid w:val="00781E04"/>
    <w:rsid w:val="007831E5"/>
    <w:rsid w:val="00784795"/>
    <w:rsid w:val="00784FB2"/>
    <w:rsid w:val="0078549B"/>
    <w:rsid w:val="007A3834"/>
    <w:rsid w:val="007A74B7"/>
    <w:rsid w:val="007B0303"/>
    <w:rsid w:val="007B07E0"/>
    <w:rsid w:val="007B41C6"/>
    <w:rsid w:val="007C459E"/>
    <w:rsid w:val="007D2A48"/>
    <w:rsid w:val="007D5315"/>
    <w:rsid w:val="007E0CB6"/>
    <w:rsid w:val="007F32F5"/>
    <w:rsid w:val="007F67B6"/>
    <w:rsid w:val="00802857"/>
    <w:rsid w:val="00802F2E"/>
    <w:rsid w:val="00803397"/>
    <w:rsid w:val="00803681"/>
    <w:rsid w:val="00811957"/>
    <w:rsid w:val="0081619D"/>
    <w:rsid w:val="008201AD"/>
    <w:rsid w:val="0082225F"/>
    <w:rsid w:val="00831D1F"/>
    <w:rsid w:val="00833BC0"/>
    <w:rsid w:val="00841983"/>
    <w:rsid w:val="008604A9"/>
    <w:rsid w:val="008658CE"/>
    <w:rsid w:val="00875A03"/>
    <w:rsid w:val="00881FEB"/>
    <w:rsid w:val="00890B7E"/>
    <w:rsid w:val="00892344"/>
    <w:rsid w:val="00896FB9"/>
    <w:rsid w:val="008A644E"/>
    <w:rsid w:val="008A6850"/>
    <w:rsid w:val="008A6D2C"/>
    <w:rsid w:val="008B34C5"/>
    <w:rsid w:val="008B4058"/>
    <w:rsid w:val="008C0023"/>
    <w:rsid w:val="008D1F29"/>
    <w:rsid w:val="008D4DCD"/>
    <w:rsid w:val="008E1068"/>
    <w:rsid w:val="008E241F"/>
    <w:rsid w:val="008E4996"/>
    <w:rsid w:val="008F09E2"/>
    <w:rsid w:val="008F53B0"/>
    <w:rsid w:val="008F7F2B"/>
    <w:rsid w:val="00904390"/>
    <w:rsid w:val="00905DD6"/>
    <w:rsid w:val="00907368"/>
    <w:rsid w:val="00911926"/>
    <w:rsid w:val="009306D5"/>
    <w:rsid w:val="00930C5A"/>
    <w:rsid w:val="009318C7"/>
    <w:rsid w:val="00934D0E"/>
    <w:rsid w:val="00936094"/>
    <w:rsid w:val="00940205"/>
    <w:rsid w:val="00964A30"/>
    <w:rsid w:val="00965CDB"/>
    <w:rsid w:val="00970BE7"/>
    <w:rsid w:val="00975A17"/>
    <w:rsid w:val="009869CD"/>
    <w:rsid w:val="009B2BDF"/>
    <w:rsid w:val="009B7ACD"/>
    <w:rsid w:val="009C5152"/>
    <w:rsid w:val="009C782C"/>
    <w:rsid w:val="009D2086"/>
    <w:rsid w:val="009D3FD1"/>
    <w:rsid w:val="009D60DB"/>
    <w:rsid w:val="009D6E0F"/>
    <w:rsid w:val="009E5408"/>
    <w:rsid w:val="009F308F"/>
    <w:rsid w:val="00A053E1"/>
    <w:rsid w:val="00A074A4"/>
    <w:rsid w:val="00A10B36"/>
    <w:rsid w:val="00A10F5D"/>
    <w:rsid w:val="00A11592"/>
    <w:rsid w:val="00A1518C"/>
    <w:rsid w:val="00A1610F"/>
    <w:rsid w:val="00A22942"/>
    <w:rsid w:val="00A252B5"/>
    <w:rsid w:val="00A26FF7"/>
    <w:rsid w:val="00A3172B"/>
    <w:rsid w:val="00A32389"/>
    <w:rsid w:val="00A32526"/>
    <w:rsid w:val="00A53168"/>
    <w:rsid w:val="00A553F2"/>
    <w:rsid w:val="00A77F82"/>
    <w:rsid w:val="00A81A19"/>
    <w:rsid w:val="00AA5029"/>
    <w:rsid w:val="00AA5D9C"/>
    <w:rsid w:val="00AB15C5"/>
    <w:rsid w:val="00AB7C48"/>
    <w:rsid w:val="00AE7E41"/>
    <w:rsid w:val="00AF1F29"/>
    <w:rsid w:val="00AF3FFD"/>
    <w:rsid w:val="00B0025E"/>
    <w:rsid w:val="00B067B4"/>
    <w:rsid w:val="00B138A4"/>
    <w:rsid w:val="00B17DA8"/>
    <w:rsid w:val="00B24F7C"/>
    <w:rsid w:val="00B31F12"/>
    <w:rsid w:val="00B51F7C"/>
    <w:rsid w:val="00B659CB"/>
    <w:rsid w:val="00B77E40"/>
    <w:rsid w:val="00B863E3"/>
    <w:rsid w:val="00B8730E"/>
    <w:rsid w:val="00B94031"/>
    <w:rsid w:val="00B97DF9"/>
    <w:rsid w:val="00BA0C39"/>
    <w:rsid w:val="00BA6B07"/>
    <w:rsid w:val="00BA738C"/>
    <w:rsid w:val="00BA77AA"/>
    <w:rsid w:val="00BB30E1"/>
    <w:rsid w:val="00BB3A57"/>
    <w:rsid w:val="00BC3B3A"/>
    <w:rsid w:val="00BC3C0C"/>
    <w:rsid w:val="00BC7780"/>
    <w:rsid w:val="00BD2B62"/>
    <w:rsid w:val="00BD2F28"/>
    <w:rsid w:val="00BE2FDF"/>
    <w:rsid w:val="00BF0C18"/>
    <w:rsid w:val="00BF22AE"/>
    <w:rsid w:val="00BF522C"/>
    <w:rsid w:val="00BF5F3B"/>
    <w:rsid w:val="00C1712B"/>
    <w:rsid w:val="00C174D4"/>
    <w:rsid w:val="00C22EF6"/>
    <w:rsid w:val="00C41471"/>
    <w:rsid w:val="00C5166F"/>
    <w:rsid w:val="00C5599C"/>
    <w:rsid w:val="00C55F8E"/>
    <w:rsid w:val="00C65C79"/>
    <w:rsid w:val="00C679CF"/>
    <w:rsid w:val="00C7090F"/>
    <w:rsid w:val="00C76A5D"/>
    <w:rsid w:val="00C8694D"/>
    <w:rsid w:val="00CA3EDF"/>
    <w:rsid w:val="00CB0DAD"/>
    <w:rsid w:val="00CB543F"/>
    <w:rsid w:val="00CB5C2B"/>
    <w:rsid w:val="00CC2B17"/>
    <w:rsid w:val="00CC56EA"/>
    <w:rsid w:val="00CC677D"/>
    <w:rsid w:val="00CD07FF"/>
    <w:rsid w:val="00CD72EF"/>
    <w:rsid w:val="00CE4CD4"/>
    <w:rsid w:val="00CE6737"/>
    <w:rsid w:val="00CE7088"/>
    <w:rsid w:val="00CF25C7"/>
    <w:rsid w:val="00D001D4"/>
    <w:rsid w:val="00D0412B"/>
    <w:rsid w:val="00D0705C"/>
    <w:rsid w:val="00D1118B"/>
    <w:rsid w:val="00D11B9C"/>
    <w:rsid w:val="00D14827"/>
    <w:rsid w:val="00D163AD"/>
    <w:rsid w:val="00D34F83"/>
    <w:rsid w:val="00D3565A"/>
    <w:rsid w:val="00D35C48"/>
    <w:rsid w:val="00D36F1F"/>
    <w:rsid w:val="00D37A39"/>
    <w:rsid w:val="00D435BD"/>
    <w:rsid w:val="00D52FBB"/>
    <w:rsid w:val="00D621FC"/>
    <w:rsid w:val="00D76ACC"/>
    <w:rsid w:val="00D84A0D"/>
    <w:rsid w:val="00DA2B09"/>
    <w:rsid w:val="00DA6FAD"/>
    <w:rsid w:val="00DB7C00"/>
    <w:rsid w:val="00DC54F2"/>
    <w:rsid w:val="00DC7F72"/>
    <w:rsid w:val="00DD087F"/>
    <w:rsid w:val="00DD78E0"/>
    <w:rsid w:val="00DE049D"/>
    <w:rsid w:val="00E04592"/>
    <w:rsid w:val="00E075A6"/>
    <w:rsid w:val="00E221DE"/>
    <w:rsid w:val="00E23842"/>
    <w:rsid w:val="00E278E9"/>
    <w:rsid w:val="00E316F1"/>
    <w:rsid w:val="00E4022F"/>
    <w:rsid w:val="00E40513"/>
    <w:rsid w:val="00E44800"/>
    <w:rsid w:val="00E450B7"/>
    <w:rsid w:val="00E51C2A"/>
    <w:rsid w:val="00E52B7B"/>
    <w:rsid w:val="00E56D48"/>
    <w:rsid w:val="00E62602"/>
    <w:rsid w:val="00E63024"/>
    <w:rsid w:val="00E713B9"/>
    <w:rsid w:val="00E73018"/>
    <w:rsid w:val="00E736B8"/>
    <w:rsid w:val="00E7715A"/>
    <w:rsid w:val="00E81A4E"/>
    <w:rsid w:val="00E84113"/>
    <w:rsid w:val="00E914E5"/>
    <w:rsid w:val="00EB0809"/>
    <w:rsid w:val="00EC27A1"/>
    <w:rsid w:val="00EC5917"/>
    <w:rsid w:val="00ED0E9B"/>
    <w:rsid w:val="00ED15D2"/>
    <w:rsid w:val="00ED18B2"/>
    <w:rsid w:val="00EE1E6B"/>
    <w:rsid w:val="00EE6C85"/>
    <w:rsid w:val="00EF041E"/>
    <w:rsid w:val="00EF09A7"/>
    <w:rsid w:val="00EF0BBA"/>
    <w:rsid w:val="00EF2261"/>
    <w:rsid w:val="00EF62A3"/>
    <w:rsid w:val="00EF6C1B"/>
    <w:rsid w:val="00F04544"/>
    <w:rsid w:val="00F052B9"/>
    <w:rsid w:val="00F10D7B"/>
    <w:rsid w:val="00F10FA5"/>
    <w:rsid w:val="00F13D2B"/>
    <w:rsid w:val="00F17DE3"/>
    <w:rsid w:val="00F20AB1"/>
    <w:rsid w:val="00F25254"/>
    <w:rsid w:val="00F32C9F"/>
    <w:rsid w:val="00F37355"/>
    <w:rsid w:val="00F41270"/>
    <w:rsid w:val="00F53146"/>
    <w:rsid w:val="00F623B5"/>
    <w:rsid w:val="00F709FE"/>
    <w:rsid w:val="00F71513"/>
    <w:rsid w:val="00F71FCB"/>
    <w:rsid w:val="00F80D06"/>
    <w:rsid w:val="00F80E56"/>
    <w:rsid w:val="00F825C5"/>
    <w:rsid w:val="00F83882"/>
    <w:rsid w:val="00F840B3"/>
    <w:rsid w:val="00F86BA1"/>
    <w:rsid w:val="00F95D22"/>
    <w:rsid w:val="00F95FE7"/>
    <w:rsid w:val="00FB0590"/>
    <w:rsid w:val="00FB3252"/>
    <w:rsid w:val="00FC3EAF"/>
    <w:rsid w:val="00FC7AD7"/>
    <w:rsid w:val="00FE085D"/>
    <w:rsid w:val="00FE582D"/>
    <w:rsid w:val="00FE5B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029"/>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AD7"/>
    <w:rPr>
      <w:color w:val="0000FF" w:themeColor="hyperlink"/>
      <w:u w:val="single"/>
    </w:rPr>
  </w:style>
  <w:style w:type="paragraph" w:styleId="HTMLPreformatted">
    <w:name w:val="HTML Preformatted"/>
    <w:basedOn w:val="Normal"/>
    <w:link w:val="HTMLPreformattedChar"/>
    <w:uiPriority w:val="99"/>
    <w:semiHidden/>
    <w:unhideWhenUsed/>
    <w:rsid w:val="00387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878E0"/>
    <w:rPr>
      <w:rFonts w:ascii="Courier New" w:eastAsia="Times New Roman" w:hAnsi="Courier New" w:cs="Courier New"/>
      <w:sz w:val="20"/>
      <w:szCs w:val="20"/>
      <w:lang w:eastAsia="en-GB"/>
    </w:rPr>
  </w:style>
  <w:style w:type="character" w:customStyle="1" w:styleId="gem3dmtclfb">
    <w:name w:val="gem3dmtclfb"/>
    <w:basedOn w:val="DefaultParagraphFont"/>
    <w:rsid w:val="003878E0"/>
  </w:style>
  <w:style w:type="paragraph" w:styleId="Header">
    <w:name w:val="header"/>
    <w:basedOn w:val="Normal"/>
    <w:link w:val="HeaderChar"/>
    <w:uiPriority w:val="99"/>
    <w:unhideWhenUsed/>
    <w:rsid w:val="00811957"/>
    <w:pPr>
      <w:tabs>
        <w:tab w:val="center" w:pos="4513"/>
        <w:tab w:val="right" w:pos="9026"/>
      </w:tabs>
    </w:pPr>
    <w:rPr>
      <w:rFonts w:asciiTheme="minorHAnsi" w:eastAsia="PMingLiU" w:hAnsiTheme="minorHAnsi" w:cstheme="minorBidi"/>
      <w:sz w:val="22"/>
      <w:szCs w:val="22"/>
    </w:rPr>
  </w:style>
  <w:style w:type="character" w:customStyle="1" w:styleId="HeaderChar">
    <w:name w:val="Header Char"/>
    <w:basedOn w:val="DefaultParagraphFont"/>
    <w:link w:val="Header"/>
    <w:uiPriority w:val="99"/>
    <w:rsid w:val="00811957"/>
    <w:rPr>
      <w:noProof/>
    </w:rPr>
  </w:style>
  <w:style w:type="paragraph" w:styleId="Footer">
    <w:name w:val="footer"/>
    <w:basedOn w:val="Normal"/>
    <w:link w:val="FooterChar"/>
    <w:uiPriority w:val="99"/>
    <w:unhideWhenUsed/>
    <w:rsid w:val="00811957"/>
    <w:pPr>
      <w:tabs>
        <w:tab w:val="center" w:pos="4513"/>
        <w:tab w:val="right" w:pos="9026"/>
      </w:tabs>
    </w:pPr>
    <w:rPr>
      <w:rFonts w:asciiTheme="minorHAnsi" w:eastAsia="PMingLiU" w:hAnsiTheme="minorHAnsi" w:cstheme="minorBidi"/>
      <w:sz w:val="22"/>
      <w:szCs w:val="22"/>
    </w:rPr>
  </w:style>
  <w:style w:type="character" w:customStyle="1" w:styleId="FooterChar">
    <w:name w:val="Footer Char"/>
    <w:basedOn w:val="DefaultParagraphFont"/>
    <w:link w:val="Footer"/>
    <w:uiPriority w:val="99"/>
    <w:rsid w:val="00811957"/>
    <w:rPr>
      <w:noProof/>
    </w:rPr>
  </w:style>
  <w:style w:type="paragraph" w:styleId="BalloonText">
    <w:name w:val="Balloon Text"/>
    <w:basedOn w:val="Normal"/>
    <w:link w:val="BalloonTextChar"/>
    <w:uiPriority w:val="99"/>
    <w:semiHidden/>
    <w:unhideWhenUsed/>
    <w:rsid w:val="00811957"/>
    <w:rPr>
      <w:rFonts w:ascii="Tahoma" w:hAnsi="Tahoma" w:cs="Tahoma"/>
      <w:sz w:val="16"/>
      <w:szCs w:val="16"/>
    </w:rPr>
  </w:style>
  <w:style w:type="character" w:customStyle="1" w:styleId="BalloonTextChar">
    <w:name w:val="Balloon Text Char"/>
    <w:basedOn w:val="DefaultParagraphFont"/>
    <w:link w:val="BalloonText"/>
    <w:uiPriority w:val="99"/>
    <w:semiHidden/>
    <w:rsid w:val="00811957"/>
    <w:rPr>
      <w:rFonts w:ascii="Tahoma" w:hAnsi="Tahoma" w:cs="Tahoma"/>
      <w:noProof/>
      <w:sz w:val="16"/>
      <w:szCs w:val="16"/>
    </w:rPr>
  </w:style>
  <w:style w:type="table" w:styleId="TableGrid">
    <w:name w:val="Table Grid"/>
    <w:basedOn w:val="TableNormal"/>
    <w:uiPriority w:val="59"/>
    <w:rsid w:val="00811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7F4"/>
    <w:rPr>
      <w:color w:val="800080" w:themeColor="followedHyperlink"/>
      <w:u w:val="single"/>
    </w:rPr>
  </w:style>
  <w:style w:type="paragraph" w:styleId="FootnoteText">
    <w:name w:val="footnote text"/>
    <w:basedOn w:val="Normal"/>
    <w:link w:val="FootnoteTextChar"/>
    <w:uiPriority w:val="99"/>
    <w:unhideWhenUsed/>
    <w:rsid w:val="003647F4"/>
    <w:rPr>
      <w:rFonts w:asciiTheme="minorHAnsi" w:eastAsia="PMingLiU" w:hAnsiTheme="minorHAnsi" w:cstheme="minorBidi"/>
      <w:sz w:val="20"/>
      <w:szCs w:val="20"/>
    </w:rPr>
  </w:style>
  <w:style w:type="character" w:customStyle="1" w:styleId="FootnoteTextChar">
    <w:name w:val="Footnote Text Char"/>
    <w:basedOn w:val="DefaultParagraphFont"/>
    <w:link w:val="FootnoteText"/>
    <w:uiPriority w:val="99"/>
    <w:rsid w:val="003647F4"/>
    <w:rPr>
      <w:sz w:val="20"/>
      <w:szCs w:val="20"/>
    </w:rPr>
  </w:style>
  <w:style w:type="character" w:styleId="FootnoteReference">
    <w:name w:val="footnote reference"/>
    <w:basedOn w:val="DefaultParagraphFont"/>
    <w:uiPriority w:val="99"/>
    <w:unhideWhenUsed/>
    <w:rsid w:val="003647F4"/>
    <w:rPr>
      <w:vertAlign w:val="superscript"/>
    </w:rPr>
  </w:style>
  <w:style w:type="paragraph" w:styleId="ListParagraph">
    <w:name w:val="List Paragraph"/>
    <w:basedOn w:val="Normal"/>
    <w:uiPriority w:val="34"/>
    <w:qFormat/>
    <w:rsid w:val="003D5C2D"/>
    <w:pPr>
      <w:ind w:left="720"/>
      <w:contextualSpacing/>
    </w:pPr>
    <w:rPr>
      <w:rFonts w:asciiTheme="minorHAnsi" w:eastAsia="PMingLiU" w:hAnsiTheme="minorHAnsi" w:cstheme="minorBidi"/>
      <w:sz w:val="22"/>
      <w:szCs w:val="22"/>
    </w:rPr>
  </w:style>
  <w:style w:type="character" w:styleId="PlaceholderText">
    <w:name w:val="Placeholder Text"/>
    <w:basedOn w:val="DefaultParagraphFont"/>
    <w:uiPriority w:val="99"/>
    <w:semiHidden/>
    <w:rsid w:val="00D76ACC"/>
    <w:rPr>
      <w:color w:val="808080"/>
    </w:rPr>
  </w:style>
  <w:style w:type="paragraph" w:styleId="BodyText">
    <w:name w:val="Body Text"/>
    <w:basedOn w:val="Normal"/>
    <w:link w:val="BodyTextChar"/>
    <w:rsid w:val="00A77F82"/>
    <w:rPr>
      <w:rFonts w:ascii="Garamond" w:hAnsi="Garamond"/>
      <w:sz w:val="26"/>
      <w:szCs w:val="20"/>
    </w:rPr>
  </w:style>
  <w:style w:type="character" w:customStyle="1" w:styleId="BodyTextChar">
    <w:name w:val="Body Text Char"/>
    <w:basedOn w:val="DefaultParagraphFont"/>
    <w:link w:val="BodyText"/>
    <w:rsid w:val="00A77F82"/>
    <w:rPr>
      <w:rFonts w:ascii="Garamond" w:eastAsia="Times New Roman" w:hAnsi="Garamond" w:cs="Times New Roman"/>
      <w:sz w:val="26"/>
      <w:szCs w:val="20"/>
    </w:rPr>
  </w:style>
  <w:style w:type="character" w:styleId="CommentReference">
    <w:name w:val="annotation reference"/>
    <w:basedOn w:val="DefaultParagraphFont"/>
    <w:uiPriority w:val="99"/>
    <w:semiHidden/>
    <w:unhideWhenUsed/>
    <w:rsid w:val="0020512E"/>
    <w:rPr>
      <w:sz w:val="18"/>
      <w:szCs w:val="18"/>
    </w:rPr>
  </w:style>
  <w:style w:type="paragraph" w:styleId="CommentText">
    <w:name w:val="annotation text"/>
    <w:basedOn w:val="Normal"/>
    <w:link w:val="CommentTextChar"/>
    <w:uiPriority w:val="99"/>
    <w:semiHidden/>
    <w:unhideWhenUsed/>
    <w:rsid w:val="0020512E"/>
  </w:style>
  <w:style w:type="character" w:customStyle="1" w:styleId="CommentTextChar">
    <w:name w:val="Comment Text Char"/>
    <w:basedOn w:val="DefaultParagraphFont"/>
    <w:link w:val="CommentText"/>
    <w:uiPriority w:val="99"/>
    <w:semiHidden/>
    <w:rsid w:val="0020512E"/>
    <w:rPr>
      <w:sz w:val="24"/>
      <w:szCs w:val="24"/>
    </w:rPr>
  </w:style>
  <w:style w:type="paragraph" w:styleId="CommentSubject">
    <w:name w:val="annotation subject"/>
    <w:basedOn w:val="CommentText"/>
    <w:next w:val="CommentText"/>
    <w:link w:val="CommentSubjectChar"/>
    <w:uiPriority w:val="99"/>
    <w:semiHidden/>
    <w:unhideWhenUsed/>
    <w:rsid w:val="0020512E"/>
    <w:rPr>
      <w:b/>
      <w:bCs/>
      <w:sz w:val="20"/>
      <w:szCs w:val="20"/>
    </w:rPr>
  </w:style>
  <w:style w:type="character" w:customStyle="1" w:styleId="CommentSubjectChar">
    <w:name w:val="Comment Subject Char"/>
    <w:basedOn w:val="CommentTextChar"/>
    <w:link w:val="CommentSubject"/>
    <w:uiPriority w:val="99"/>
    <w:semiHidden/>
    <w:rsid w:val="0020512E"/>
    <w:rPr>
      <w:b/>
      <w:bCs/>
      <w:sz w:val="20"/>
      <w:szCs w:val="20"/>
    </w:rPr>
  </w:style>
  <w:style w:type="character" w:customStyle="1" w:styleId="apple-converted-space">
    <w:name w:val="apple-converted-space"/>
    <w:basedOn w:val="DefaultParagraphFont"/>
    <w:rsid w:val="00381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83610">
      <w:bodyDiv w:val="1"/>
      <w:marLeft w:val="0"/>
      <w:marRight w:val="0"/>
      <w:marTop w:val="0"/>
      <w:marBottom w:val="0"/>
      <w:divBdr>
        <w:top w:val="none" w:sz="0" w:space="0" w:color="auto"/>
        <w:left w:val="none" w:sz="0" w:space="0" w:color="auto"/>
        <w:bottom w:val="none" w:sz="0" w:space="0" w:color="auto"/>
        <w:right w:val="none" w:sz="0" w:space="0" w:color="auto"/>
      </w:divBdr>
    </w:div>
    <w:div w:id="179590340">
      <w:bodyDiv w:val="1"/>
      <w:marLeft w:val="0"/>
      <w:marRight w:val="0"/>
      <w:marTop w:val="0"/>
      <w:marBottom w:val="0"/>
      <w:divBdr>
        <w:top w:val="none" w:sz="0" w:space="0" w:color="auto"/>
        <w:left w:val="none" w:sz="0" w:space="0" w:color="auto"/>
        <w:bottom w:val="none" w:sz="0" w:space="0" w:color="auto"/>
        <w:right w:val="none" w:sz="0" w:space="0" w:color="auto"/>
      </w:divBdr>
    </w:div>
    <w:div w:id="529949696">
      <w:bodyDiv w:val="1"/>
      <w:marLeft w:val="0"/>
      <w:marRight w:val="0"/>
      <w:marTop w:val="0"/>
      <w:marBottom w:val="0"/>
      <w:divBdr>
        <w:top w:val="none" w:sz="0" w:space="0" w:color="auto"/>
        <w:left w:val="none" w:sz="0" w:space="0" w:color="auto"/>
        <w:bottom w:val="none" w:sz="0" w:space="0" w:color="auto"/>
        <w:right w:val="none" w:sz="0" w:space="0" w:color="auto"/>
      </w:divBdr>
    </w:div>
    <w:div w:id="669213212">
      <w:bodyDiv w:val="1"/>
      <w:marLeft w:val="0"/>
      <w:marRight w:val="0"/>
      <w:marTop w:val="0"/>
      <w:marBottom w:val="0"/>
      <w:divBdr>
        <w:top w:val="none" w:sz="0" w:space="0" w:color="auto"/>
        <w:left w:val="none" w:sz="0" w:space="0" w:color="auto"/>
        <w:bottom w:val="none" w:sz="0" w:space="0" w:color="auto"/>
        <w:right w:val="none" w:sz="0" w:space="0" w:color="auto"/>
      </w:divBdr>
    </w:div>
    <w:div w:id="845052632">
      <w:bodyDiv w:val="1"/>
      <w:marLeft w:val="0"/>
      <w:marRight w:val="0"/>
      <w:marTop w:val="0"/>
      <w:marBottom w:val="0"/>
      <w:divBdr>
        <w:top w:val="none" w:sz="0" w:space="0" w:color="auto"/>
        <w:left w:val="none" w:sz="0" w:space="0" w:color="auto"/>
        <w:bottom w:val="none" w:sz="0" w:space="0" w:color="auto"/>
        <w:right w:val="none" w:sz="0" w:space="0" w:color="auto"/>
      </w:divBdr>
    </w:div>
    <w:div w:id="861941643">
      <w:bodyDiv w:val="1"/>
      <w:marLeft w:val="0"/>
      <w:marRight w:val="0"/>
      <w:marTop w:val="0"/>
      <w:marBottom w:val="0"/>
      <w:divBdr>
        <w:top w:val="none" w:sz="0" w:space="0" w:color="auto"/>
        <w:left w:val="none" w:sz="0" w:space="0" w:color="auto"/>
        <w:bottom w:val="none" w:sz="0" w:space="0" w:color="auto"/>
        <w:right w:val="none" w:sz="0" w:space="0" w:color="auto"/>
      </w:divBdr>
    </w:div>
    <w:div w:id="1364330706">
      <w:bodyDiv w:val="1"/>
      <w:marLeft w:val="0"/>
      <w:marRight w:val="0"/>
      <w:marTop w:val="0"/>
      <w:marBottom w:val="0"/>
      <w:divBdr>
        <w:top w:val="none" w:sz="0" w:space="0" w:color="auto"/>
        <w:left w:val="none" w:sz="0" w:space="0" w:color="auto"/>
        <w:bottom w:val="none" w:sz="0" w:space="0" w:color="auto"/>
        <w:right w:val="none" w:sz="0" w:space="0" w:color="auto"/>
      </w:divBdr>
    </w:div>
    <w:div w:id="1667245570">
      <w:bodyDiv w:val="1"/>
      <w:marLeft w:val="0"/>
      <w:marRight w:val="0"/>
      <w:marTop w:val="0"/>
      <w:marBottom w:val="0"/>
      <w:divBdr>
        <w:top w:val="none" w:sz="0" w:space="0" w:color="auto"/>
        <w:left w:val="none" w:sz="0" w:space="0" w:color="auto"/>
        <w:bottom w:val="none" w:sz="0" w:space="0" w:color="auto"/>
        <w:right w:val="none" w:sz="0" w:space="0" w:color="auto"/>
      </w:divBdr>
    </w:div>
    <w:div w:id="1765687253">
      <w:bodyDiv w:val="1"/>
      <w:marLeft w:val="0"/>
      <w:marRight w:val="0"/>
      <w:marTop w:val="0"/>
      <w:marBottom w:val="0"/>
      <w:divBdr>
        <w:top w:val="none" w:sz="0" w:space="0" w:color="auto"/>
        <w:left w:val="none" w:sz="0" w:space="0" w:color="auto"/>
        <w:bottom w:val="none" w:sz="0" w:space="0" w:color="auto"/>
        <w:right w:val="none" w:sz="0" w:space="0" w:color="auto"/>
      </w:divBdr>
    </w:div>
    <w:div w:id="212672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coincharts.com" TargetMode="External"/><Relationship Id="rId13" Type="http://schemas.openxmlformats.org/officeDocument/2006/relationships/hyperlink" Target="http://www.nber.org/papers/w19747"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yperlink" Target="http://object.cato.org/sites/cato.org/files/serials/files/cato-journal/2015/5/cj-v35n2-13.pdf" TargetMode="External"/><Relationship Id="rId17" Type="http://schemas.openxmlformats.org/officeDocument/2006/relationships/image" Target="media/image20.png"/><Relationship Id="rId25"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ria.europa.eu/jcms/upload/docs/application/pdf/2015-10/cp150128en.pdf"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50.png"/><Relationship Id="rId28" Type="http://schemas.openxmlformats.org/officeDocument/2006/relationships/image" Target="media/image8.png"/><Relationship Id="rId10" Type="http://schemas.openxmlformats.org/officeDocument/2006/relationships/hyperlink" Target="http://www.newsbtc.com/2014/04/13/btc-e-reports-ddos-attack-server" TargetMode="External"/><Relationship Id="rId19" Type="http://schemas.openxmlformats.org/officeDocument/2006/relationships/image" Target="media/image3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cb.europa.eu/pub/pdf/other/virtualcurrencyschemes201210en.pdf"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F6F28-EDB3-4CE3-B862-179D494C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6194</Words>
  <Characters>35309</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Urquhart</dc:creator>
  <cp:lastModifiedBy>Edwards L.</cp:lastModifiedBy>
  <cp:revision>2</cp:revision>
  <cp:lastPrinted>2018-05-18T09:17:00Z</cp:lastPrinted>
  <dcterms:created xsi:type="dcterms:W3CDTF">2019-03-21T13:58:00Z</dcterms:created>
  <dcterms:modified xsi:type="dcterms:W3CDTF">2019-03-21T13:58:00Z</dcterms:modified>
</cp:coreProperties>
</file>