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A01" w:rsidRPr="0024583E" w:rsidRDefault="00692A01" w:rsidP="00692A01">
      <w:pPr>
        <w:spacing w:after="120"/>
        <w:jc w:val="both"/>
        <w:rPr>
          <w:rFonts w:ascii="Times New Roman" w:hAnsi="Times New Roman" w:cs="Times New Roman"/>
          <w:b/>
          <w:bCs/>
          <w:sz w:val="28"/>
          <w:szCs w:val="28"/>
        </w:rPr>
      </w:pPr>
      <w:r>
        <w:rPr>
          <w:rFonts w:ascii="Times New Roman" w:hAnsi="Times New Roman" w:cs="Times New Roman"/>
          <w:b/>
          <w:bCs/>
          <w:sz w:val="28"/>
          <w:szCs w:val="28"/>
        </w:rPr>
        <w:t>Prevalence and c</w:t>
      </w:r>
      <w:r w:rsidRPr="0024583E">
        <w:rPr>
          <w:rFonts w:ascii="Times New Roman" w:hAnsi="Times New Roman" w:cs="Times New Roman"/>
          <w:b/>
          <w:bCs/>
          <w:sz w:val="28"/>
          <w:szCs w:val="28"/>
        </w:rPr>
        <w:t xml:space="preserve">orrelates of diabetes and its comorbidities </w:t>
      </w:r>
      <w:r>
        <w:rPr>
          <w:rFonts w:ascii="Times New Roman" w:hAnsi="Times New Roman" w:cs="Times New Roman"/>
          <w:b/>
          <w:bCs/>
          <w:sz w:val="28"/>
          <w:szCs w:val="28"/>
        </w:rPr>
        <w:t xml:space="preserve">in </w:t>
      </w:r>
      <w:r w:rsidRPr="0024583E">
        <w:rPr>
          <w:rFonts w:ascii="Times New Roman" w:hAnsi="Times New Roman" w:cs="Times New Roman"/>
          <w:b/>
          <w:bCs/>
          <w:sz w:val="28"/>
          <w:szCs w:val="28"/>
        </w:rPr>
        <w:t>four Gulf Cooperation Council countries</w:t>
      </w:r>
      <w:r>
        <w:rPr>
          <w:rFonts w:ascii="Times New Roman" w:hAnsi="Times New Roman" w:cs="Times New Roman"/>
          <w:b/>
          <w:bCs/>
          <w:sz w:val="28"/>
          <w:szCs w:val="28"/>
        </w:rPr>
        <w:t xml:space="preserve">: Evidence from </w:t>
      </w:r>
      <w:r w:rsidRPr="0024583E">
        <w:rPr>
          <w:rFonts w:ascii="Times New Roman" w:hAnsi="Times New Roman" w:cs="Times New Roman"/>
          <w:b/>
          <w:bCs/>
          <w:sz w:val="28"/>
          <w:szCs w:val="28"/>
        </w:rPr>
        <w:t>the World Health Survey Plus</w:t>
      </w:r>
    </w:p>
    <w:p w:rsidR="00692A01" w:rsidRPr="0024583E" w:rsidRDefault="00692A01" w:rsidP="00692A01">
      <w:pPr>
        <w:spacing w:after="120"/>
        <w:jc w:val="both"/>
        <w:rPr>
          <w:rFonts w:ascii="Times New Roman" w:hAnsi="Times New Roman" w:cs="Times New Roman"/>
          <w:sz w:val="24"/>
          <w:szCs w:val="24"/>
        </w:rPr>
      </w:pPr>
    </w:p>
    <w:p w:rsidR="00692A01" w:rsidRPr="0024583E" w:rsidRDefault="00692A01" w:rsidP="00692A01">
      <w:pPr>
        <w:spacing w:after="120"/>
        <w:jc w:val="both"/>
        <w:rPr>
          <w:rFonts w:ascii="Times New Roman" w:hAnsi="Times New Roman" w:cs="Times New Roman"/>
          <w:sz w:val="24"/>
          <w:szCs w:val="24"/>
        </w:rPr>
      </w:pPr>
    </w:p>
    <w:p w:rsidR="00692A01" w:rsidRPr="0024583E" w:rsidRDefault="00692A01" w:rsidP="00692A01">
      <w:pPr>
        <w:spacing w:after="120"/>
        <w:jc w:val="both"/>
        <w:rPr>
          <w:rFonts w:ascii="Times New Roman" w:hAnsi="Times New Roman" w:cs="Times New Roman"/>
          <w:sz w:val="24"/>
          <w:szCs w:val="24"/>
          <w:vertAlign w:val="superscript"/>
        </w:rPr>
      </w:pPr>
      <w:r w:rsidRPr="00B8150B">
        <w:rPr>
          <w:rFonts w:ascii="Times New Roman" w:hAnsi="Times New Roman" w:cs="Times New Roman"/>
          <w:sz w:val="24"/>
          <w:szCs w:val="24"/>
        </w:rPr>
        <w:t>Sara Afshar Morgan</w:t>
      </w:r>
      <w:r w:rsidRPr="00B8150B">
        <w:rPr>
          <w:rFonts w:ascii="Times New Roman" w:hAnsi="Times New Roman" w:cs="Times New Roman"/>
          <w:sz w:val="24"/>
          <w:szCs w:val="24"/>
          <w:vertAlign w:val="superscript"/>
        </w:rPr>
        <w:t>1</w:t>
      </w:r>
      <w:r w:rsidRPr="00B8150B">
        <w:rPr>
          <w:rFonts w:ascii="Times New Roman" w:hAnsi="Times New Roman" w:cs="Times New Roman"/>
          <w:sz w:val="24"/>
          <w:szCs w:val="24"/>
        </w:rPr>
        <w:t>, Mohamed Mahmoud Ali*</w:t>
      </w:r>
      <w:r w:rsidRPr="00B8150B">
        <w:rPr>
          <w:rFonts w:ascii="Times New Roman" w:hAnsi="Times New Roman" w:cs="Times New Roman"/>
          <w:sz w:val="24"/>
          <w:szCs w:val="24"/>
          <w:vertAlign w:val="superscript"/>
        </w:rPr>
        <w:t>2</w:t>
      </w:r>
      <w:r w:rsidRPr="00B8150B">
        <w:rPr>
          <w:rFonts w:ascii="Times New Roman" w:hAnsi="Times New Roman" w:cs="Times New Roman"/>
          <w:sz w:val="24"/>
          <w:szCs w:val="24"/>
        </w:rPr>
        <w:t>, Andrew Amos Channon</w:t>
      </w:r>
      <w:r w:rsidRPr="00B8150B">
        <w:rPr>
          <w:rFonts w:ascii="Times New Roman" w:hAnsi="Times New Roman" w:cs="Times New Roman"/>
          <w:sz w:val="24"/>
          <w:szCs w:val="24"/>
          <w:vertAlign w:val="superscript"/>
        </w:rPr>
        <w:t>3</w:t>
      </w:r>
      <w:r w:rsidRPr="00B8150B">
        <w:rPr>
          <w:rFonts w:ascii="Times New Roman" w:hAnsi="Times New Roman" w:cs="Times New Roman"/>
          <w:sz w:val="24"/>
          <w:szCs w:val="24"/>
        </w:rPr>
        <w:t>, Sultana Al-Sabah</w:t>
      </w:r>
      <w:r w:rsidRPr="00B8150B">
        <w:rPr>
          <w:rFonts w:ascii="Times New Roman" w:hAnsi="Times New Roman" w:cs="Times New Roman"/>
          <w:sz w:val="24"/>
          <w:szCs w:val="24"/>
          <w:vertAlign w:val="superscript"/>
        </w:rPr>
        <w:t>4</w:t>
      </w:r>
      <w:r>
        <w:rPr>
          <w:rFonts w:ascii="Times New Roman" w:hAnsi="Times New Roman" w:cs="Times New Roman"/>
          <w:sz w:val="24"/>
          <w:szCs w:val="24"/>
        </w:rPr>
        <w:t xml:space="preserve">, </w:t>
      </w:r>
      <w:r w:rsidRPr="00BF0B52">
        <w:rPr>
          <w:rFonts w:ascii="Times New Roman" w:hAnsi="Times New Roman" w:cs="Times New Roman"/>
          <w:sz w:val="24"/>
          <w:szCs w:val="24"/>
        </w:rPr>
        <w:t>Huda Al Suwaidi</w:t>
      </w:r>
      <w:r w:rsidRPr="00BF0B52">
        <w:rPr>
          <w:rFonts w:ascii="Times New Roman" w:hAnsi="Times New Roman" w:cs="Times New Roman"/>
          <w:sz w:val="24"/>
          <w:szCs w:val="24"/>
          <w:vertAlign w:val="superscript"/>
        </w:rPr>
        <w:t>5</w:t>
      </w:r>
      <w:r>
        <w:rPr>
          <w:rFonts w:ascii="Times New Roman" w:hAnsi="Times New Roman" w:cs="Times New Roman"/>
          <w:sz w:val="24"/>
          <w:szCs w:val="24"/>
        </w:rPr>
        <w:t xml:space="preserve">, </w:t>
      </w:r>
      <w:r w:rsidRPr="00BF0B52">
        <w:rPr>
          <w:rFonts w:ascii="Times New Roman" w:hAnsi="Times New Roman" w:cs="Times New Roman"/>
          <w:sz w:val="24"/>
          <w:szCs w:val="24"/>
        </w:rPr>
        <w:t>Nabil Osman</w:t>
      </w:r>
      <w:r w:rsidRPr="00BF0B52">
        <w:rPr>
          <w:rFonts w:ascii="Times New Roman" w:hAnsi="Times New Roman" w:cs="Times New Roman"/>
          <w:sz w:val="24"/>
          <w:szCs w:val="24"/>
          <w:vertAlign w:val="superscript"/>
        </w:rPr>
        <w:t>6</w:t>
      </w:r>
      <w:r>
        <w:rPr>
          <w:rFonts w:ascii="Times New Roman" w:hAnsi="Times New Roman" w:cs="Times New Roman"/>
          <w:sz w:val="24"/>
          <w:szCs w:val="24"/>
        </w:rPr>
        <w:t xml:space="preserve">, Mustafa Ayesh Al-Salamin </w:t>
      </w:r>
      <w:r w:rsidRPr="00BF0B52">
        <w:rPr>
          <w:rFonts w:ascii="Times New Roman" w:hAnsi="Times New Roman" w:cs="Times New Roman"/>
          <w:sz w:val="24"/>
          <w:szCs w:val="24"/>
          <w:vertAlign w:val="superscript"/>
        </w:rPr>
        <w:t>7</w:t>
      </w:r>
      <w:r>
        <w:rPr>
          <w:rFonts w:ascii="Times New Roman" w:hAnsi="Times New Roman" w:cs="Times New Roman"/>
          <w:sz w:val="24"/>
          <w:szCs w:val="24"/>
        </w:rPr>
        <w:t xml:space="preserve">, </w:t>
      </w:r>
      <w:r w:rsidRPr="0024583E">
        <w:rPr>
          <w:rFonts w:ascii="Times New Roman" w:hAnsi="Times New Roman" w:cs="Times New Roman"/>
          <w:sz w:val="24"/>
          <w:szCs w:val="24"/>
        </w:rPr>
        <w:t>Tawfik Khoja</w:t>
      </w:r>
      <w:r>
        <w:rPr>
          <w:rFonts w:ascii="Times New Roman" w:hAnsi="Times New Roman" w:cs="Times New Roman"/>
          <w:sz w:val="24"/>
          <w:szCs w:val="24"/>
          <w:vertAlign w:val="superscript"/>
        </w:rPr>
        <w:t>8</w:t>
      </w:r>
    </w:p>
    <w:p w:rsidR="00692A01" w:rsidRPr="0024583E" w:rsidRDefault="00692A01" w:rsidP="00692A01">
      <w:pPr>
        <w:spacing w:after="120"/>
        <w:jc w:val="both"/>
        <w:rPr>
          <w:rFonts w:ascii="Times New Roman" w:hAnsi="Times New Roman" w:cs="Times New Roman"/>
          <w:b/>
          <w:bCs/>
          <w:sz w:val="24"/>
          <w:szCs w:val="24"/>
        </w:rPr>
      </w:pPr>
    </w:p>
    <w:p w:rsidR="00692A01" w:rsidRPr="0024583E" w:rsidRDefault="00692A01" w:rsidP="00692A01">
      <w:pPr>
        <w:spacing w:after="120"/>
        <w:jc w:val="both"/>
        <w:rPr>
          <w:rFonts w:ascii="Times New Roman" w:hAnsi="Times New Roman" w:cs="Times New Roman"/>
          <w:b/>
          <w:bCs/>
          <w:sz w:val="24"/>
          <w:szCs w:val="24"/>
        </w:rPr>
      </w:pPr>
    </w:p>
    <w:p w:rsidR="00692A01" w:rsidRPr="0024583E" w:rsidRDefault="00692A01" w:rsidP="00692A01">
      <w:pPr>
        <w:spacing w:after="120"/>
        <w:jc w:val="both"/>
        <w:rPr>
          <w:rFonts w:ascii="Times New Roman" w:hAnsi="Times New Roman" w:cs="Times New Roman"/>
          <w:bCs/>
          <w:sz w:val="24"/>
          <w:szCs w:val="24"/>
        </w:rPr>
      </w:pPr>
      <w:r w:rsidRPr="0024583E">
        <w:rPr>
          <w:rFonts w:ascii="Times New Roman" w:hAnsi="Times New Roman" w:cs="Times New Roman"/>
          <w:bCs/>
          <w:sz w:val="24"/>
          <w:szCs w:val="24"/>
        </w:rPr>
        <w:t xml:space="preserve">1 Department of </w:t>
      </w:r>
      <w:r>
        <w:rPr>
          <w:rFonts w:ascii="Times New Roman" w:hAnsi="Times New Roman" w:cs="Times New Roman"/>
          <w:bCs/>
          <w:sz w:val="24"/>
          <w:szCs w:val="24"/>
        </w:rPr>
        <w:t xml:space="preserve">Primary Care and Population Health, Faculty of </w:t>
      </w:r>
      <w:r w:rsidRPr="0024583E">
        <w:rPr>
          <w:rFonts w:ascii="Times New Roman" w:hAnsi="Times New Roman" w:cs="Times New Roman"/>
          <w:bCs/>
          <w:sz w:val="24"/>
          <w:szCs w:val="24"/>
        </w:rPr>
        <w:t>Medicine, University of Southampton, Southampton, UK</w:t>
      </w:r>
      <w:r>
        <w:rPr>
          <w:rFonts w:ascii="Times New Roman" w:hAnsi="Times New Roman" w:cs="Times New Roman"/>
          <w:bCs/>
          <w:sz w:val="24"/>
          <w:szCs w:val="24"/>
        </w:rPr>
        <w:t xml:space="preserve"> </w:t>
      </w:r>
    </w:p>
    <w:p w:rsidR="00692A01" w:rsidRDefault="00692A01" w:rsidP="00692A01">
      <w:pPr>
        <w:spacing w:after="120"/>
        <w:jc w:val="both"/>
        <w:rPr>
          <w:rFonts w:ascii="Times New Roman" w:hAnsi="Times New Roman" w:cs="Times New Roman"/>
          <w:bCs/>
          <w:sz w:val="24"/>
          <w:szCs w:val="24"/>
        </w:rPr>
      </w:pPr>
      <w:r w:rsidRPr="0024583E">
        <w:rPr>
          <w:rFonts w:ascii="Times New Roman" w:hAnsi="Times New Roman" w:cs="Times New Roman"/>
          <w:bCs/>
          <w:sz w:val="24"/>
          <w:szCs w:val="24"/>
        </w:rPr>
        <w:t xml:space="preserve">2 </w:t>
      </w:r>
      <w:r>
        <w:rPr>
          <w:rFonts w:ascii="Times New Roman" w:hAnsi="Times New Roman" w:cs="Times New Roman"/>
          <w:bCs/>
          <w:sz w:val="24"/>
          <w:szCs w:val="24"/>
        </w:rPr>
        <w:t xml:space="preserve">Department of Reproductive Health and Research, </w:t>
      </w:r>
      <w:r w:rsidRPr="0024583E">
        <w:rPr>
          <w:rFonts w:ascii="Times New Roman" w:hAnsi="Times New Roman" w:cs="Times New Roman"/>
          <w:bCs/>
          <w:sz w:val="24"/>
          <w:szCs w:val="24"/>
        </w:rPr>
        <w:t xml:space="preserve">World Health Organisation, </w:t>
      </w:r>
      <w:r>
        <w:rPr>
          <w:rFonts w:ascii="Times New Roman" w:hAnsi="Times New Roman" w:cs="Times New Roman"/>
          <w:bCs/>
          <w:sz w:val="24"/>
          <w:szCs w:val="24"/>
        </w:rPr>
        <w:t xml:space="preserve">20, Avenue Appia – 1211 </w:t>
      </w:r>
      <w:r w:rsidRPr="0024583E">
        <w:rPr>
          <w:rFonts w:ascii="Times New Roman" w:hAnsi="Times New Roman" w:cs="Times New Roman"/>
          <w:bCs/>
          <w:sz w:val="24"/>
          <w:szCs w:val="24"/>
        </w:rPr>
        <w:t>Geneva</w:t>
      </w:r>
      <w:r>
        <w:rPr>
          <w:rFonts w:ascii="Times New Roman" w:hAnsi="Times New Roman" w:cs="Times New Roman"/>
          <w:bCs/>
          <w:sz w:val="24"/>
          <w:szCs w:val="24"/>
        </w:rPr>
        <w:t xml:space="preserve">, Switzerland, Tel +41 22 791 3530, *Corresponding author email: </w:t>
      </w:r>
      <w:hyperlink r:id="rId5" w:history="1">
        <w:r w:rsidRPr="003704DC">
          <w:rPr>
            <w:rStyle w:val="Hyperlink"/>
            <w:rFonts w:ascii="Times New Roman" w:hAnsi="Times New Roman" w:cs="Times New Roman"/>
            <w:bCs/>
            <w:sz w:val="24"/>
            <w:szCs w:val="24"/>
          </w:rPr>
          <w:t>alim@who.int</w:t>
        </w:r>
      </w:hyperlink>
    </w:p>
    <w:p w:rsidR="00692A01" w:rsidRPr="0024583E" w:rsidRDefault="00692A01" w:rsidP="00692A01">
      <w:pPr>
        <w:spacing w:after="120"/>
        <w:jc w:val="both"/>
        <w:rPr>
          <w:rFonts w:ascii="Times New Roman" w:hAnsi="Times New Roman" w:cs="Times New Roman"/>
          <w:bCs/>
          <w:sz w:val="24"/>
          <w:szCs w:val="24"/>
        </w:rPr>
      </w:pPr>
      <w:r w:rsidRPr="0024583E">
        <w:rPr>
          <w:rFonts w:ascii="Times New Roman" w:hAnsi="Times New Roman" w:cs="Times New Roman"/>
          <w:bCs/>
          <w:sz w:val="24"/>
          <w:szCs w:val="24"/>
        </w:rPr>
        <w:t>3 Department of Social Statistics and Demography, University of Southampton, Southampton, UK</w:t>
      </w:r>
    </w:p>
    <w:p w:rsidR="00692A01" w:rsidRDefault="00692A01" w:rsidP="00692A01">
      <w:pPr>
        <w:spacing w:after="120"/>
        <w:jc w:val="both"/>
        <w:rPr>
          <w:rFonts w:ascii="Times New Roman" w:hAnsi="Times New Roman" w:cs="Times New Roman"/>
          <w:bCs/>
          <w:sz w:val="24"/>
          <w:szCs w:val="24"/>
        </w:rPr>
      </w:pPr>
      <w:r w:rsidRPr="0024583E">
        <w:rPr>
          <w:rFonts w:ascii="Times New Roman" w:hAnsi="Times New Roman" w:cs="Times New Roman"/>
          <w:bCs/>
          <w:sz w:val="24"/>
          <w:szCs w:val="24"/>
        </w:rPr>
        <w:t xml:space="preserve">4 Center of Research and Studies, Ministry of Health, </w:t>
      </w:r>
      <w:r>
        <w:rPr>
          <w:rFonts w:ascii="Times New Roman" w:hAnsi="Times New Roman" w:cs="Times New Roman"/>
          <w:bCs/>
          <w:sz w:val="24"/>
          <w:szCs w:val="24"/>
        </w:rPr>
        <w:t xml:space="preserve">Muscat, </w:t>
      </w:r>
      <w:r w:rsidRPr="0024583E">
        <w:rPr>
          <w:rFonts w:ascii="Times New Roman" w:hAnsi="Times New Roman" w:cs="Times New Roman"/>
          <w:bCs/>
          <w:sz w:val="24"/>
          <w:szCs w:val="24"/>
        </w:rPr>
        <w:t>Oman</w:t>
      </w:r>
    </w:p>
    <w:p w:rsidR="00692A01" w:rsidRDefault="00692A01" w:rsidP="00692A01">
      <w:pPr>
        <w:spacing w:after="120"/>
        <w:jc w:val="both"/>
        <w:rPr>
          <w:rFonts w:ascii="Times New Roman" w:hAnsi="Times New Roman" w:cs="Times New Roman"/>
          <w:bCs/>
          <w:sz w:val="24"/>
          <w:szCs w:val="24"/>
        </w:rPr>
      </w:pPr>
      <w:r>
        <w:rPr>
          <w:rFonts w:ascii="Times New Roman" w:hAnsi="Times New Roman" w:cs="Times New Roman"/>
          <w:bCs/>
          <w:sz w:val="24"/>
          <w:szCs w:val="24"/>
        </w:rPr>
        <w:t>5</w:t>
      </w:r>
      <w:r w:rsidRPr="00010159">
        <w:t xml:space="preserve"> </w:t>
      </w:r>
      <w:r w:rsidRPr="00010159">
        <w:rPr>
          <w:rFonts w:ascii="Times New Roman" w:hAnsi="Times New Roman" w:cs="Times New Roman"/>
          <w:bCs/>
          <w:sz w:val="24"/>
          <w:szCs w:val="24"/>
        </w:rPr>
        <w:t>Vulnerable Group Department, Community Development Authority, Dubai, UAE</w:t>
      </w:r>
    </w:p>
    <w:p w:rsidR="00692A01" w:rsidRDefault="00692A01" w:rsidP="00692A01">
      <w:pPr>
        <w:spacing w:after="120"/>
        <w:jc w:val="both"/>
        <w:rPr>
          <w:rFonts w:ascii="Times New Roman" w:hAnsi="Times New Roman" w:cs="Times New Roman"/>
          <w:bCs/>
          <w:sz w:val="24"/>
          <w:szCs w:val="24"/>
        </w:rPr>
      </w:pPr>
      <w:r>
        <w:rPr>
          <w:rFonts w:ascii="Times New Roman" w:hAnsi="Times New Roman" w:cs="Times New Roman"/>
          <w:bCs/>
          <w:sz w:val="24"/>
          <w:szCs w:val="24"/>
        </w:rPr>
        <w:t xml:space="preserve">6 </w:t>
      </w:r>
      <w:r w:rsidRPr="00010159">
        <w:rPr>
          <w:rFonts w:ascii="Times New Roman" w:hAnsi="Times New Roman" w:cs="Times New Roman"/>
          <w:bCs/>
          <w:sz w:val="24"/>
          <w:szCs w:val="24"/>
        </w:rPr>
        <w:t xml:space="preserve">Ministry of Health, </w:t>
      </w:r>
      <w:r>
        <w:rPr>
          <w:rFonts w:ascii="Times New Roman" w:hAnsi="Times New Roman" w:cs="Times New Roman"/>
          <w:bCs/>
          <w:sz w:val="24"/>
          <w:szCs w:val="24"/>
        </w:rPr>
        <w:t xml:space="preserve">Riyadh, </w:t>
      </w:r>
      <w:r w:rsidRPr="00010159">
        <w:rPr>
          <w:rFonts w:ascii="Times New Roman" w:hAnsi="Times New Roman" w:cs="Times New Roman"/>
          <w:bCs/>
          <w:sz w:val="24"/>
          <w:szCs w:val="24"/>
        </w:rPr>
        <w:t>Saudi Arabia</w:t>
      </w:r>
    </w:p>
    <w:p w:rsidR="00692A01" w:rsidRPr="0024583E" w:rsidRDefault="00692A01" w:rsidP="00692A01">
      <w:pPr>
        <w:spacing w:after="120"/>
        <w:jc w:val="both"/>
        <w:rPr>
          <w:rFonts w:ascii="Times New Roman" w:hAnsi="Times New Roman" w:cs="Times New Roman"/>
          <w:bCs/>
          <w:sz w:val="24"/>
          <w:szCs w:val="24"/>
        </w:rPr>
      </w:pPr>
      <w:r>
        <w:rPr>
          <w:rFonts w:ascii="Times New Roman" w:hAnsi="Times New Roman" w:cs="Times New Roman"/>
          <w:bCs/>
          <w:sz w:val="24"/>
          <w:szCs w:val="24"/>
        </w:rPr>
        <w:t>7</w:t>
      </w:r>
      <w:r w:rsidRPr="00010159">
        <w:rPr>
          <w:rFonts w:ascii="Times New Roman" w:hAnsi="Times New Roman" w:cs="Times New Roman"/>
          <w:bCs/>
          <w:sz w:val="24"/>
          <w:szCs w:val="24"/>
        </w:rPr>
        <w:t xml:space="preserve"> Ministry of Health, </w:t>
      </w:r>
      <w:r>
        <w:rPr>
          <w:rFonts w:ascii="Times New Roman" w:hAnsi="Times New Roman" w:cs="Times New Roman"/>
          <w:bCs/>
          <w:sz w:val="24"/>
          <w:szCs w:val="24"/>
        </w:rPr>
        <w:t xml:space="preserve"> Sulobikhat, </w:t>
      </w:r>
      <w:r w:rsidRPr="00010159">
        <w:rPr>
          <w:rFonts w:ascii="Times New Roman" w:hAnsi="Times New Roman" w:cs="Times New Roman"/>
          <w:bCs/>
          <w:sz w:val="24"/>
          <w:szCs w:val="24"/>
        </w:rPr>
        <w:t>Kuwait</w:t>
      </w:r>
    </w:p>
    <w:p w:rsidR="00692A01" w:rsidRDefault="00692A01" w:rsidP="00692A01">
      <w:pPr>
        <w:spacing w:after="120"/>
        <w:jc w:val="both"/>
        <w:rPr>
          <w:rFonts w:ascii="Times New Roman" w:hAnsi="Times New Roman" w:cs="Times New Roman"/>
          <w:bCs/>
          <w:sz w:val="24"/>
          <w:szCs w:val="24"/>
        </w:rPr>
      </w:pPr>
      <w:r>
        <w:rPr>
          <w:rFonts w:ascii="Times New Roman" w:hAnsi="Times New Roman" w:cs="Times New Roman"/>
          <w:bCs/>
          <w:sz w:val="24"/>
          <w:szCs w:val="24"/>
        </w:rPr>
        <w:t>8</w:t>
      </w:r>
      <w:r w:rsidRPr="0024583E">
        <w:rPr>
          <w:rFonts w:ascii="Times New Roman" w:hAnsi="Times New Roman" w:cs="Times New Roman"/>
          <w:bCs/>
          <w:sz w:val="24"/>
          <w:szCs w:val="24"/>
        </w:rPr>
        <w:t xml:space="preserve"> Imperial College, London, UK</w:t>
      </w:r>
    </w:p>
    <w:p w:rsidR="00692A01" w:rsidRDefault="00692A01" w:rsidP="00692A01">
      <w:pPr>
        <w:jc w:val="both"/>
        <w:rPr>
          <w:rFonts w:ascii="Times New Roman" w:hAnsi="Times New Roman" w:cs="Times New Roman"/>
          <w:bCs/>
          <w:sz w:val="24"/>
          <w:szCs w:val="24"/>
        </w:rPr>
      </w:pPr>
    </w:p>
    <w:p w:rsidR="00692A01" w:rsidRPr="0024583E" w:rsidRDefault="00692A01" w:rsidP="00692A01">
      <w:pPr>
        <w:jc w:val="both"/>
        <w:rPr>
          <w:rFonts w:ascii="Times New Roman" w:hAnsi="Times New Roman" w:cs="Times New Roman"/>
          <w:b/>
          <w:bCs/>
          <w:sz w:val="24"/>
          <w:szCs w:val="24"/>
        </w:rPr>
      </w:pPr>
    </w:p>
    <w:p w:rsidR="00692A01" w:rsidRPr="0024583E" w:rsidRDefault="00692A01" w:rsidP="00692A01">
      <w:pPr>
        <w:jc w:val="both"/>
        <w:rPr>
          <w:rFonts w:ascii="Times New Roman" w:hAnsi="Times New Roman" w:cs="Times New Roman"/>
          <w:b/>
          <w:bCs/>
          <w:sz w:val="24"/>
          <w:szCs w:val="24"/>
        </w:rPr>
      </w:pPr>
    </w:p>
    <w:p w:rsidR="00692A01" w:rsidRPr="0024583E" w:rsidRDefault="00692A01" w:rsidP="00692A01">
      <w:pPr>
        <w:jc w:val="both"/>
        <w:rPr>
          <w:rFonts w:ascii="Times New Roman" w:hAnsi="Times New Roman" w:cs="Times New Roman"/>
          <w:bCs/>
          <w:sz w:val="24"/>
          <w:szCs w:val="24"/>
        </w:rPr>
      </w:pPr>
      <w:r w:rsidRPr="00AB6A0E">
        <w:rPr>
          <w:rFonts w:ascii="Times New Roman" w:hAnsi="Times New Roman" w:cs="Times New Roman"/>
          <w:bCs/>
          <w:sz w:val="24"/>
          <w:szCs w:val="24"/>
        </w:rPr>
        <w:t xml:space="preserve">Word Count: </w:t>
      </w:r>
      <w:r>
        <w:rPr>
          <w:rFonts w:ascii="Times New Roman" w:hAnsi="Times New Roman" w:cs="Times New Roman"/>
          <w:bCs/>
          <w:sz w:val="24"/>
          <w:szCs w:val="24"/>
        </w:rPr>
        <w:t>2869</w:t>
      </w:r>
    </w:p>
    <w:p w:rsidR="00692A01" w:rsidRPr="0024583E" w:rsidRDefault="00692A01" w:rsidP="00692A01">
      <w:pPr>
        <w:jc w:val="both"/>
        <w:rPr>
          <w:rFonts w:ascii="Times New Roman" w:hAnsi="Times New Roman" w:cs="Times New Roman"/>
          <w:bCs/>
          <w:sz w:val="24"/>
          <w:szCs w:val="24"/>
        </w:rPr>
      </w:pPr>
    </w:p>
    <w:p w:rsidR="00692A01" w:rsidRDefault="00692A01" w:rsidP="00692A01">
      <w:pPr>
        <w:jc w:val="both"/>
        <w:rPr>
          <w:rFonts w:ascii="Times New Roman" w:hAnsi="Times New Roman" w:cs="Times New Roman"/>
          <w:bCs/>
          <w:sz w:val="24"/>
          <w:szCs w:val="24"/>
        </w:rPr>
      </w:pPr>
      <w:r>
        <w:rPr>
          <w:rFonts w:ascii="Times New Roman" w:hAnsi="Times New Roman" w:cs="Times New Roman"/>
          <w:bCs/>
          <w:sz w:val="24"/>
          <w:szCs w:val="24"/>
        </w:rPr>
        <w:t>Keywords: Gulf Arab countries; diabetes; non-communicable disease; World Health Survey Plus; chronic comorbidity.</w:t>
      </w:r>
    </w:p>
    <w:p w:rsidR="00692A01" w:rsidRDefault="00692A01" w:rsidP="00692A01">
      <w:pPr>
        <w:jc w:val="both"/>
        <w:rPr>
          <w:rFonts w:ascii="Times New Roman" w:hAnsi="Times New Roman" w:cs="Times New Roman"/>
          <w:bCs/>
          <w:sz w:val="24"/>
          <w:szCs w:val="24"/>
        </w:rPr>
      </w:pPr>
    </w:p>
    <w:p w:rsidR="00692A01" w:rsidRDefault="00692A01" w:rsidP="00692A01">
      <w:pPr>
        <w:rPr>
          <w:rFonts w:ascii="Times New Roman" w:hAnsi="Times New Roman" w:cs="Times New Roman"/>
          <w:b/>
          <w:bCs/>
          <w:sz w:val="24"/>
          <w:szCs w:val="24"/>
        </w:rPr>
      </w:pPr>
      <w:r>
        <w:rPr>
          <w:rFonts w:ascii="Times New Roman" w:hAnsi="Times New Roman" w:cs="Times New Roman"/>
          <w:b/>
          <w:bCs/>
          <w:sz w:val="24"/>
          <w:szCs w:val="24"/>
        </w:rPr>
        <w:br w:type="page"/>
      </w:r>
    </w:p>
    <w:p w:rsidR="00692A01" w:rsidRPr="0024583E" w:rsidRDefault="00692A01" w:rsidP="00692A01">
      <w:pPr>
        <w:spacing w:after="120" w:line="360" w:lineRule="auto"/>
        <w:jc w:val="both"/>
        <w:rPr>
          <w:rFonts w:ascii="Times New Roman" w:hAnsi="Times New Roman" w:cs="Times New Roman"/>
          <w:b/>
          <w:bCs/>
          <w:sz w:val="24"/>
          <w:szCs w:val="24"/>
        </w:rPr>
      </w:pPr>
      <w:r w:rsidRPr="0024583E">
        <w:rPr>
          <w:rFonts w:ascii="Times New Roman" w:hAnsi="Times New Roman" w:cs="Times New Roman"/>
          <w:b/>
          <w:bCs/>
          <w:sz w:val="24"/>
          <w:szCs w:val="24"/>
        </w:rPr>
        <w:lastRenderedPageBreak/>
        <w:t>ABSTRACT</w:t>
      </w:r>
    </w:p>
    <w:p w:rsidR="00692A01" w:rsidRPr="0024583E" w:rsidRDefault="00692A01" w:rsidP="00692A01">
      <w:pPr>
        <w:spacing w:after="120" w:line="360" w:lineRule="auto"/>
        <w:jc w:val="both"/>
        <w:rPr>
          <w:rFonts w:ascii="Times New Roman" w:hAnsi="Times New Roman" w:cs="Times New Roman"/>
        </w:rPr>
      </w:pPr>
      <w:r w:rsidRPr="0024583E">
        <w:rPr>
          <w:rFonts w:ascii="Times New Roman" w:hAnsi="Times New Roman" w:cs="Times New Roman"/>
          <w:b/>
          <w:bCs/>
        </w:rPr>
        <w:t>Background</w:t>
      </w:r>
      <w:r>
        <w:rPr>
          <w:rFonts w:ascii="Times New Roman" w:hAnsi="Times New Roman" w:cs="Times New Roman"/>
          <w:b/>
          <w:bCs/>
        </w:rPr>
        <w:t xml:space="preserve">: </w:t>
      </w:r>
      <w:r w:rsidRPr="0024583E">
        <w:rPr>
          <w:rFonts w:ascii="Times New Roman" w:hAnsi="Times New Roman" w:cs="Times New Roman"/>
        </w:rPr>
        <w:t xml:space="preserve">The Gulf Cooperation Council </w:t>
      </w:r>
      <w:r>
        <w:rPr>
          <w:rFonts w:ascii="Times New Roman" w:hAnsi="Times New Roman" w:cs="Times New Roman"/>
        </w:rPr>
        <w:t xml:space="preserve">(GCC) </w:t>
      </w:r>
      <w:r w:rsidRPr="0024583E">
        <w:rPr>
          <w:rFonts w:ascii="Times New Roman" w:hAnsi="Times New Roman" w:cs="Times New Roman"/>
        </w:rPr>
        <w:t xml:space="preserve">countries are witnessing unprecedented changes due to fast economic development and population growth. </w:t>
      </w:r>
      <w:r>
        <w:rPr>
          <w:rFonts w:ascii="Times New Roman" w:hAnsi="Times New Roman" w:cs="Times New Roman"/>
        </w:rPr>
        <w:t>The aims of this study were</w:t>
      </w:r>
      <w:r w:rsidRPr="0024583E">
        <w:rPr>
          <w:rFonts w:ascii="Times New Roman" w:hAnsi="Times New Roman" w:cs="Times New Roman"/>
        </w:rPr>
        <w:t xml:space="preserve"> two-fold: firstly to </w:t>
      </w:r>
      <w:r>
        <w:rPr>
          <w:rFonts w:ascii="Times New Roman" w:hAnsi="Times New Roman" w:cs="Times New Roman"/>
        </w:rPr>
        <w:t xml:space="preserve">estimate </w:t>
      </w:r>
      <w:r w:rsidRPr="0024583E">
        <w:rPr>
          <w:rFonts w:ascii="Times New Roman" w:hAnsi="Times New Roman" w:cs="Times New Roman"/>
        </w:rPr>
        <w:t xml:space="preserve">the prevalence of diabetes and its comorbidities. Second, to examine the association of socio-demographic risk factors and healthcare </w:t>
      </w:r>
      <w:r>
        <w:rPr>
          <w:rFonts w:ascii="Times New Roman" w:hAnsi="Times New Roman" w:cs="Times New Roman"/>
        </w:rPr>
        <w:t>service utilization with diabetes</w:t>
      </w:r>
      <w:r w:rsidRPr="0024583E">
        <w:rPr>
          <w:rFonts w:ascii="Times New Roman" w:hAnsi="Times New Roman" w:cs="Times New Roman"/>
        </w:rPr>
        <w:t>.</w:t>
      </w:r>
    </w:p>
    <w:p w:rsidR="00692A01" w:rsidRDefault="00692A01" w:rsidP="00692A01">
      <w:pPr>
        <w:spacing w:after="120" w:line="360" w:lineRule="auto"/>
        <w:jc w:val="both"/>
        <w:rPr>
          <w:rFonts w:ascii="Times New Roman" w:hAnsi="Times New Roman" w:cs="Times New Roman"/>
          <w:b/>
          <w:bCs/>
        </w:rPr>
      </w:pPr>
    </w:p>
    <w:p w:rsidR="00692A01" w:rsidRPr="0024583E" w:rsidRDefault="00692A01" w:rsidP="00692A01">
      <w:pPr>
        <w:spacing w:after="120" w:line="360" w:lineRule="auto"/>
        <w:jc w:val="both"/>
        <w:rPr>
          <w:rFonts w:ascii="Times New Roman" w:hAnsi="Times New Roman" w:cs="Times New Roman"/>
        </w:rPr>
      </w:pPr>
      <w:r w:rsidRPr="0024583E">
        <w:rPr>
          <w:rFonts w:ascii="Times New Roman" w:hAnsi="Times New Roman" w:cs="Times New Roman"/>
          <w:b/>
          <w:bCs/>
        </w:rPr>
        <w:t>Methods</w:t>
      </w:r>
      <w:r>
        <w:rPr>
          <w:rFonts w:ascii="Times New Roman" w:hAnsi="Times New Roman" w:cs="Times New Roman"/>
          <w:b/>
          <w:bCs/>
        </w:rPr>
        <w:t xml:space="preserve">: </w:t>
      </w:r>
      <w:r>
        <w:rPr>
          <w:rFonts w:ascii="Times New Roman" w:hAnsi="Times New Roman" w:cs="Times New Roman"/>
        </w:rPr>
        <w:t>Data from t</w:t>
      </w:r>
      <w:r w:rsidRPr="0024583E">
        <w:rPr>
          <w:rFonts w:ascii="Times New Roman" w:hAnsi="Times New Roman" w:cs="Times New Roman"/>
        </w:rPr>
        <w:t>he World Health Survey Plus (WHS+) from Kuwait, Oman, Saudi Arabia and the United Arab Emirates</w:t>
      </w:r>
      <w:r>
        <w:rPr>
          <w:rFonts w:ascii="Times New Roman" w:hAnsi="Times New Roman" w:cs="Times New Roman"/>
        </w:rPr>
        <w:t xml:space="preserve"> were used</w:t>
      </w:r>
      <w:r w:rsidRPr="0024583E">
        <w:rPr>
          <w:rFonts w:ascii="Times New Roman" w:hAnsi="Times New Roman" w:cs="Times New Roman"/>
        </w:rPr>
        <w:t>. The WHS+ is a nationally representative household survey of the adult population</w:t>
      </w:r>
      <w:r>
        <w:rPr>
          <w:rFonts w:ascii="Times New Roman" w:hAnsi="Times New Roman" w:cs="Times New Roman"/>
        </w:rPr>
        <w:t xml:space="preserve">, </w:t>
      </w:r>
      <w:r w:rsidRPr="0024583E">
        <w:rPr>
          <w:rFonts w:ascii="Times New Roman" w:hAnsi="Times New Roman" w:cs="Times New Roman"/>
        </w:rPr>
        <w:t xml:space="preserve">conducted </w:t>
      </w:r>
      <w:r>
        <w:rPr>
          <w:rFonts w:ascii="Times New Roman" w:hAnsi="Times New Roman" w:cs="Times New Roman"/>
        </w:rPr>
        <w:t xml:space="preserve">between </w:t>
      </w:r>
      <w:r w:rsidRPr="0024583E">
        <w:rPr>
          <w:rFonts w:ascii="Times New Roman" w:hAnsi="Times New Roman" w:cs="Times New Roman"/>
        </w:rPr>
        <w:t xml:space="preserve">2008 and 2009. Both logistic regression and </w:t>
      </w:r>
      <w:r>
        <w:rPr>
          <w:rFonts w:ascii="Times New Roman" w:hAnsi="Times New Roman" w:cs="Times New Roman"/>
        </w:rPr>
        <w:t>zero-inflated Poisson</w:t>
      </w:r>
      <w:r w:rsidRPr="0024583E">
        <w:rPr>
          <w:rFonts w:ascii="Times New Roman" w:hAnsi="Times New Roman" w:cs="Times New Roman"/>
        </w:rPr>
        <w:t xml:space="preserve"> models were applied to examine associations of risk factors, comorbidity and treatment with self-reported diabetes. </w:t>
      </w:r>
    </w:p>
    <w:p w:rsidR="00692A01" w:rsidRDefault="00692A01" w:rsidP="00692A01">
      <w:pPr>
        <w:spacing w:after="120" w:line="360" w:lineRule="auto"/>
        <w:jc w:val="both"/>
        <w:rPr>
          <w:rFonts w:ascii="Times New Roman" w:hAnsi="Times New Roman" w:cs="Times New Roman"/>
          <w:b/>
          <w:bCs/>
        </w:rPr>
      </w:pPr>
    </w:p>
    <w:p w:rsidR="00692A01" w:rsidRPr="0024583E" w:rsidRDefault="00692A01" w:rsidP="00692A01">
      <w:pPr>
        <w:spacing w:after="120" w:line="360" w:lineRule="auto"/>
        <w:jc w:val="both"/>
        <w:rPr>
          <w:rFonts w:ascii="Times New Roman" w:hAnsi="Times New Roman" w:cs="Times New Roman"/>
        </w:rPr>
      </w:pPr>
      <w:r w:rsidRPr="0024583E">
        <w:rPr>
          <w:rFonts w:ascii="Times New Roman" w:hAnsi="Times New Roman" w:cs="Times New Roman"/>
          <w:b/>
          <w:bCs/>
        </w:rPr>
        <w:t>Results</w:t>
      </w:r>
      <w:r>
        <w:rPr>
          <w:rFonts w:ascii="Times New Roman" w:hAnsi="Times New Roman" w:cs="Times New Roman"/>
          <w:b/>
          <w:bCs/>
        </w:rPr>
        <w:t>:</w:t>
      </w:r>
      <w:r w:rsidRPr="0024583E">
        <w:rPr>
          <w:rFonts w:ascii="Times New Roman" w:hAnsi="Times New Roman" w:cs="Times New Roman"/>
        </w:rPr>
        <w:t xml:space="preserve"> </w:t>
      </w:r>
      <w:r w:rsidRPr="00AC7F80">
        <w:rPr>
          <w:rFonts w:ascii="Times New Roman" w:hAnsi="Times New Roman" w:cs="Times New Roman"/>
        </w:rPr>
        <w:t xml:space="preserve">The highest level of diabetes was observed in Kuwait, with 40.8% amongst the oldest age group. </w:t>
      </w:r>
      <w:r>
        <w:rPr>
          <w:rFonts w:ascii="Times New Roman" w:hAnsi="Times New Roman" w:cs="Times New Roman"/>
        </w:rPr>
        <w:t xml:space="preserve">High BMI, older age and low education were all associated with diabetes in all settings. </w:t>
      </w:r>
      <w:r w:rsidRPr="00AC7F80">
        <w:rPr>
          <w:rFonts w:ascii="Times New Roman" w:hAnsi="Times New Roman" w:cs="Times New Roman"/>
        </w:rPr>
        <w:t xml:space="preserve">High levels of comorbidity existed within the diabetic population. Over 50% of diabetics in </w:t>
      </w:r>
      <w:r>
        <w:rPr>
          <w:rFonts w:ascii="Times New Roman" w:hAnsi="Times New Roman" w:cs="Times New Roman"/>
        </w:rPr>
        <w:t xml:space="preserve">all </w:t>
      </w:r>
      <w:r w:rsidRPr="00AC7F80">
        <w:rPr>
          <w:rFonts w:ascii="Times New Roman" w:hAnsi="Times New Roman" w:cs="Times New Roman"/>
        </w:rPr>
        <w:t>countr</w:t>
      </w:r>
      <w:r>
        <w:rPr>
          <w:rFonts w:ascii="Times New Roman" w:hAnsi="Times New Roman" w:cs="Times New Roman"/>
        </w:rPr>
        <w:t>ies</w:t>
      </w:r>
      <w:r w:rsidRPr="00AC7F80">
        <w:rPr>
          <w:rFonts w:ascii="Times New Roman" w:hAnsi="Times New Roman" w:cs="Times New Roman"/>
        </w:rPr>
        <w:t xml:space="preserve"> reported having at least one chronic condition. In Kuwait and Saudi Arabia one in five diabetics reported having two or more co-morbidities. Treatment prevalence was above 80% across all socio-demographic categories.</w:t>
      </w:r>
    </w:p>
    <w:p w:rsidR="00692A01" w:rsidRDefault="00692A01" w:rsidP="00692A01">
      <w:pPr>
        <w:spacing w:after="120" w:line="360" w:lineRule="auto"/>
        <w:jc w:val="both"/>
        <w:rPr>
          <w:rFonts w:ascii="Times New Roman" w:hAnsi="Times New Roman" w:cs="Times New Roman"/>
          <w:b/>
          <w:bCs/>
        </w:rPr>
      </w:pPr>
    </w:p>
    <w:p w:rsidR="00692A01" w:rsidRPr="0024583E" w:rsidRDefault="00692A01" w:rsidP="00692A01">
      <w:pPr>
        <w:spacing w:after="120" w:line="360" w:lineRule="auto"/>
        <w:jc w:val="both"/>
        <w:rPr>
          <w:rFonts w:ascii="Times New Roman" w:hAnsi="Times New Roman" w:cs="Times New Roman"/>
          <w:b/>
          <w:bCs/>
        </w:rPr>
      </w:pPr>
      <w:r w:rsidRPr="0024583E">
        <w:rPr>
          <w:rFonts w:ascii="Times New Roman" w:hAnsi="Times New Roman" w:cs="Times New Roman"/>
          <w:b/>
          <w:bCs/>
        </w:rPr>
        <w:t>Conclusion</w:t>
      </w:r>
      <w:r>
        <w:rPr>
          <w:rFonts w:ascii="Times New Roman" w:hAnsi="Times New Roman" w:cs="Times New Roman"/>
          <w:b/>
          <w:bCs/>
        </w:rPr>
        <w:t>:</w:t>
      </w:r>
      <w:r w:rsidRPr="0024583E">
        <w:rPr>
          <w:rFonts w:ascii="Times New Roman" w:hAnsi="Times New Roman" w:cs="Times New Roman"/>
        </w:rPr>
        <w:t xml:space="preserve"> The burden of diabetes, although high, is not uniform across populations in the </w:t>
      </w:r>
      <w:r>
        <w:rPr>
          <w:rFonts w:ascii="Times New Roman" w:hAnsi="Times New Roman" w:cs="Times New Roman"/>
        </w:rPr>
        <w:t xml:space="preserve">four </w:t>
      </w:r>
      <w:r w:rsidRPr="0024583E">
        <w:rPr>
          <w:rFonts w:ascii="Times New Roman" w:hAnsi="Times New Roman" w:cs="Times New Roman"/>
        </w:rPr>
        <w:t xml:space="preserve">Gulf </w:t>
      </w:r>
      <w:r>
        <w:rPr>
          <w:rFonts w:ascii="Times New Roman" w:hAnsi="Times New Roman" w:cs="Times New Roman"/>
        </w:rPr>
        <w:t>countries</w:t>
      </w:r>
      <w:r w:rsidRPr="0024583E">
        <w:rPr>
          <w:rFonts w:ascii="Times New Roman" w:hAnsi="Times New Roman" w:cs="Times New Roman"/>
        </w:rPr>
        <w:t>. Differential exposure to risk, such as unhealthy lifestyles, may be creating a disadvantage for certain populations and influencing the co-occurrence of chronic conditions.</w:t>
      </w:r>
      <w:r>
        <w:rPr>
          <w:rFonts w:ascii="Times New Roman" w:hAnsi="Times New Roman" w:cs="Times New Roman"/>
        </w:rPr>
        <w:t xml:space="preserve"> In response, a multifaceted</w:t>
      </w:r>
      <w:r w:rsidRPr="0024583E">
        <w:rPr>
          <w:rFonts w:ascii="Times New Roman" w:hAnsi="Times New Roman" w:cs="Times New Roman"/>
        </w:rPr>
        <w:t xml:space="preserve"> a</w:t>
      </w:r>
      <w:r>
        <w:rPr>
          <w:rFonts w:ascii="Times New Roman" w:hAnsi="Times New Roman" w:cs="Times New Roman"/>
        </w:rPr>
        <w:t>nd</w:t>
      </w:r>
      <w:r w:rsidRPr="0024583E">
        <w:rPr>
          <w:rFonts w:ascii="Times New Roman" w:hAnsi="Times New Roman" w:cs="Times New Roman"/>
        </w:rPr>
        <w:t xml:space="preserve"> patient-centred approach</w:t>
      </w:r>
      <w:r>
        <w:rPr>
          <w:rFonts w:ascii="Times New Roman" w:hAnsi="Times New Roman" w:cs="Times New Roman"/>
        </w:rPr>
        <w:t xml:space="preserve"> is needed</w:t>
      </w:r>
      <w:r w:rsidRPr="0024583E">
        <w:rPr>
          <w:rFonts w:ascii="Times New Roman" w:hAnsi="Times New Roman" w:cs="Times New Roman"/>
        </w:rPr>
        <w:t xml:space="preserve"> at all levels of health care to control and prevent </w:t>
      </w:r>
      <w:r>
        <w:rPr>
          <w:rFonts w:ascii="Times New Roman" w:hAnsi="Times New Roman" w:cs="Times New Roman"/>
        </w:rPr>
        <w:t>non-communicable diseases</w:t>
      </w:r>
      <w:r w:rsidRPr="0024583E">
        <w:rPr>
          <w:rFonts w:ascii="Times New Roman" w:hAnsi="Times New Roman" w:cs="Times New Roman"/>
        </w:rPr>
        <w:t>.</w:t>
      </w:r>
    </w:p>
    <w:p w:rsidR="00692A01" w:rsidRPr="0024583E" w:rsidRDefault="00692A01" w:rsidP="00692A01">
      <w:pPr>
        <w:jc w:val="both"/>
        <w:rPr>
          <w:rFonts w:ascii="Times New Roman" w:hAnsi="Times New Roman" w:cs="Times New Roman"/>
          <w:b/>
          <w:sz w:val="24"/>
        </w:rPr>
      </w:pPr>
      <w:r w:rsidRPr="0024583E">
        <w:rPr>
          <w:rFonts w:ascii="Times New Roman" w:hAnsi="Times New Roman" w:cs="Times New Roman"/>
          <w:b/>
          <w:sz w:val="24"/>
        </w:rPr>
        <w:br w:type="page"/>
      </w:r>
    </w:p>
    <w:p w:rsidR="00692A01" w:rsidRPr="0024583E" w:rsidRDefault="00692A01" w:rsidP="00692A01">
      <w:pPr>
        <w:spacing w:after="120" w:line="360" w:lineRule="auto"/>
        <w:jc w:val="both"/>
        <w:rPr>
          <w:rFonts w:ascii="Times New Roman" w:hAnsi="Times New Roman" w:cs="Times New Roman"/>
          <w:b/>
          <w:bCs/>
          <w:sz w:val="24"/>
          <w:szCs w:val="24"/>
        </w:rPr>
      </w:pPr>
      <w:r w:rsidRPr="0024583E">
        <w:rPr>
          <w:rFonts w:ascii="Times New Roman" w:hAnsi="Times New Roman" w:cs="Times New Roman"/>
          <w:b/>
          <w:bCs/>
          <w:sz w:val="24"/>
          <w:szCs w:val="24"/>
        </w:rPr>
        <w:lastRenderedPageBreak/>
        <w:t>What is already known on this subject?</w:t>
      </w:r>
    </w:p>
    <w:p w:rsidR="00692A01" w:rsidRPr="0024583E" w:rsidRDefault="00692A01" w:rsidP="00692A01">
      <w:pPr>
        <w:spacing w:after="120" w:line="360" w:lineRule="auto"/>
        <w:jc w:val="both"/>
        <w:rPr>
          <w:rFonts w:ascii="Times New Roman" w:hAnsi="Times New Roman" w:cs="Times New Roman"/>
        </w:rPr>
      </w:pPr>
      <w:r w:rsidRPr="0024583E">
        <w:rPr>
          <w:rFonts w:ascii="Times New Roman" w:hAnsi="Times New Roman" w:cs="Times New Roman"/>
        </w:rPr>
        <w:t>Diabetes in the Gulf region is one of the highest in the world</w:t>
      </w:r>
      <w:r>
        <w:rPr>
          <w:rFonts w:ascii="Times New Roman" w:hAnsi="Times New Roman" w:cs="Times New Roman"/>
        </w:rPr>
        <w:t>. However, c</w:t>
      </w:r>
      <w:r w:rsidRPr="0024583E">
        <w:rPr>
          <w:rFonts w:ascii="Times New Roman" w:hAnsi="Times New Roman" w:cs="Times New Roman"/>
        </w:rPr>
        <w:t xml:space="preserve">omparative studies into the social determinants </w:t>
      </w:r>
      <w:r>
        <w:rPr>
          <w:rFonts w:ascii="Times New Roman" w:hAnsi="Times New Roman" w:cs="Times New Roman"/>
        </w:rPr>
        <w:t>of diabetes are</w:t>
      </w:r>
      <w:r w:rsidRPr="0024583E">
        <w:rPr>
          <w:rFonts w:ascii="Times New Roman" w:hAnsi="Times New Roman" w:cs="Times New Roman"/>
        </w:rPr>
        <w:t xml:space="preserve"> lacking. This study uses the World Health Survey Plus to provide evidence </w:t>
      </w:r>
      <w:r>
        <w:rPr>
          <w:rFonts w:ascii="Times New Roman" w:hAnsi="Times New Roman" w:cs="Times New Roman"/>
        </w:rPr>
        <w:t xml:space="preserve">on </w:t>
      </w:r>
      <w:r w:rsidRPr="0024583E">
        <w:rPr>
          <w:rFonts w:ascii="Times New Roman" w:hAnsi="Times New Roman" w:cs="Times New Roman"/>
        </w:rPr>
        <w:t>the socio-demographic correlates of self-reported diabetes, treatment and co-morbidities in Kuwait, Oman, Saudi Arabia</w:t>
      </w:r>
      <w:r>
        <w:rPr>
          <w:rFonts w:ascii="Times New Roman" w:hAnsi="Times New Roman" w:cs="Times New Roman"/>
        </w:rPr>
        <w:t xml:space="preserve"> and the United Arab Emirates. </w:t>
      </w:r>
    </w:p>
    <w:p w:rsidR="00692A01" w:rsidRPr="0024583E" w:rsidRDefault="00692A01" w:rsidP="00692A01">
      <w:pPr>
        <w:spacing w:after="120" w:line="360" w:lineRule="auto"/>
        <w:jc w:val="both"/>
        <w:rPr>
          <w:rFonts w:ascii="Times New Roman" w:hAnsi="Times New Roman" w:cs="Times New Roman"/>
          <w:bCs/>
          <w:sz w:val="24"/>
          <w:szCs w:val="24"/>
        </w:rPr>
      </w:pPr>
    </w:p>
    <w:p w:rsidR="00692A01" w:rsidRPr="0024583E" w:rsidRDefault="00692A01" w:rsidP="00692A01">
      <w:pPr>
        <w:spacing w:after="120" w:line="360" w:lineRule="auto"/>
        <w:jc w:val="both"/>
        <w:rPr>
          <w:rFonts w:ascii="Times New Roman" w:hAnsi="Times New Roman" w:cs="Times New Roman"/>
          <w:b/>
        </w:rPr>
      </w:pPr>
      <w:r w:rsidRPr="0024583E">
        <w:rPr>
          <w:rFonts w:ascii="Times New Roman" w:hAnsi="Times New Roman" w:cs="Times New Roman"/>
          <w:b/>
        </w:rPr>
        <w:t>What this study adds?</w:t>
      </w:r>
    </w:p>
    <w:p w:rsidR="00692A01" w:rsidRPr="0024583E" w:rsidRDefault="00692A01" w:rsidP="00692A01">
      <w:pPr>
        <w:spacing w:after="120" w:line="360" w:lineRule="auto"/>
        <w:jc w:val="both"/>
        <w:rPr>
          <w:rFonts w:ascii="Times New Roman" w:hAnsi="Times New Roman" w:cs="Times New Roman"/>
          <w:bCs/>
          <w:sz w:val="24"/>
          <w:szCs w:val="24"/>
        </w:rPr>
      </w:pPr>
      <w:r w:rsidRPr="0024583E">
        <w:rPr>
          <w:rFonts w:ascii="Times New Roman" w:hAnsi="Times New Roman" w:cs="Times New Roman"/>
        </w:rPr>
        <w:t>The comparability of the data used across the four G</w:t>
      </w:r>
      <w:r>
        <w:rPr>
          <w:rFonts w:ascii="Times New Roman" w:hAnsi="Times New Roman" w:cs="Times New Roman"/>
        </w:rPr>
        <w:t xml:space="preserve">ulf Cooperation Council </w:t>
      </w:r>
      <w:r w:rsidRPr="0024583E">
        <w:rPr>
          <w:rFonts w:ascii="Times New Roman" w:hAnsi="Times New Roman" w:cs="Times New Roman"/>
        </w:rPr>
        <w:t>countries shed</w:t>
      </w:r>
      <w:r>
        <w:rPr>
          <w:rFonts w:ascii="Times New Roman" w:hAnsi="Times New Roman" w:cs="Times New Roman"/>
        </w:rPr>
        <w:t>s</w:t>
      </w:r>
      <w:r w:rsidRPr="0024583E">
        <w:rPr>
          <w:rFonts w:ascii="Times New Roman" w:hAnsi="Times New Roman" w:cs="Times New Roman"/>
        </w:rPr>
        <w:t xml:space="preserve"> light on the under</w:t>
      </w:r>
      <w:r w:rsidRPr="00172315">
        <w:rPr>
          <w:rFonts w:ascii="Times New Roman" w:hAnsi="Times New Roman" w:cs="Times New Roman"/>
        </w:rPr>
        <w:t>lying differences in prevalence</w:t>
      </w:r>
      <w:r w:rsidRPr="0024583E">
        <w:rPr>
          <w:rFonts w:ascii="Times New Roman" w:hAnsi="Times New Roman" w:cs="Times New Roman"/>
        </w:rPr>
        <w:t>. The high prevalence of obesity and co-occurrence of comorbidity</w:t>
      </w:r>
      <w:r>
        <w:rPr>
          <w:rFonts w:ascii="Times New Roman" w:hAnsi="Times New Roman" w:cs="Times New Roman"/>
        </w:rPr>
        <w:t xml:space="preserve"> amongst the diabeti</w:t>
      </w:r>
      <w:r w:rsidRPr="00172315">
        <w:rPr>
          <w:rFonts w:ascii="Times New Roman" w:hAnsi="Times New Roman" w:cs="Times New Roman"/>
        </w:rPr>
        <w:t>c population across the region is</w:t>
      </w:r>
      <w:r w:rsidRPr="0024583E">
        <w:rPr>
          <w:rFonts w:ascii="Times New Roman" w:hAnsi="Times New Roman" w:cs="Times New Roman"/>
        </w:rPr>
        <w:t xml:space="preserve"> equally surprising, </w:t>
      </w:r>
      <w:r>
        <w:rPr>
          <w:rFonts w:ascii="Times New Roman" w:hAnsi="Times New Roman" w:cs="Times New Roman"/>
        </w:rPr>
        <w:t xml:space="preserve">pointing towards </w:t>
      </w:r>
      <w:r w:rsidRPr="0024583E">
        <w:rPr>
          <w:rFonts w:ascii="Times New Roman" w:hAnsi="Times New Roman" w:cs="Times New Roman"/>
        </w:rPr>
        <w:t xml:space="preserve">a </w:t>
      </w:r>
      <w:r>
        <w:rPr>
          <w:rFonts w:ascii="Times New Roman" w:hAnsi="Times New Roman" w:cs="Times New Roman"/>
        </w:rPr>
        <w:t xml:space="preserve">tailored approach to NCDs, and </w:t>
      </w:r>
      <w:r w:rsidRPr="0024583E">
        <w:rPr>
          <w:rFonts w:ascii="Times New Roman" w:hAnsi="Times New Roman" w:cs="Times New Roman"/>
        </w:rPr>
        <w:t xml:space="preserve">horizontal programming that </w:t>
      </w:r>
      <w:r>
        <w:rPr>
          <w:rFonts w:ascii="Times New Roman" w:hAnsi="Times New Roman" w:cs="Times New Roman"/>
        </w:rPr>
        <w:t xml:space="preserve">strengthens the control of diabetes and co-occurring conditions in the region. </w:t>
      </w:r>
    </w:p>
    <w:p w:rsidR="00692A01" w:rsidRDefault="00692A01" w:rsidP="00692A01">
      <w:pPr>
        <w:rPr>
          <w:rFonts w:ascii="Times New Roman" w:hAnsi="Times New Roman" w:cs="Times New Roman"/>
          <w:sz w:val="24"/>
          <w:szCs w:val="24"/>
        </w:rPr>
      </w:pPr>
      <w:r>
        <w:rPr>
          <w:rFonts w:ascii="Times New Roman" w:hAnsi="Times New Roman" w:cs="Times New Roman"/>
          <w:sz w:val="24"/>
          <w:szCs w:val="24"/>
        </w:rPr>
        <w:br w:type="page"/>
      </w:r>
    </w:p>
    <w:p w:rsidR="00692A01" w:rsidRDefault="00692A01" w:rsidP="00692A01">
      <w:pPr>
        <w:spacing w:after="120"/>
        <w:jc w:val="both"/>
        <w:rPr>
          <w:rFonts w:ascii="Times New Roman" w:hAnsi="Times New Roman" w:cs="Times New Roman"/>
          <w:b/>
          <w:bCs/>
          <w:sz w:val="24"/>
          <w:szCs w:val="24"/>
        </w:rPr>
      </w:pPr>
      <w:r w:rsidRPr="0024583E">
        <w:rPr>
          <w:rFonts w:ascii="Times New Roman" w:hAnsi="Times New Roman" w:cs="Times New Roman"/>
          <w:b/>
          <w:bCs/>
          <w:sz w:val="24"/>
          <w:szCs w:val="24"/>
        </w:rPr>
        <w:lastRenderedPageBreak/>
        <w:t>INTRODUCTION</w:t>
      </w:r>
    </w:p>
    <w:p w:rsidR="00692A01" w:rsidRPr="00421D7E" w:rsidRDefault="00692A01" w:rsidP="00692A01">
      <w:pPr>
        <w:spacing w:after="120" w:line="360" w:lineRule="auto"/>
        <w:jc w:val="both"/>
        <w:rPr>
          <w:rFonts w:ascii="Times New Roman" w:hAnsi="Times New Roman" w:cs="Times New Roman"/>
        </w:rPr>
      </w:pPr>
      <w:r w:rsidRPr="0024583E">
        <w:rPr>
          <w:rFonts w:ascii="Times New Roman" w:hAnsi="Times New Roman" w:cs="Times New Roman"/>
        </w:rPr>
        <w:t>Globally, the</w:t>
      </w:r>
      <w:r>
        <w:rPr>
          <w:rFonts w:ascii="Times New Roman" w:hAnsi="Times New Roman" w:cs="Times New Roman"/>
        </w:rPr>
        <w:t>re are</w:t>
      </w:r>
      <w:r w:rsidRPr="0024583E">
        <w:rPr>
          <w:rFonts w:ascii="Times New Roman" w:hAnsi="Times New Roman" w:cs="Times New Roman"/>
        </w:rPr>
        <w:t xml:space="preserve"> 415 million currently estimated to be living with diabetes </w:t>
      </w:r>
      <w:r>
        <w:rPr>
          <w:rFonts w:ascii="Times New Roman" w:hAnsi="Times New Roman" w:cs="Times New Roman"/>
        </w:rPr>
        <w:t xml:space="preserve">and this figure </w:t>
      </w:r>
      <w:r w:rsidRPr="0024583E">
        <w:rPr>
          <w:rFonts w:ascii="Times New Roman" w:hAnsi="Times New Roman" w:cs="Times New Roman"/>
        </w:rPr>
        <w:t>is set to rise to approximately</w:t>
      </w:r>
      <w:r w:rsidRPr="0024583E">
        <w:rPr>
          <w:rFonts w:ascii="Times New Roman" w:hAnsi="Times New Roman" w:cs="Times New Roman"/>
          <w:color w:val="333333"/>
          <w:sz w:val="16"/>
          <w:lang w:val="en"/>
        </w:rPr>
        <w:t xml:space="preserve"> </w:t>
      </w:r>
      <w:r w:rsidRPr="0024583E">
        <w:rPr>
          <w:rFonts w:ascii="Times New Roman" w:hAnsi="Times New Roman" w:cs="Times New Roman"/>
        </w:rPr>
        <w:t>642 million by 2040</w:t>
      </w:r>
      <w:r>
        <w:rPr>
          <w:rFonts w:ascii="Times New Roman" w:hAnsi="Times New Roman" w:cs="Times New Roman"/>
        </w:rPr>
        <w:t>.</w:t>
      </w:r>
      <w:r>
        <w:rPr>
          <w:rFonts w:ascii="Times New Roman" w:hAnsi="Times New Roman" w:cs="Times New Roman"/>
          <w:noProof/>
        </w:rPr>
        <w:t>[1]</w:t>
      </w:r>
      <w:r w:rsidRPr="0024583E">
        <w:rPr>
          <w:rFonts w:ascii="Times New Roman" w:hAnsi="Times New Roman" w:cs="Times New Roman"/>
        </w:rPr>
        <w:t xml:space="preserve"> Whilst the literature points to a need for more representative surveillance data on diabetes</w:t>
      </w:r>
      <w:r>
        <w:rPr>
          <w:rFonts w:ascii="Times New Roman" w:hAnsi="Times New Roman" w:cs="Times New Roman"/>
        </w:rPr>
        <w:t xml:space="preserve"> globally</w:t>
      </w:r>
      <w:r w:rsidRPr="0024583E">
        <w:rPr>
          <w:rFonts w:ascii="Times New Roman" w:hAnsi="Times New Roman" w:cs="Times New Roman"/>
        </w:rPr>
        <w:t>, reported figures suggest an upward trend over the last two decades in some GCC</w:t>
      </w:r>
      <w:r>
        <w:rPr>
          <w:rFonts w:ascii="Times New Roman" w:hAnsi="Times New Roman" w:cs="Times New Roman"/>
        </w:rPr>
        <w:t xml:space="preserve"> </w:t>
      </w:r>
      <w:r w:rsidRPr="0024583E">
        <w:rPr>
          <w:rFonts w:ascii="Times New Roman" w:hAnsi="Times New Roman" w:cs="Times New Roman"/>
        </w:rPr>
        <w:t xml:space="preserve">countries.  Notably, in Saudi Arabia, diabetes prevalence increased from 9% to 22% in both males and females, between 1980 </w:t>
      </w:r>
      <w:r>
        <w:rPr>
          <w:rFonts w:ascii="Times New Roman" w:hAnsi="Times New Roman" w:cs="Times New Roman"/>
        </w:rPr>
        <w:t xml:space="preserve">and 2008; and in Kuwait, </w:t>
      </w:r>
      <w:r w:rsidRPr="0024583E">
        <w:rPr>
          <w:rFonts w:ascii="Times New Roman" w:hAnsi="Times New Roman" w:cs="Times New Roman"/>
        </w:rPr>
        <w:t>prevalence increased from 10% to 17% in males and 9% to 15% in females over the same period</w:t>
      </w:r>
      <w:r>
        <w:rPr>
          <w:rFonts w:ascii="Times New Roman" w:hAnsi="Times New Roman" w:cs="Times New Roman"/>
        </w:rPr>
        <w:t>.</w:t>
      </w:r>
      <w:r>
        <w:rPr>
          <w:rFonts w:ascii="Times New Roman" w:hAnsi="Times New Roman" w:cs="Times New Roman"/>
          <w:noProof/>
        </w:rPr>
        <w:t>[2]</w:t>
      </w:r>
      <w:r w:rsidRPr="0024583E">
        <w:rPr>
          <w:rFonts w:ascii="Times New Roman" w:hAnsi="Times New Roman" w:cs="Times New Roman"/>
        </w:rPr>
        <w:t xml:space="preserve"> </w:t>
      </w:r>
    </w:p>
    <w:p w:rsidR="00692A01" w:rsidRPr="0024583E" w:rsidRDefault="00692A01" w:rsidP="00692A01">
      <w:pPr>
        <w:spacing w:after="120" w:line="360" w:lineRule="auto"/>
        <w:jc w:val="both"/>
        <w:rPr>
          <w:rFonts w:ascii="Times New Roman" w:hAnsi="Times New Roman" w:cs="Times New Roman"/>
        </w:rPr>
      </w:pPr>
      <w:r w:rsidRPr="0024583E">
        <w:rPr>
          <w:rFonts w:ascii="Times New Roman" w:hAnsi="Times New Roman" w:cs="Times New Roman"/>
        </w:rPr>
        <w:t>Diabetes is considered to be a multifactorial disease, caused by exposure to a combination of genetic and environmental risk factors</w:t>
      </w:r>
      <w:r>
        <w:rPr>
          <w:rFonts w:ascii="Times New Roman" w:hAnsi="Times New Roman" w:cs="Times New Roman"/>
        </w:rPr>
        <w:t>.</w:t>
      </w:r>
      <w:r>
        <w:rPr>
          <w:rFonts w:ascii="Times New Roman" w:hAnsi="Times New Roman" w:cs="Times New Roman"/>
          <w:noProof/>
        </w:rPr>
        <w:t>[3, 4]</w:t>
      </w:r>
      <w:r w:rsidRPr="0024583E">
        <w:rPr>
          <w:rFonts w:ascii="Times New Roman" w:hAnsi="Times New Roman" w:cs="Times New Roman"/>
        </w:rPr>
        <w:t xml:space="preserve"> Whilst the global diabetes epidemic is linked to the changes associated with rapid economic development, such as increased urbanisation</w:t>
      </w:r>
      <w:r w:rsidRPr="0024583E">
        <w:rPr>
          <w:rFonts w:ascii="Times New Roman" w:hAnsi="Times New Roman" w:cs="Times New Roman"/>
          <w:sz w:val="24"/>
          <w:szCs w:val="24"/>
        </w:rPr>
        <w:t>,</w:t>
      </w:r>
      <w:r>
        <w:rPr>
          <w:rFonts w:ascii="Times New Roman" w:hAnsi="Times New Roman" w:cs="Times New Roman"/>
          <w:noProof/>
          <w:sz w:val="24"/>
          <w:szCs w:val="24"/>
        </w:rPr>
        <w:t>[5]</w:t>
      </w:r>
      <w:r w:rsidRPr="0024583E">
        <w:rPr>
          <w:rFonts w:ascii="Times New Roman" w:hAnsi="Times New Roman" w:cs="Times New Roman"/>
          <w:sz w:val="24"/>
          <w:szCs w:val="24"/>
        </w:rPr>
        <w:t xml:space="preserve"> </w:t>
      </w:r>
      <w:r w:rsidRPr="0024583E">
        <w:rPr>
          <w:rFonts w:ascii="Times New Roman" w:hAnsi="Times New Roman" w:cs="Times New Roman"/>
        </w:rPr>
        <w:t>lifestyle-related factors include, but are not limited to, changes in diet, physical activity and tobacco smoking.</w:t>
      </w:r>
      <w:r>
        <w:rPr>
          <w:rFonts w:ascii="Times New Roman" w:hAnsi="Times New Roman" w:cs="Times New Roman"/>
          <w:noProof/>
        </w:rPr>
        <w:t>[6-9]</w:t>
      </w:r>
    </w:p>
    <w:p w:rsidR="00692A01" w:rsidRDefault="00692A01" w:rsidP="00692A01">
      <w:pPr>
        <w:spacing w:after="120" w:line="360" w:lineRule="auto"/>
        <w:jc w:val="both"/>
        <w:rPr>
          <w:rFonts w:ascii="Times New Roman" w:hAnsi="Times New Roman" w:cs="Times New Roman"/>
        </w:rPr>
      </w:pPr>
      <w:r>
        <w:rPr>
          <w:rFonts w:ascii="Times New Roman" w:hAnsi="Times New Roman" w:cs="Times New Roman"/>
        </w:rPr>
        <w:t>Furthermore, p</w:t>
      </w:r>
      <w:r w:rsidRPr="0024583E">
        <w:rPr>
          <w:rFonts w:ascii="Times New Roman" w:hAnsi="Times New Roman" w:cs="Times New Roman"/>
        </w:rPr>
        <w:t xml:space="preserve">oorer health outcomes are associated with inadequate access to treatment, as </w:t>
      </w:r>
      <w:r>
        <w:rPr>
          <w:rFonts w:ascii="Times New Roman" w:hAnsi="Times New Roman" w:cs="Times New Roman"/>
        </w:rPr>
        <w:t>well as its improper compliance.</w:t>
      </w:r>
      <w:r>
        <w:rPr>
          <w:rFonts w:ascii="Times New Roman" w:hAnsi="Times New Roman" w:cs="Times New Roman"/>
          <w:noProof/>
        </w:rPr>
        <w:t>[10]</w:t>
      </w:r>
      <w:r w:rsidRPr="0024583E">
        <w:rPr>
          <w:rFonts w:ascii="Times New Roman" w:hAnsi="Times New Roman" w:cs="Times New Roman"/>
        </w:rPr>
        <w:t xml:space="preserve">  </w:t>
      </w:r>
      <w:r>
        <w:rPr>
          <w:rFonts w:ascii="Times New Roman" w:hAnsi="Times New Roman" w:cs="Times New Roman"/>
        </w:rPr>
        <w:t>Despite s</w:t>
      </w:r>
      <w:r w:rsidRPr="00E32FC8">
        <w:rPr>
          <w:rFonts w:ascii="Times New Roman" w:hAnsi="Times New Roman" w:cs="Times New Roman"/>
        </w:rPr>
        <w:t>ubstantial investments in health-care infrastructure during the past 25 years</w:t>
      </w:r>
      <w:r>
        <w:rPr>
          <w:rFonts w:ascii="Times New Roman" w:hAnsi="Times New Roman" w:cs="Times New Roman"/>
        </w:rPr>
        <w:t xml:space="preserve">, the </w:t>
      </w:r>
      <w:r w:rsidRPr="00E32FC8">
        <w:rPr>
          <w:rFonts w:ascii="Times New Roman" w:hAnsi="Times New Roman" w:cs="Times New Roman"/>
        </w:rPr>
        <w:t xml:space="preserve">Gulf Cooperation Council (GCC) governments </w:t>
      </w:r>
      <w:r>
        <w:rPr>
          <w:rFonts w:ascii="Times New Roman" w:hAnsi="Times New Roman" w:cs="Times New Roman"/>
        </w:rPr>
        <w:t xml:space="preserve">are still faced with the </w:t>
      </w:r>
      <w:r w:rsidRPr="00E32FC8">
        <w:rPr>
          <w:rFonts w:ascii="Times New Roman" w:hAnsi="Times New Roman" w:cs="Times New Roman"/>
        </w:rPr>
        <w:t>three</w:t>
      </w:r>
      <w:r>
        <w:rPr>
          <w:rFonts w:ascii="Times New Roman" w:hAnsi="Times New Roman" w:cs="Times New Roman"/>
        </w:rPr>
        <w:t xml:space="preserve"> </w:t>
      </w:r>
      <w:r w:rsidRPr="00E32FC8">
        <w:rPr>
          <w:rFonts w:ascii="Times New Roman" w:hAnsi="Times New Roman" w:cs="Times New Roman"/>
        </w:rPr>
        <w:t>drivers that will dramatically increase health-care</w:t>
      </w:r>
      <w:r>
        <w:rPr>
          <w:rFonts w:ascii="Times New Roman" w:hAnsi="Times New Roman" w:cs="Times New Roman"/>
        </w:rPr>
        <w:t xml:space="preserve"> </w:t>
      </w:r>
      <w:r w:rsidRPr="00E32FC8">
        <w:rPr>
          <w:rFonts w:ascii="Times New Roman" w:hAnsi="Times New Roman" w:cs="Times New Roman"/>
        </w:rPr>
        <w:t>demand in the region: population growth, aging, and</w:t>
      </w:r>
      <w:r>
        <w:rPr>
          <w:rFonts w:ascii="Times New Roman" w:hAnsi="Times New Roman" w:cs="Times New Roman"/>
        </w:rPr>
        <w:t xml:space="preserve"> </w:t>
      </w:r>
      <w:r w:rsidRPr="00E32FC8">
        <w:rPr>
          <w:rFonts w:ascii="Times New Roman" w:hAnsi="Times New Roman" w:cs="Times New Roman"/>
        </w:rPr>
        <w:t>health-</w:t>
      </w:r>
      <w:r>
        <w:rPr>
          <w:rFonts w:ascii="Times New Roman" w:hAnsi="Times New Roman" w:cs="Times New Roman"/>
        </w:rPr>
        <w:t xml:space="preserve">related </w:t>
      </w:r>
      <w:r w:rsidRPr="00E32FC8">
        <w:rPr>
          <w:rFonts w:ascii="Times New Roman" w:hAnsi="Times New Roman" w:cs="Times New Roman"/>
        </w:rPr>
        <w:t>risk factors</w:t>
      </w:r>
      <w:r>
        <w:rPr>
          <w:rFonts w:ascii="Times New Roman" w:hAnsi="Times New Roman" w:cs="Times New Roman"/>
        </w:rPr>
        <w:t>.</w:t>
      </w:r>
      <w:r>
        <w:rPr>
          <w:rFonts w:ascii="Times New Roman" w:hAnsi="Times New Roman" w:cs="Times New Roman"/>
          <w:noProof/>
        </w:rPr>
        <w:t>[11, 12]</w:t>
      </w:r>
      <w:r w:rsidRPr="00E32FC8">
        <w:rPr>
          <w:rFonts w:ascii="Times New Roman" w:hAnsi="Times New Roman" w:cs="Times New Roman"/>
        </w:rPr>
        <w:t xml:space="preserve"> </w:t>
      </w:r>
      <w:r>
        <w:rPr>
          <w:rFonts w:ascii="Times New Roman" w:hAnsi="Times New Roman" w:cs="Times New Roman"/>
        </w:rPr>
        <w:t xml:space="preserve"> Related to the latter, t</w:t>
      </w:r>
      <w:r w:rsidRPr="0024583E">
        <w:rPr>
          <w:rFonts w:ascii="Times New Roman" w:hAnsi="Times New Roman" w:cs="Times New Roman"/>
        </w:rPr>
        <w:t>he ‘nutrition transition’ characterises a move towards greater consumption of energy-dense foods, high in saturated fat and salt</w:t>
      </w:r>
      <w:r>
        <w:rPr>
          <w:rFonts w:ascii="Times New Roman" w:hAnsi="Times New Roman" w:cs="Times New Roman"/>
        </w:rPr>
        <w:t>.</w:t>
      </w:r>
      <w:r>
        <w:rPr>
          <w:rFonts w:ascii="Times New Roman" w:hAnsi="Times New Roman" w:cs="Times New Roman"/>
          <w:noProof/>
        </w:rPr>
        <w:t>[13]</w:t>
      </w:r>
      <w:r w:rsidRPr="0024583E">
        <w:rPr>
          <w:rFonts w:ascii="Times New Roman" w:hAnsi="Times New Roman" w:cs="Times New Roman"/>
        </w:rPr>
        <w:t xml:space="preserve"> The result is an increasingly obesogenic environment, which places the individual, and society, at greater risk of diabetes.</w:t>
      </w:r>
      <w:r>
        <w:rPr>
          <w:rFonts w:ascii="Times New Roman" w:hAnsi="Times New Roman" w:cs="Times New Roman"/>
        </w:rPr>
        <w:t xml:space="preserve"> In a recent systematic review, examining the prevalence of Type 2 diabetes in the Arab States of the Gulf, prevalence ranged between 4.3% in 1980 to 34.9% in 2009. Consistent with other studies,</w:t>
      </w:r>
      <w:r>
        <w:rPr>
          <w:rFonts w:ascii="Times New Roman" w:hAnsi="Times New Roman" w:cs="Times New Roman"/>
          <w:noProof/>
        </w:rPr>
        <w:t>[14]</w:t>
      </w:r>
      <w:r>
        <w:rPr>
          <w:rFonts w:ascii="Times New Roman" w:hAnsi="Times New Roman" w:cs="Times New Roman"/>
        </w:rPr>
        <w:t xml:space="preserve"> diabetes increased with age, whilst urban residence was also associated with higher prevalence </w:t>
      </w:r>
      <w:r>
        <w:rPr>
          <w:rFonts w:ascii="Times New Roman" w:hAnsi="Times New Roman" w:cs="Times New Roman"/>
          <w:noProof/>
        </w:rPr>
        <w:t>[15]</w:t>
      </w:r>
      <w:r w:rsidRPr="0024583E">
        <w:rPr>
          <w:rFonts w:ascii="Times New Roman" w:hAnsi="Times New Roman" w:cs="Times New Roman"/>
        </w:rPr>
        <w:t xml:space="preserve"> In the case of </w:t>
      </w:r>
      <w:r>
        <w:rPr>
          <w:rFonts w:ascii="Times New Roman" w:hAnsi="Times New Roman" w:cs="Times New Roman"/>
        </w:rPr>
        <w:t>Type 2</w:t>
      </w:r>
      <w:r w:rsidRPr="0024583E">
        <w:rPr>
          <w:rFonts w:ascii="Times New Roman" w:hAnsi="Times New Roman" w:cs="Times New Roman"/>
        </w:rPr>
        <w:t xml:space="preserve"> diabetes, </w:t>
      </w:r>
      <w:r>
        <w:rPr>
          <w:rFonts w:ascii="Times New Roman" w:hAnsi="Times New Roman" w:cs="Times New Roman"/>
        </w:rPr>
        <w:t xml:space="preserve">however, </w:t>
      </w:r>
      <w:r w:rsidRPr="0024583E">
        <w:rPr>
          <w:rFonts w:ascii="Times New Roman" w:hAnsi="Times New Roman" w:cs="Times New Roman"/>
        </w:rPr>
        <w:t>obesity is the most commonly attributed risk factor</w:t>
      </w:r>
      <w:r>
        <w:rPr>
          <w:rFonts w:ascii="Times New Roman" w:hAnsi="Times New Roman" w:cs="Times New Roman"/>
        </w:rPr>
        <w:t xml:space="preserve">. </w:t>
      </w:r>
      <w:r>
        <w:rPr>
          <w:rFonts w:ascii="Times New Roman" w:hAnsi="Times New Roman" w:cs="Times New Roman"/>
          <w:noProof/>
        </w:rPr>
        <w:t>[16]</w:t>
      </w:r>
      <w:r w:rsidRPr="0024583E">
        <w:rPr>
          <w:rFonts w:ascii="Times New Roman" w:hAnsi="Times New Roman" w:cs="Times New Roman"/>
        </w:rPr>
        <w:t xml:space="preserve"> The prevalence of Type 2 diabetes and obesity amongst nationals living in the GCC region is unusually high relative to the rest of the world. The </w:t>
      </w:r>
      <w:r>
        <w:rPr>
          <w:rFonts w:ascii="Times New Roman" w:hAnsi="Times New Roman" w:cs="Times New Roman"/>
        </w:rPr>
        <w:t>reported obesity prevalence</w:t>
      </w:r>
      <w:r w:rsidRPr="0024583E">
        <w:rPr>
          <w:rFonts w:ascii="Times New Roman" w:hAnsi="Times New Roman" w:cs="Times New Roman"/>
        </w:rPr>
        <w:t xml:space="preserve"> for GCC nationals stands at 40</w:t>
      </w:r>
      <w:r>
        <w:rPr>
          <w:rFonts w:ascii="Times New Roman" w:hAnsi="Times New Roman" w:cs="Times New Roman"/>
        </w:rPr>
        <w:t>%</w:t>
      </w:r>
      <w:r w:rsidRPr="0024583E">
        <w:rPr>
          <w:rFonts w:ascii="Times New Roman" w:hAnsi="Times New Roman" w:cs="Times New Roman"/>
        </w:rPr>
        <w:t xml:space="preserve"> - one of the highest in the world</w:t>
      </w:r>
      <w:r>
        <w:rPr>
          <w:rFonts w:ascii="Times New Roman" w:hAnsi="Times New Roman" w:cs="Times New Roman"/>
        </w:rPr>
        <w:t>.</w:t>
      </w:r>
      <w:r>
        <w:rPr>
          <w:rFonts w:ascii="Times New Roman" w:hAnsi="Times New Roman" w:cs="Times New Roman"/>
          <w:noProof/>
        </w:rPr>
        <w:t>[14]</w:t>
      </w:r>
      <w:r w:rsidRPr="0024583E">
        <w:rPr>
          <w:rFonts w:ascii="Times New Roman" w:hAnsi="Times New Roman" w:cs="Times New Roman"/>
        </w:rPr>
        <w:t xml:space="preserve">  The implications are that healthcare and social costs associated with both diabetes and obesity will dramatically increase in the next decade. Furthermore, the co-occurrence of diabetes and other chronic conditions is common, which has further implications for the healthcare </w:t>
      </w:r>
      <w:r>
        <w:rPr>
          <w:rFonts w:ascii="Times New Roman" w:hAnsi="Times New Roman" w:cs="Times New Roman"/>
        </w:rPr>
        <w:t xml:space="preserve">delivery </w:t>
      </w:r>
      <w:r w:rsidRPr="0024583E">
        <w:rPr>
          <w:rFonts w:ascii="Times New Roman" w:hAnsi="Times New Roman" w:cs="Times New Roman"/>
        </w:rPr>
        <w:t>system</w:t>
      </w:r>
      <w:r>
        <w:rPr>
          <w:rFonts w:ascii="Times New Roman" w:hAnsi="Times New Roman" w:cs="Times New Roman"/>
        </w:rPr>
        <w:t>.</w:t>
      </w:r>
      <w:r>
        <w:rPr>
          <w:rFonts w:ascii="Times New Roman" w:hAnsi="Times New Roman" w:cs="Times New Roman"/>
          <w:noProof/>
        </w:rPr>
        <w:t>[17]</w:t>
      </w:r>
      <w:r>
        <w:rPr>
          <w:rFonts w:ascii="Times New Roman" w:hAnsi="Times New Roman" w:cs="Times New Roman"/>
        </w:rPr>
        <w:t xml:space="preserve"> </w:t>
      </w:r>
    </w:p>
    <w:p w:rsidR="00692A01" w:rsidRPr="004C0CA1" w:rsidRDefault="00692A01" w:rsidP="00692A01">
      <w:pPr>
        <w:spacing w:after="120" w:line="360" w:lineRule="auto"/>
        <w:jc w:val="both"/>
        <w:rPr>
          <w:rFonts w:ascii="Times New Roman" w:hAnsi="Times New Roman" w:cs="Times New Roman"/>
        </w:rPr>
      </w:pPr>
      <w:r>
        <w:rPr>
          <w:rFonts w:ascii="Times New Roman" w:hAnsi="Times New Roman" w:cs="Times New Roman"/>
        </w:rPr>
        <w:t>A recent World Bank report indicates that, in 2012, Kuwait had the highest  national GDP per capita of approximately USD51,264; compared to USD22,134 in Oman; USD25,303 in Saudi Arabia and USD42,086 in the United Arab Emirates (UAE).  All were classified as high-income countries according to the report</w:t>
      </w:r>
      <w:r w:rsidRPr="00F92A20">
        <w:rPr>
          <w:rFonts w:ascii="Times New Roman" w:hAnsi="Times New Roman" w:cs="Times New Roman"/>
        </w:rPr>
        <w:t>.</w:t>
      </w:r>
      <w:r w:rsidRPr="006D3D16">
        <w:rPr>
          <w:rFonts w:ascii="Times New Roman" w:hAnsi="Times New Roman" w:cs="Times New Roman"/>
        </w:rPr>
        <w:t xml:space="preserve"> </w:t>
      </w:r>
      <w:r w:rsidRPr="00F92A20">
        <w:rPr>
          <w:rFonts w:ascii="Times New Roman" w:hAnsi="Times New Roman" w:cs="Times New Roman"/>
          <w:noProof/>
        </w:rPr>
        <w:t>[18]</w:t>
      </w:r>
      <w:r w:rsidRPr="00F92A20">
        <w:rPr>
          <w:rFonts w:ascii="Times New Roman" w:hAnsi="Times New Roman" w:cs="Times New Roman"/>
        </w:rPr>
        <w:t xml:space="preserve"> All</w:t>
      </w:r>
      <w:r>
        <w:rPr>
          <w:rFonts w:ascii="Times New Roman" w:hAnsi="Times New Roman" w:cs="Times New Roman"/>
        </w:rPr>
        <w:t xml:space="preserve"> countries have similar life expectancies at birth, in 2012, at 74.2, 76.1, 73.9 and 76.7; for Kuwait, Oman, Saudi Arabia and UAE, respectively. However, health care expenditure is generally lower than that of other high-income countries. For example, compared to the UK, whose national health expenditure is close to 9.7% of GDP, the GCC countries have much lower </w:t>
      </w:r>
      <w:r>
        <w:rPr>
          <w:rFonts w:ascii="Times New Roman" w:hAnsi="Times New Roman" w:cs="Times New Roman"/>
        </w:rPr>
        <w:lastRenderedPageBreak/>
        <w:t>levels</w:t>
      </w:r>
      <w:r w:rsidRPr="00F92A20">
        <w:rPr>
          <w:rFonts w:ascii="Times New Roman" w:hAnsi="Times New Roman" w:cs="Times New Roman"/>
        </w:rPr>
        <w:t xml:space="preserve"> at: 2.7% in Kuwait; </w:t>
      </w:r>
      <w:r>
        <w:rPr>
          <w:rFonts w:ascii="Times New Roman" w:hAnsi="Times New Roman" w:cs="Times New Roman"/>
        </w:rPr>
        <w:t>2.3</w:t>
      </w:r>
      <w:r w:rsidRPr="00F92A20">
        <w:rPr>
          <w:rFonts w:ascii="Times New Roman" w:hAnsi="Times New Roman" w:cs="Times New Roman"/>
        </w:rPr>
        <w:t xml:space="preserve">% in </w:t>
      </w:r>
      <w:r>
        <w:rPr>
          <w:rFonts w:ascii="Times New Roman" w:hAnsi="Times New Roman" w:cs="Times New Roman"/>
        </w:rPr>
        <w:t>Oman</w:t>
      </w:r>
      <w:r w:rsidRPr="00F92A20">
        <w:rPr>
          <w:rFonts w:ascii="Times New Roman" w:hAnsi="Times New Roman" w:cs="Times New Roman"/>
        </w:rPr>
        <w:t>; 3.7% in Saudi Arabia; and 3.3% in UAE. Across all GCC</w:t>
      </w:r>
      <w:r>
        <w:rPr>
          <w:rFonts w:ascii="Times New Roman" w:hAnsi="Times New Roman" w:cs="Times New Roman"/>
        </w:rPr>
        <w:t xml:space="preserve"> countries,</w:t>
      </w:r>
      <w:r w:rsidRPr="00F92A20">
        <w:rPr>
          <w:rFonts w:ascii="Times New Roman" w:hAnsi="Times New Roman" w:cs="Times New Roman"/>
        </w:rPr>
        <w:t xml:space="preserve"> health services are provided at free cost for nationals, whilst health insurance is available for expatriates (non-nationals)</w:t>
      </w:r>
      <w:r w:rsidRPr="00421D7E">
        <w:rPr>
          <w:color w:val="000000"/>
        </w:rPr>
        <w:t>,</w:t>
      </w:r>
      <w:r w:rsidRPr="00421D7E">
        <w:rPr>
          <w:rFonts w:ascii="Times New Roman" w:hAnsi="Times New Roman" w:cs="Times New Roman"/>
          <w:color w:val="000000"/>
        </w:rPr>
        <w:t xml:space="preserve"> w</w:t>
      </w:r>
      <w:r w:rsidRPr="00421D7E">
        <w:rPr>
          <w:rFonts w:ascii="Times New Roman" w:hAnsi="Times New Roman" w:cs="Times New Roman"/>
          <w:color w:val="000000"/>
          <w:shd w:val="clear" w:color="auto" w:fill="FFFFFF"/>
        </w:rPr>
        <w:t>ho constitute approximately 50% of the total population across the GCC countries</w:t>
      </w:r>
      <w:r>
        <w:rPr>
          <w:rFonts w:ascii="Times New Roman" w:hAnsi="Times New Roman" w:cs="Times New Roman"/>
        </w:rPr>
        <w:t xml:space="preserve"> in 2017. </w:t>
      </w:r>
      <w:r w:rsidRPr="004C0CA1">
        <w:rPr>
          <w:rFonts w:ascii="Times New Roman" w:hAnsi="Times New Roman" w:cs="Times New Roman"/>
          <w:noProof/>
        </w:rPr>
        <w:t>[19]</w:t>
      </w:r>
    </w:p>
    <w:p w:rsidR="00692A01" w:rsidRDefault="00692A01" w:rsidP="00692A01">
      <w:pPr>
        <w:spacing w:after="120" w:line="360" w:lineRule="auto"/>
        <w:jc w:val="both"/>
        <w:rPr>
          <w:rFonts w:ascii="Times New Roman" w:hAnsi="Times New Roman" w:cs="Times New Roman"/>
        </w:rPr>
      </w:pPr>
      <w:r>
        <w:rPr>
          <w:rFonts w:ascii="Times New Roman" w:hAnsi="Times New Roman" w:cs="Times New Roman"/>
        </w:rPr>
        <w:t xml:space="preserve">To our knowledge, however, there have been no comparative studies estimating the distribution of diabetes in GCC countries. </w:t>
      </w:r>
      <w:r w:rsidRPr="0024583E">
        <w:rPr>
          <w:rFonts w:ascii="Times New Roman" w:hAnsi="Times New Roman" w:cs="Times New Roman"/>
        </w:rPr>
        <w:t xml:space="preserve">The aim of this paper was to </w:t>
      </w:r>
      <w:r>
        <w:rPr>
          <w:rFonts w:ascii="Times New Roman" w:hAnsi="Times New Roman" w:cs="Times New Roman"/>
        </w:rPr>
        <w:t xml:space="preserve">estimate </w:t>
      </w:r>
      <w:r w:rsidRPr="0024583E">
        <w:rPr>
          <w:rFonts w:ascii="Times New Roman" w:hAnsi="Times New Roman" w:cs="Times New Roman"/>
        </w:rPr>
        <w:t>the prev</w:t>
      </w:r>
      <w:r>
        <w:rPr>
          <w:rFonts w:ascii="Times New Roman" w:hAnsi="Times New Roman" w:cs="Times New Roman"/>
        </w:rPr>
        <w:t>alence and correlate</w:t>
      </w:r>
      <w:r w:rsidRPr="0024583E">
        <w:rPr>
          <w:rFonts w:ascii="Times New Roman" w:hAnsi="Times New Roman" w:cs="Times New Roman"/>
        </w:rPr>
        <w:t xml:space="preserve">s of self-reported diabetes, its comorbidities, and associated healthcare </w:t>
      </w:r>
      <w:r>
        <w:rPr>
          <w:rFonts w:ascii="Times New Roman" w:hAnsi="Times New Roman" w:cs="Times New Roman"/>
        </w:rPr>
        <w:t xml:space="preserve">service </w:t>
      </w:r>
      <w:r w:rsidRPr="0024583E">
        <w:rPr>
          <w:rFonts w:ascii="Times New Roman" w:hAnsi="Times New Roman" w:cs="Times New Roman"/>
        </w:rPr>
        <w:t>access</w:t>
      </w:r>
      <w:r>
        <w:rPr>
          <w:rFonts w:ascii="Times New Roman" w:hAnsi="Times New Roman" w:cs="Times New Roman"/>
        </w:rPr>
        <w:t>:</w:t>
      </w:r>
      <w:r w:rsidRPr="0024583E">
        <w:rPr>
          <w:rFonts w:ascii="Times New Roman" w:hAnsi="Times New Roman" w:cs="Times New Roman"/>
        </w:rPr>
        <w:t xml:space="preserve"> in Kuwait, Oman, Saudi Arabia and UAE;</w:t>
      </w:r>
      <w:r>
        <w:rPr>
          <w:rFonts w:ascii="Times New Roman" w:hAnsi="Times New Roman" w:cs="Times New Roman"/>
        </w:rPr>
        <w:t xml:space="preserve"> by</w:t>
      </w:r>
      <w:r w:rsidRPr="0024583E">
        <w:rPr>
          <w:rFonts w:ascii="Times New Roman" w:hAnsi="Times New Roman" w:cs="Times New Roman"/>
        </w:rPr>
        <w:t xml:space="preserve"> using nationally representative, and comparative </w:t>
      </w:r>
      <w:r>
        <w:rPr>
          <w:rFonts w:ascii="Times New Roman" w:hAnsi="Times New Roman" w:cs="Times New Roman"/>
        </w:rPr>
        <w:t>populations</w:t>
      </w:r>
      <w:r w:rsidRPr="0024583E">
        <w:rPr>
          <w:rFonts w:ascii="Times New Roman" w:hAnsi="Times New Roman" w:cs="Times New Roman"/>
        </w:rPr>
        <w:t xml:space="preserve"> from the World Health Survey Plus. </w:t>
      </w:r>
    </w:p>
    <w:p w:rsidR="00692A01" w:rsidRDefault="00692A01" w:rsidP="00692A01">
      <w:pPr>
        <w:rPr>
          <w:rFonts w:ascii="Times New Roman" w:hAnsi="Times New Roman" w:cs="Times New Roman"/>
          <w:b/>
          <w:bCs/>
          <w:sz w:val="24"/>
          <w:szCs w:val="24"/>
        </w:rPr>
      </w:pPr>
    </w:p>
    <w:p w:rsidR="00692A01" w:rsidRPr="0024583E" w:rsidRDefault="00692A01" w:rsidP="00692A01">
      <w:pPr>
        <w:jc w:val="both"/>
        <w:rPr>
          <w:rFonts w:ascii="Times New Roman" w:hAnsi="Times New Roman" w:cs="Times New Roman"/>
          <w:b/>
          <w:bCs/>
        </w:rPr>
      </w:pPr>
      <w:r>
        <w:rPr>
          <w:rFonts w:ascii="Times New Roman" w:hAnsi="Times New Roman" w:cs="Times New Roman"/>
          <w:b/>
          <w:bCs/>
          <w:sz w:val="24"/>
          <w:szCs w:val="24"/>
        </w:rPr>
        <w:t xml:space="preserve">DATA AND </w:t>
      </w:r>
      <w:r w:rsidRPr="0024583E">
        <w:rPr>
          <w:rFonts w:ascii="Times New Roman" w:hAnsi="Times New Roman" w:cs="Times New Roman"/>
          <w:b/>
          <w:bCs/>
          <w:sz w:val="24"/>
          <w:szCs w:val="24"/>
        </w:rPr>
        <w:t>METHODS</w:t>
      </w:r>
    </w:p>
    <w:p w:rsidR="00692A01" w:rsidRPr="0024583E" w:rsidRDefault="00692A01" w:rsidP="00692A01">
      <w:pPr>
        <w:spacing w:after="120" w:line="360" w:lineRule="auto"/>
        <w:jc w:val="both"/>
        <w:rPr>
          <w:rFonts w:ascii="Times New Roman" w:hAnsi="Times New Roman" w:cs="Times New Roman"/>
          <w:b/>
          <w:bCs/>
        </w:rPr>
      </w:pPr>
      <w:r w:rsidRPr="0024583E">
        <w:rPr>
          <w:rFonts w:ascii="Times New Roman" w:hAnsi="Times New Roman" w:cs="Times New Roman"/>
          <w:b/>
          <w:bCs/>
        </w:rPr>
        <w:t>Study population and data</w:t>
      </w:r>
    </w:p>
    <w:p w:rsidR="00692A01" w:rsidRPr="00231745" w:rsidRDefault="00692A01" w:rsidP="00692A01">
      <w:pPr>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667107">
        <w:rPr>
          <w:rFonts w:ascii="Times New Roman" w:hAnsi="Times New Roman" w:cs="Times New Roman"/>
        </w:rPr>
        <w:t xml:space="preserve">The World Health Survey Plus (WHS+) were conducted across </w:t>
      </w:r>
      <w:r>
        <w:rPr>
          <w:rFonts w:ascii="Times New Roman" w:hAnsi="Times New Roman" w:cs="Times New Roman"/>
        </w:rPr>
        <w:t>five</w:t>
      </w:r>
      <w:r w:rsidRPr="00667107">
        <w:rPr>
          <w:rFonts w:ascii="Times New Roman" w:hAnsi="Times New Roman" w:cs="Times New Roman"/>
        </w:rPr>
        <w:t xml:space="preserve"> Gulf Cooperation Council (GCC) countries including  Kuwait, Qatar, Oman, Saudi Arabia and UAE,  between 2008 and 2009, with the technical support of the World Health Organisation. Owing to differences in methodology</w:t>
      </w:r>
      <w:r>
        <w:rPr>
          <w:rFonts w:ascii="Times New Roman" w:hAnsi="Times New Roman" w:cs="Times New Roman"/>
        </w:rPr>
        <w:t>,</w:t>
      </w:r>
      <w:r w:rsidRPr="00667107">
        <w:rPr>
          <w:rFonts w:ascii="Times New Roman" w:hAnsi="Times New Roman" w:cs="Times New Roman"/>
        </w:rPr>
        <w:t xml:space="preserve"> the </w:t>
      </w:r>
      <w:r>
        <w:rPr>
          <w:rFonts w:ascii="Times New Roman" w:hAnsi="Times New Roman" w:cs="Times New Roman"/>
        </w:rPr>
        <w:t xml:space="preserve">Qatar </w:t>
      </w:r>
      <w:r w:rsidRPr="00667107">
        <w:rPr>
          <w:rFonts w:ascii="Times New Roman" w:hAnsi="Times New Roman" w:cs="Times New Roman"/>
        </w:rPr>
        <w:t>survey</w:t>
      </w:r>
      <w:r>
        <w:rPr>
          <w:rFonts w:ascii="Times New Roman" w:hAnsi="Times New Roman" w:cs="Times New Roman"/>
        </w:rPr>
        <w:t xml:space="preserve"> </w:t>
      </w:r>
      <w:r w:rsidRPr="00667107">
        <w:rPr>
          <w:rFonts w:ascii="Times New Roman" w:hAnsi="Times New Roman" w:cs="Times New Roman"/>
        </w:rPr>
        <w:t>w</w:t>
      </w:r>
      <w:r>
        <w:rPr>
          <w:rFonts w:ascii="Times New Roman" w:hAnsi="Times New Roman" w:cs="Times New Roman"/>
        </w:rPr>
        <w:t>as</w:t>
      </w:r>
      <w:r w:rsidRPr="00667107">
        <w:rPr>
          <w:rFonts w:ascii="Times New Roman" w:hAnsi="Times New Roman" w:cs="Times New Roman"/>
        </w:rPr>
        <w:t xml:space="preserve"> omitted from the final analysis. </w:t>
      </w:r>
      <w:r>
        <w:rPr>
          <w:rFonts w:ascii="Times New Roman" w:eastAsiaTheme="minorHAnsi" w:hAnsi="Times New Roman" w:cs="Times New Roman"/>
          <w:lang w:eastAsia="en-US"/>
        </w:rPr>
        <w:t xml:space="preserve">In all four remaining countries, </w:t>
      </w:r>
      <w:r w:rsidRPr="00667107">
        <w:rPr>
          <w:rFonts w:ascii="Times New Roman" w:eastAsiaTheme="minorHAnsi" w:hAnsi="Times New Roman" w:cs="Times New Roman"/>
          <w:lang w:eastAsia="en-US"/>
        </w:rPr>
        <w:t>t</w:t>
      </w:r>
      <w:r w:rsidRPr="00231745">
        <w:rPr>
          <w:rFonts w:ascii="Times New Roman" w:eastAsiaTheme="minorHAnsi" w:hAnsi="Times New Roman" w:cs="Times New Roman"/>
          <w:lang w:eastAsia="en-US"/>
        </w:rPr>
        <w:t>he survey covered both the national and non-national adult pop</w:t>
      </w:r>
      <w:r w:rsidRPr="00667107">
        <w:rPr>
          <w:rFonts w:ascii="Times New Roman" w:eastAsiaTheme="minorHAnsi" w:hAnsi="Times New Roman" w:cs="Times New Roman"/>
          <w:lang w:eastAsia="en-US"/>
        </w:rPr>
        <w:t xml:space="preserve">ulations, producing nationally representative samples. </w:t>
      </w:r>
      <w:r w:rsidRPr="00231745">
        <w:rPr>
          <w:rFonts w:ascii="Times New Roman" w:eastAsiaTheme="minorHAnsi" w:hAnsi="Times New Roman" w:cs="Times New Roman"/>
          <w:lang w:eastAsia="en-US"/>
        </w:rPr>
        <w:t xml:space="preserve"> </w:t>
      </w:r>
      <w:r>
        <w:rPr>
          <w:rFonts w:ascii="Times New Roman" w:eastAsiaTheme="minorHAnsi" w:hAnsi="Times New Roman" w:cs="Times New Roman"/>
          <w:lang w:eastAsia="en-US"/>
        </w:rPr>
        <w:t xml:space="preserve">With the </w:t>
      </w:r>
      <w:r w:rsidRPr="00231745">
        <w:rPr>
          <w:rFonts w:ascii="Times New Roman" w:eastAsiaTheme="minorHAnsi" w:hAnsi="Times New Roman" w:cs="Times New Roman"/>
          <w:lang w:eastAsia="en-US"/>
        </w:rPr>
        <w:t>except</w:t>
      </w:r>
      <w:r>
        <w:rPr>
          <w:rFonts w:ascii="Times New Roman" w:eastAsiaTheme="minorHAnsi" w:hAnsi="Times New Roman" w:cs="Times New Roman"/>
          <w:lang w:eastAsia="en-US"/>
        </w:rPr>
        <w:t>ion</w:t>
      </w:r>
      <w:r w:rsidRPr="00231745">
        <w:rPr>
          <w:rFonts w:ascii="Times New Roman" w:eastAsiaTheme="minorHAnsi" w:hAnsi="Times New Roman" w:cs="Times New Roman"/>
          <w:lang w:eastAsia="en-US"/>
        </w:rPr>
        <w:t xml:space="preserve"> </w:t>
      </w:r>
      <w:r>
        <w:rPr>
          <w:rFonts w:ascii="Times New Roman" w:eastAsiaTheme="minorHAnsi" w:hAnsi="Times New Roman" w:cs="Times New Roman"/>
          <w:lang w:eastAsia="en-US"/>
        </w:rPr>
        <w:t xml:space="preserve">of </w:t>
      </w:r>
      <w:r w:rsidRPr="00231745">
        <w:rPr>
          <w:rFonts w:ascii="Times New Roman" w:eastAsiaTheme="minorHAnsi" w:hAnsi="Times New Roman" w:cs="Times New Roman"/>
          <w:lang w:eastAsia="en-US"/>
        </w:rPr>
        <w:t xml:space="preserve">Kuwait, where simple random sample was used, </w:t>
      </w:r>
      <w:r>
        <w:rPr>
          <w:rFonts w:ascii="Times New Roman" w:eastAsiaTheme="minorHAnsi" w:hAnsi="Times New Roman" w:cs="Times New Roman"/>
          <w:lang w:eastAsia="en-US"/>
        </w:rPr>
        <w:t xml:space="preserve">a </w:t>
      </w:r>
      <w:r w:rsidRPr="00231745">
        <w:rPr>
          <w:rFonts w:ascii="Times New Roman" w:eastAsiaTheme="minorHAnsi" w:hAnsi="Times New Roman" w:cs="Times New Roman"/>
          <w:lang w:eastAsia="en-US"/>
        </w:rPr>
        <w:t xml:space="preserve">3-stage sample </w:t>
      </w:r>
      <w:r>
        <w:rPr>
          <w:rFonts w:ascii="Times New Roman" w:eastAsiaTheme="minorHAnsi" w:hAnsi="Times New Roman" w:cs="Times New Roman"/>
          <w:lang w:eastAsia="en-US"/>
        </w:rPr>
        <w:t>design was implemented</w:t>
      </w:r>
      <w:r w:rsidRPr="00231745">
        <w:rPr>
          <w:rFonts w:ascii="Times New Roman" w:eastAsiaTheme="minorHAnsi" w:hAnsi="Times New Roman" w:cs="Times New Roman"/>
          <w:lang w:eastAsia="en-US"/>
        </w:rPr>
        <w:t>. Clusters (enumeration areas) were randomly selected with</w:t>
      </w:r>
      <w:r>
        <w:rPr>
          <w:rFonts w:ascii="Times New Roman" w:eastAsiaTheme="minorHAnsi" w:hAnsi="Times New Roman" w:cs="Times New Roman"/>
          <w:lang w:eastAsia="en-US"/>
        </w:rPr>
        <w:t xml:space="preserve"> </w:t>
      </w:r>
      <w:r w:rsidRPr="00231745">
        <w:rPr>
          <w:rFonts w:ascii="Times New Roman" w:eastAsiaTheme="minorHAnsi" w:hAnsi="Times New Roman" w:cs="Times New Roman"/>
          <w:lang w:eastAsia="en-US"/>
        </w:rPr>
        <w:t>proba</w:t>
      </w:r>
      <w:r w:rsidRPr="00667107">
        <w:rPr>
          <w:rFonts w:ascii="Times New Roman" w:eastAsiaTheme="minorHAnsi" w:hAnsi="Times New Roman" w:cs="Times New Roman"/>
          <w:lang w:eastAsia="en-US"/>
        </w:rPr>
        <w:t xml:space="preserve">bility proportion to size (PPS); </w:t>
      </w:r>
      <w:r w:rsidRPr="00231745">
        <w:rPr>
          <w:rFonts w:ascii="Times New Roman" w:eastAsiaTheme="minorHAnsi" w:hAnsi="Times New Roman" w:cs="Times New Roman"/>
          <w:lang w:eastAsia="en-US"/>
        </w:rPr>
        <w:t>a fixed sample of households w</w:t>
      </w:r>
      <w:r>
        <w:rPr>
          <w:rFonts w:ascii="Times New Roman" w:eastAsiaTheme="minorHAnsi" w:hAnsi="Times New Roman" w:cs="Times New Roman"/>
          <w:lang w:eastAsia="en-US"/>
        </w:rPr>
        <w:t>as</w:t>
      </w:r>
      <w:r w:rsidRPr="00231745">
        <w:rPr>
          <w:rFonts w:ascii="Times New Roman" w:eastAsiaTheme="minorHAnsi" w:hAnsi="Times New Roman" w:cs="Times New Roman"/>
          <w:lang w:eastAsia="en-US"/>
        </w:rPr>
        <w:t xml:space="preserve"> randomly selected from each cluster and eligible individuals </w:t>
      </w:r>
      <w:r>
        <w:rPr>
          <w:rFonts w:ascii="Times New Roman" w:eastAsiaTheme="minorHAnsi" w:hAnsi="Times New Roman" w:cs="Times New Roman"/>
          <w:lang w:eastAsia="en-US"/>
        </w:rPr>
        <w:t xml:space="preserve">(18+ years old) </w:t>
      </w:r>
      <w:r w:rsidRPr="00231745">
        <w:rPr>
          <w:rFonts w:ascii="Times New Roman" w:eastAsiaTheme="minorHAnsi" w:hAnsi="Times New Roman" w:cs="Times New Roman"/>
          <w:lang w:eastAsia="en-US"/>
        </w:rPr>
        <w:t xml:space="preserve">were selected using Kish-tables. In </w:t>
      </w:r>
      <w:r>
        <w:rPr>
          <w:rFonts w:ascii="Times New Roman" w:eastAsiaTheme="minorHAnsi" w:hAnsi="Times New Roman" w:cs="Times New Roman"/>
          <w:lang w:eastAsia="en-US"/>
        </w:rPr>
        <w:t xml:space="preserve">both </w:t>
      </w:r>
      <w:r w:rsidRPr="00231745">
        <w:rPr>
          <w:rFonts w:ascii="Times New Roman" w:eastAsiaTheme="minorHAnsi" w:hAnsi="Times New Roman" w:cs="Times New Roman"/>
          <w:lang w:eastAsia="en-US"/>
        </w:rPr>
        <w:t>Oman and Saudi</w:t>
      </w:r>
      <w:r>
        <w:rPr>
          <w:rFonts w:ascii="Times New Roman" w:eastAsiaTheme="minorHAnsi" w:hAnsi="Times New Roman" w:cs="Times New Roman"/>
          <w:lang w:eastAsia="en-US"/>
        </w:rPr>
        <w:t xml:space="preserve"> Arabia</w:t>
      </w:r>
      <w:r w:rsidRPr="00231745">
        <w:rPr>
          <w:rFonts w:ascii="Times New Roman" w:eastAsiaTheme="minorHAnsi" w:hAnsi="Times New Roman" w:cs="Times New Roman"/>
          <w:lang w:eastAsia="en-US"/>
        </w:rPr>
        <w:t xml:space="preserve"> the sample was stratified by place of residence</w:t>
      </w:r>
      <w:r>
        <w:rPr>
          <w:rFonts w:ascii="Times New Roman" w:eastAsiaTheme="minorHAnsi" w:hAnsi="Times New Roman" w:cs="Times New Roman"/>
          <w:lang w:eastAsia="en-US"/>
        </w:rPr>
        <w:t>,</w:t>
      </w:r>
      <w:r w:rsidRPr="00231745">
        <w:rPr>
          <w:rFonts w:ascii="Times New Roman" w:eastAsiaTheme="minorHAnsi" w:hAnsi="Times New Roman" w:cs="Times New Roman"/>
          <w:lang w:eastAsia="en-US"/>
        </w:rPr>
        <w:t xml:space="preserve"> and in UAE and Kuwait</w:t>
      </w:r>
      <w:r>
        <w:rPr>
          <w:rFonts w:ascii="Times New Roman" w:eastAsiaTheme="minorHAnsi" w:hAnsi="Times New Roman" w:cs="Times New Roman"/>
          <w:lang w:eastAsia="en-US"/>
        </w:rPr>
        <w:t>, the sample was stratified</w:t>
      </w:r>
      <w:r w:rsidRPr="00231745">
        <w:rPr>
          <w:rFonts w:ascii="Times New Roman" w:eastAsiaTheme="minorHAnsi" w:hAnsi="Times New Roman" w:cs="Times New Roman"/>
          <w:lang w:eastAsia="en-US"/>
        </w:rPr>
        <w:t xml:space="preserve"> by national</w:t>
      </w:r>
      <w:r>
        <w:rPr>
          <w:rFonts w:ascii="Times New Roman" w:eastAsiaTheme="minorHAnsi" w:hAnsi="Times New Roman" w:cs="Times New Roman"/>
          <w:lang w:eastAsia="en-US"/>
        </w:rPr>
        <w:t xml:space="preserve"> and non-national</w:t>
      </w:r>
      <w:r w:rsidRPr="00231745">
        <w:rPr>
          <w:rFonts w:ascii="Times New Roman" w:eastAsiaTheme="minorHAnsi" w:hAnsi="Times New Roman" w:cs="Times New Roman"/>
          <w:lang w:eastAsia="en-US"/>
        </w:rPr>
        <w:t>.</w:t>
      </w:r>
      <w:r w:rsidRPr="00667107">
        <w:rPr>
          <w:rFonts w:ascii="Times New Roman" w:hAnsi="Times New Roman" w:cs="Times New Roman"/>
        </w:rPr>
        <w:t xml:space="preserve"> </w:t>
      </w:r>
      <w:r>
        <w:rPr>
          <w:rFonts w:ascii="Times New Roman" w:hAnsi="Times New Roman" w:cs="Times New Roman"/>
        </w:rPr>
        <w:t xml:space="preserve">In each selected household, face-to-face interviews were conducted with the head of the households or the most knowledgeable person and the selected eligible individual.  The individual questionnaire </w:t>
      </w:r>
      <w:r w:rsidRPr="00667107">
        <w:rPr>
          <w:rFonts w:ascii="Times New Roman" w:hAnsi="Times New Roman" w:cs="Times New Roman"/>
        </w:rPr>
        <w:t>covered</w:t>
      </w:r>
      <w:r>
        <w:rPr>
          <w:rFonts w:ascii="Times New Roman" w:hAnsi="Times New Roman" w:cs="Times New Roman"/>
        </w:rPr>
        <w:t xml:space="preserve"> their</w:t>
      </w:r>
      <w:r w:rsidRPr="00667107">
        <w:rPr>
          <w:rFonts w:ascii="Times New Roman" w:hAnsi="Times New Roman" w:cs="Times New Roman"/>
        </w:rPr>
        <w:t xml:space="preserve"> demographic and socioeconomic background; in-depth questions on health status; chronic conditions; and utilization of the health system. The sample sizes for the four countries in our analyses were: Kuwait (n=3828), Oman (n= 4717), Saudi Arabia (n=8629), and the United Arab Emirates (n=2569).</w:t>
      </w:r>
    </w:p>
    <w:p w:rsidR="00692A01" w:rsidRPr="0024583E" w:rsidRDefault="00692A01" w:rsidP="00692A01">
      <w:pPr>
        <w:spacing w:after="120" w:line="360" w:lineRule="auto"/>
        <w:jc w:val="both"/>
        <w:rPr>
          <w:rFonts w:ascii="Times New Roman" w:hAnsi="Times New Roman" w:cs="Times New Roman"/>
          <w:b/>
          <w:bCs/>
        </w:rPr>
      </w:pPr>
    </w:p>
    <w:p w:rsidR="00692A01" w:rsidRPr="0024583E" w:rsidRDefault="00692A01" w:rsidP="00692A01">
      <w:pPr>
        <w:spacing w:after="120" w:line="360" w:lineRule="auto"/>
        <w:jc w:val="both"/>
        <w:rPr>
          <w:rFonts w:ascii="Times New Roman" w:hAnsi="Times New Roman" w:cs="Times New Roman"/>
          <w:b/>
          <w:bCs/>
        </w:rPr>
      </w:pPr>
      <w:r w:rsidRPr="0024583E">
        <w:rPr>
          <w:rFonts w:ascii="Times New Roman" w:hAnsi="Times New Roman" w:cs="Times New Roman"/>
          <w:b/>
          <w:bCs/>
        </w:rPr>
        <w:t>Measures and variables</w:t>
      </w:r>
    </w:p>
    <w:p w:rsidR="00692A01" w:rsidRPr="0024583E" w:rsidRDefault="00692A01" w:rsidP="00692A01">
      <w:pPr>
        <w:autoSpaceDE w:val="0"/>
        <w:autoSpaceDN w:val="0"/>
        <w:adjustRightInd w:val="0"/>
        <w:spacing w:after="120" w:line="360" w:lineRule="auto"/>
        <w:jc w:val="both"/>
        <w:rPr>
          <w:rFonts w:ascii="Times New Roman" w:hAnsi="Times New Roman" w:cs="Times New Roman"/>
        </w:rPr>
      </w:pPr>
      <w:r>
        <w:rPr>
          <w:rFonts w:ascii="Times New Roman" w:hAnsi="Times New Roman" w:cs="Times New Roman"/>
        </w:rPr>
        <w:t xml:space="preserve">In this analysis we have used </w:t>
      </w:r>
      <w:r w:rsidRPr="0024583E">
        <w:rPr>
          <w:rFonts w:ascii="Times New Roman" w:hAnsi="Times New Roman" w:cs="Times New Roman"/>
        </w:rPr>
        <w:t xml:space="preserve">self-reported diabetes alongside other chronic conditions (angina, arthritis, asthma, chronic lung disease, depression, hypertension and stroke) </w:t>
      </w:r>
      <w:r>
        <w:rPr>
          <w:rFonts w:ascii="Times New Roman" w:hAnsi="Times New Roman" w:cs="Times New Roman"/>
        </w:rPr>
        <w:t>which</w:t>
      </w:r>
      <w:r w:rsidRPr="0024583E">
        <w:rPr>
          <w:rFonts w:ascii="Times New Roman" w:hAnsi="Times New Roman" w:cs="Times New Roman"/>
        </w:rPr>
        <w:t xml:space="preserve"> </w:t>
      </w:r>
      <w:r>
        <w:rPr>
          <w:rFonts w:ascii="Times New Roman" w:hAnsi="Times New Roman" w:cs="Times New Roman"/>
        </w:rPr>
        <w:t xml:space="preserve">were </w:t>
      </w:r>
      <w:r w:rsidRPr="0024583E">
        <w:rPr>
          <w:rFonts w:ascii="Times New Roman" w:hAnsi="Times New Roman" w:cs="Times New Roman"/>
        </w:rPr>
        <w:t>ascertained through responses to the question</w:t>
      </w:r>
      <w:r>
        <w:rPr>
          <w:rFonts w:ascii="Times New Roman" w:hAnsi="Times New Roman" w:cs="Times New Roman"/>
        </w:rPr>
        <w:t>s</w:t>
      </w:r>
      <w:r w:rsidRPr="0024583E">
        <w:rPr>
          <w:rFonts w:ascii="Times New Roman" w:hAnsi="Times New Roman" w:cs="Times New Roman"/>
        </w:rPr>
        <w:t xml:space="preserve">, “Have you ever been diagnosed with…?” Respondents were also asked whether they were currently using treatment for </w:t>
      </w:r>
      <w:r>
        <w:rPr>
          <w:rFonts w:ascii="Times New Roman" w:hAnsi="Times New Roman" w:cs="Times New Roman"/>
        </w:rPr>
        <w:t>the self-reported chronic conditions</w:t>
      </w:r>
      <w:r w:rsidRPr="0024583E">
        <w:rPr>
          <w:rFonts w:ascii="Times New Roman" w:hAnsi="Times New Roman" w:cs="Times New Roman"/>
        </w:rPr>
        <w:t xml:space="preserve">. </w:t>
      </w:r>
      <w:r w:rsidRPr="0024583E">
        <w:rPr>
          <w:rFonts w:ascii="Times New Roman" w:hAnsi="Times New Roman" w:cs="Times New Roman"/>
          <w:color w:val="FF0000"/>
        </w:rPr>
        <w:t xml:space="preserve"> </w:t>
      </w:r>
      <w:r w:rsidRPr="0024583E">
        <w:rPr>
          <w:rFonts w:ascii="Times New Roman" w:hAnsi="Times New Roman" w:cs="Times New Roman"/>
        </w:rPr>
        <w:t xml:space="preserve">The </w:t>
      </w:r>
      <w:r w:rsidRPr="00AC7F80">
        <w:rPr>
          <w:rFonts w:ascii="Times New Roman" w:hAnsi="Times New Roman" w:cs="Times New Roman"/>
          <w:i/>
        </w:rPr>
        <w:t xml:space="preserve">treatment of diabetes </w:t>
      </w:r>
      <w:r w:rsidRPr="0024583E">
        <w:rPr>
          <w:rFonts w:ascii="Times New Roman" w:hAnsi="Times New Roman" w:cs="Times New Roman"/>
        </w:rPr>
        <w:t xml:space="preserve">was examined in the results by asking </w:t>
      </w:r>
      <w:r>
        <w:rPr>
          <w:rFonts w:ascii="Times New Roman" w:hAnsi="Times New Roman" w:cs="Times New Roman"/>
        </w:rPr>
        <w:t>“</w:t>
      </w:r>
      <w:r w:rsidRPr="0024583E">
        <w:rPr>
          <w:rFonts w:ascii="Times New Roman" w:hAnsi="Times New Roman" w:cs="Times New Roman"/>
        </w:rPr>
        <w:t>whether they had used insulin, or other blood sugar lowering medications, within the last two weeks</w:t>
      </w:r>
      <w:r>
        <w:rPr>
          <w:rFonts w:ascii="Times New Roman" w:hAnsi="Times New Roman" w:cs="Times New Roman"/>
        </w:rPr>
        <w:t>?”.</w:t>
      </w:r>
    </w:p>
    <w:p w:rsidR="00692A01" w:rsidRPr="0024583E" w:rsidRDefault="00692A01" w:rsidP="00692A01">
      <w:pPr>
        <w:autoSpaceDE w:val="0"/>
        <w:autoSpaceDN w:val="0"/>
        <w:adjustRightInd w:val="0"/>
        <w:spacing w:after="120" w:line="360" w:lineRule="auto"/>
        <w:jc w:val="both"/>
        <w:rPr>
          <w:rFonts w:ascii="Times New Roman" w:hAnsi="Times New Roman" w:cs="Times New Roman"/>
        </w:rPr>
      </w:pPr>
      <w:r w:rsidRPr="0024583E">
        <w:rPr>
          <w:rFonts w:ascii="Times New Roman" w:hAnsi="Times New Roman" w:cs="Times New Roman"/>
        </w:rPr>
        <w:lastRenderedPageBreak/>
        <w:t xml:space="preserve">The demographic variables included were participant’s </w:t>
      </w:r>
      <w:r w:rsidRPr="0024583E">
        <w:rPr>
          <w:rFonts w:ascii="Times New Roman" w:hAnsi="Times New Roman" w:cs="Times New Roman"/>
          <w:i/>
        </w:rPr>
        <w:t>age, sex, nationality, marital status,</w:t>
      </w:r>
      <w:r w:rsidRPr="0024583E">
        <w:rPr>
          <w:rFonts w:ascii="Times New Roman" w:hAnsi="Times New Roman" w:cs="Times New Roman"/>
        </w:rPr>
        <w:t xml:space="preserve"> and </w:t>
      </w:r>
      <w:r w:rsidRPr="0024583E">
        <w:rPr>
          <w:rFonts w:ascii="Times New Roman" w:hAnsi="Times New Roman" w:cs="Times New Roman"/>
          <w:i/>
        </w:rPr>
        <w:t>residence</w:t>
      </w:r>
      <w:r w:rsidRPr="0024583E">
        <w:rPr>
          <w:rFonts w:ascii="Times New Roman" w:hAnsi="Times New Roman" w:cs="Times New Roman"/>
        </w:rPr>
        <w:t xml:space="preserve"> (living in an ‘</w:t>
      </w:r>
      <w:r w:rsidRPr="0024583E">
        <w:rPr>
          <w:rFonts w:ascii="Times New Roman" w:hAnsi="Times New Roman" w:cs="Times New Roman"/>
          <w:i/>
        </w:rPr>
        <w:t>urban</w:t>
      </w:r>
      <w:r w:rsidRPr="0024583E">
        <w:rPr>
          <w:rFonts w:ascii="Times New Roman" w:hAnsi="Times New Roman" w:cs="Times New Roman"/>
        </w:rPr>
        <w:t>’ or ‘</w:t>
      </w:r>
      <w:r w:rsidRPr="0024583E">
        <w:rPr>
          <w:rFonts w:ascii="Times New Roman" w:hAnsi="Times New Roman" w:cs="Times New Roman"/>
          <w:i/>
        </w:rPr>
        <w:t>rural</w:t>
      </w:r>
      <w:r w:rsidRPr="0024583E">
        <w:rPr>
          <w:rFonts w:ascii="Times New Roman" w:hAnsi="Times New Roman" w:cs="Times New Roman"/>
        </w:rPr>
        <w:t xml:space="preserve">’ area; not available for Kuwait as all </w:t>
      </w:r>
      <w:r>
        <w:rPr>
          <w:rFonts w:ascii="Times New Roman" w:hAnsi="Times New Roman" w:cs="Times New Roman"/>
        </w:rPr>
        <w:t xml:space="preserve">areas are classified as urban). Social and economic variables included </w:t>
      </w:r>
      <w:r w:rsidRPr="00156B30">
        <w:rPr>
          <w:rFonts w:ascii="Times New Roman" w:hAnsi="Times New Roman" w:cs="Times New Roman"/>
          <w:i/>
        </w:rPr>
        <w:t>highest</w:t>
      </w:r>
      <w:r>
        <w:rPr>
          <w:rFonts w:ascii="Times New Roman" w:hAnsi="Times New Roman" w:cs="Times New Roman"/>
        </w:rPr>
        <w:t xml:space="preserve"> </w:t>
      </w:r>
      <w:r>
        <w:rPr>
          <w:rFonts w:ascii="Times New Roman" w:hAnsi="Times New Roman" w:cs="Times New Roman"/>
          <w:i/>
        </w:rPr>
        <w:t>level of education achieved (primary school, secondary school, higher education)</w:t>
      </w:r>
      <w:r w:rsidRPr="0024583E">
        <w:rPr>
          <w:rFonts w:ascii="Times New Roman" w:hAnsi="Times New Roman" w:cs="Times New Roman"/>
        </w:rPr>
        <w:t xml:space="preserve">.  </w:t>
      </w:r>
      <w:r>
        <w:rPr>
          <w:rFonts w:ascii="Times New Roman" w:hAnsi="Times New Roman" w:cs="Times New Roman"/>
        </w:rPr>
        <w:t>A wealth index score, based on</w:t>
      </w:r>
      <w:r w:rsidRPr="0024583E">
        <w:rPr>
          <w:rFonts w:ascii="Times New Roman" w:hAnsi="Times New Roman" w:cs="Times New Roman"/>
        </w:rPr>
        <w:t xml:space="preserve"> a</w:t>
      </w:r>
      <w:r>
        <w:rPr>
          <w:rFonts w:ascii="Times New Roman" w:hAnsi="Times New Roman" w:cs="Times New Roman"/>
        </w:rPr>
        <w:t xml:space="preserve"> principal components analysis of</w:t>
      </w:r>
      <w:r w:rsidRPr="0024583E">
        <w:rPr>
          <w:rFonts w:ascii="Times New Roman" w:hAnsi="Times New Roman" w:cs="Times New Roman"/>
        </w:rPr>
        <w:t xml:space="preserve"> assets for each household</w:t>
      </w:r>
      <w:r>
        <w:rPr>
          <w:rFonts w:ascii="Times New Roman" w:hAnsi="Times New Roman" w:cs="Times New Roman"/>
        </w:rPr>
        <w:t>, was developed</w:t>
      </w:r>
      <w:r w:rsidRPr="0024583E">
        <w:rPr>
          <w:rFonts w:ascii="Times New Roman" w:hAnsi="Times New Roman" w:cs="Times New Roman"/>
        </w:rPr>
        <w:t xml:space="preserve">; </w:t>
      </w:r>
      <w:r>
        <w:rPr>
          <w:rFonts w:ascii="Times New Roman" w:hAnsi="Times New Roman" w:cs="Times New Roman"/>
        </w:rPr>
        <w:t>this was the</w:t>
      </w:r>
      <w:r w:rsidRPr="0024583E">
        <w:rPr>
          <w:rFonts w:ascii="Times New Roman" w:hAnsi="Times New Roman" w:cs="Times New Roman"/>
        </w:rPr>
        <w:t xml:space="preserve"> preferred method due to </w:t>
      </w:r>
      <w:r>
        <w:rPr>
          <w:rFonts w:ascii="Times New Roman" w:hAnsi="Times New Roman" w:cs="Times New Roman"/>
        </w:rPr>
        <w:t xml:space="preserve">the presence of high missing data on expenditure and income. Using the wealth index score, a </w:t>
      </w:r>
      <w:r w:rsidRPr="00156B30">
        <w:rPr>
          <w:rFonts w:ascii="Times New Roman" w:hAnsi="Times New Roman" w:cs="Times New Roman"/>
          <w:i/>
        </w:rPr>
        <w:t>wealth</w:t>
      </w:r>
      <w:r>
        <w:rPr>
          <w:rFonts w:ascii="Times New Roman" w:hAnsi="Times New Roman" w:cs="Times New Roman"/>
        </w:rPr>
        <w:t xml:space="preserve"> variable was generated by</w:t>
      </w:r>
      <w:r w:rsidRPr="0024583E">
        <w:rPr>
          <w:rFonts w:ascii="Times New Roman" w:hAnsi="Times New Roman" w:cs="Times New Roman"/>
        </w:rPr>
        <w:t xml:space="preserve"> </w:t>
      </w:r>
      <w:r>
        <w:rPr>
          <w:rFonts w:ascii="Times New Roman" w:hAnsi="Times New Roman" w:cs="Times New Roman"/>
        </w:rPr>
        <w:t>grouping wealth into</w:t>
      </w:r>
      <w:r w:rsidRPr="0024583E">
        <w:rPr>
          <w:rFonts w:ascii="Times New Roman" w:hAnsi="Times New Roman" w:cs="Times New Roman"/>
        </w:rPr>
        <w:t xml:space="preserve"> three equally sized groups: </w:t>
      </w:r>
      <w:r w:rsidRPr="0024583E">
        <w:rPr>
          <w:rFonts w:ascii="Times New Roman" w:hAnsi="Times New Roman" w:cs="Times New Roman"/>
          <w:i/>
        </w:rPr>
        <w:t>poor, average</w:t>
      </w:r>
      <w:r w:rsidRPr="0024583E">
        <w:rPr>
          <w:rFonts w:ascii="Times New Roman" w:hAnsi="Times New Roman" w:cs="Times New Roman"/>
        </w:rPr>
        <w:t xml:space="preserve"> and </w:t>
      </w:r>
      <w:r w:rsidRPr="0024583E">
        <w:rPr>
          <w:rFonts w:ascii="Times New Roman" w:hAnsi="Times New Roman" w:cs="Times New Roman"/>
          <w:i/>
        </w:rPr>
        <w:t>rich</w:t>
      </w:r>
      <w:r w:rsidRPr="0024583E">
        <w:rPr>
          <w:rFonts w:ascii="Times New Roman" w:hAnsi="Times New Roman" w:cs="Times New Roman"/>
        </w:rPr>
        <w:t>.</w:t>
      </w:r>
      <w:r>
        <w:rPr>
          <w:rFonts w:ascii="Times New Roman" w:hAnsi="Times New Roman" w:cs="Times New Roman"/>
        </w:rPr>
        <w:t xml:space="preserve"> Body Mass Index (BMI) was included as a behavioural risk variable. Both height and weight were measured three times for each individual; all three measurements were then used to calculate an average BMI based on weight/ height </w:t>
      </w:r>
      <w:r w:rsidRPr="00231745">
        <w:rPr>
          <w:rFonts w:ascii="Times New Roman" w:hAnsi="Times New Roman" w:cs="Times New Roman"/>
          <w:vertAlign w:val="superscript"/>
        </w:rPr>
        <w:t>2</w:t>
      </w:r>
      <w:r>
        <w:rPr>
          <w:rFonts w:ascii="Times New Roman" w:hAnsi="Times New Roman" w:cs="Times New Roman"/>
        </w:rPr>
        <w:t>.</w:t>
      </w:r>
      <w:r w:rsidRPr="0024583E">
        <w:rPr>
          <w:rFonts w:ascii="Times New Roman" w:hAnsi="Times New Roman" w:cs="Times New Roman"/>
        </w:rPr>
        <w:t xml:space="preserve"> If an individual had a BMI of less than 25 they were classified as </w:t>
      </w:r>
      <w:r w:rsidRPr="00156B30">
        <w:rPr>
          <w:rFonts w:ascii="Times New Roman" w:hAnsi="Times New Roman" w:cs="Times New Roman"/>
          <w:i/>
        </w:rPr>
        <w:t>normal</w:t>
      </w:r>
      <w:r w:rsidRPr="0024583E">
        <w:rPr>
          <w:rFonts w:ascii="Times New Roman" w:hAnsi="Times New Roman" w:cs="Times New Roman"/>
        </w:rPr>
        <w:t>; betwe</w:t>
      </w:r>
      <w:r w:rsidRPr="006252A0">
        <w:rPr>
          <w:rFonts w:ascii="Times New Roman" w:hAnsi="Times New Roman" w:cs="Times New Roman"/>
        </w:rPr>
        <w:t xml:space="preserve">en 25-30, </w:t>
      </w:r>
      <w:r w:rsidRPr="006252A0">
        <w:rPr>
          <w:rFonts w:ascii="Times New Roman" w:hAnsi="Times New Roman" w:cs="Times New Roman"/>
          <w:i/>
        </w:rPr>
        <w:t>overweight</w:t>
      </w:r>
      <w:r w:rsidRPr="006252A0">
        <w:rPr>
          <w:rFonts w:ascii="Times New Roman" w:hAnsi="Times New Roman" w:cs="Times New Roman"/>
        </w:rPr>
        <w:t xml:space="preserve">; and above 30, </w:t>
      </w:r>
      <w:r w:rsidRPr="006252A0">
        <w:rPr>
          <w:rFonts w:ascii="Times New Roman" w:hAnsi="Times New Roman" w:cs="Times New Roman"/>
          <w:i/>
        </w:rPr>
        <w:t>obese</w:t>
      </w:r>
      <w:r w:rsidRPr="00156B30">
        <w:rPr>
          <w:rFonts w:ascii="Times New Roman" w:hAnsi="Times New Roman" w:cs="Times New Roman"/>
          <w:i/>
        </w:rPr>
        <w:t>.</w:t>
      </w:r>
    </w:p>
    <w:p w:rsidR="00692A01" w:rsidRPr="0024583E" w:rsidRDefault="00692A01" w:rsidP="00692A01">
      <w:pPr>
        <w:spacing w:after="120" w:line="360" w:lineRule="auto"/>
        <w:jc w:val="both"/>
        <w:rPr>
          <w:rFonts w:ascii="Times New Roman" w:hAnsi="Times New Roman" w:cs="Times New Roman"/>
          <w:b/>
          <w:bCs/>
          <w:sz w:val="24"/>
          <w:szCs w:val="24"/>
        </w:rPr>
      </w:pPr>
    </w:p>
    <w:p w:rsidR="00692A01" w:rsidRDefault="00692A01" w:rsidP="00692A01">
      <w:pPr>
        <w:spacing w:after="120" w:line="360" w:lineRule="auto"/>
        <w:jc w:val="both"/>
        <w:rPr>
          <w:rFonts w:ascii="Times New Roman" w:hAnsi="Times New Roman" w:cs="Times New Roman"/>
        </w:rPr>
      </w:pPr>
      <w:r w:rsidRPr="0024583E">
        <w:rPr>
          <w:rFonts w:ascii="Times New Roman" w:hAnsi="Times New Roman" w:cs="Times New Roman"/>
          <w:b/>
          <w:bCs/>
        </w:rPr>
        <w:t>Statistical Analyses</w:t>
      </w:r>
      <w:r>
        <w:rPr>
          <w:rFonts w:ascii="Times New Roman" w:hAnsi="Times New Roman" w:cs="Times New Roman"/>
        </w:rPr>
        <w:t xml:space="preserve"> </w:t>
      </w:r>
    </w:p>
    <w:p w:rsidR="00692A01" w:rsidRPr="0024583E" w:rsidRDefault="00692A01" w:rsidP="00692A01">
      <w:pPr>
        <w:spacing w:after="120" w:line="360" w:lineRule="auto"/>
        <w:jc w:val="both"/>
        <w:rPr>
          <w:rFonts w:ascii="Times New Roman" w:hAnsi="Times New Roman" w:cs="Times New Roman"/>
        </w:rPr>
      </w:pPr>
      <w:r>
        <w:rPr>
          <w:rFonts w:ascii="Times New Roman" w:hAnsi="Times New Roman" w:cs="Times New Roman"/>
        </w:rPr>
        <w:t>To compare prevalence rates across heterogeneous populations, age and sex standardized prevalence were computed using the WHO age and sex standard population.  L</w:t>
      </w:r>
      <w:r w:rsidRPr="0024583E">
        <w:rPr>
          <w:rFonts w:ascii="Times New Roman" w:hAnsi="Times New Roman" w:cs="Times New Roman"/>
        </w:rPr>
        <w:t>ogistic regr</w:t>
      </w:r>
      <w:r>
        <w:rPr>
          <w:rFonts w:ascii="Times New Roman" w:hAnsi="Times New Roman" w:cs="Times New Roman"/>
        </w:rPr>
        <w:t>ession was applied to examine the association between diabetes and selected socio-economic characteristics and behavioural variable</w:t>
      </w:r>
      <w:r w:rsidRPr="0024583E">
        <w:rPr>
          <w:rFonts w:ascii="Times New Roman" w:hAnsi="Times New Roman" w:cs="Times New Roman"/>
        </w:rPr>
        <w:t>. For the analysis o</w:t>
      </w:r>
      <w:r>
        <w:rPr>
          <w:rFonts w:ascii="Times New Roman" w:hAnsi="Times New Roman" w:cs="Times New Roman"/>
        </w:rPr>
        <w:t>f</w:t>
      </w:r>
      <w:r w:rsidRPr="0024583E">
        <w:rPr>
          <w:rFonts w:ascii="Times New Roman" w:hAnsi="Times New Roman" w:cs="Times New Roman"/>
        </w:rPr>
        <w:t xml:space="preserve"> comorbidity, </w:t>
      </w:r>
      <w:r>
        <w:rPr>
          <w:rFonts w:ascii="Times New Roman" w:hAnsi="Times New Roman" w:cs="Times New Roman"/>
        </w:rPr>
        <w:t>Zero-Inflated Poisson (ZIP) models were used</w:t>
      </w:r>
      <w:r w:rsidRPr="0024583E">
        <w:rPr>
          <w:rFonts w:ascii="Times New Roman" w:hAnsi="Times New Roman" w:cs="Times New Roman"/>
        </w:rPr>
        <w:t xml:space="preserve"> to examine the associations between the </w:t>
      </w:r>
      <w:r>
        <w:rPr>
          <w:rFonts w:ascii="Times New Roman" w:hAnsi="Times New Roman" w:cs="Times New Roman"/>
        </w:rPr>
        <w:t xml:space="preserve">presence of diabetes, </w:t>
      </w:r>
      <w:r w:rsidRPr="0024583E">
        <w:rPr>
          <w:rFonts w:ascii="Times New Roman" w:hAnsi="Times New Roman" w:cs="Times New Roman"/>
        </w:rPr>
        <w:t xml:space="preserve">explanatory variables and the </w:t>
      </w:r>
      <w:r>
        <w:rPr>
          <w:rFonts w:ascii="Times New Roman" w:hAnsi="Times New Roman" w:cs="Times New Roman"/>
        </w:rPr>
        <w:t xml:space="preserve">number of </w:t>
      </w:r>
      <w:r w:rsidRPr="0024583E">
        <w:rPr>
          <w:rFonts w:ascii="Times New Roman" w:hAnsi="Times New Roman" w:cs="Times New Roman"/>
        </w:rPr>
        <w:t>comorbidit</w:t>
      </w:r>
      <w:r>
        <w:rPr>
          <w:rFonts w:ascii="Times New Roman" w:hAnsi="Times New Roman" w:cs="Times New Roman"/>
        </w:rPr>
        <w:t>ies</w:t>
      </w:r>
      <w:r w:rsidRPr="0024583E">
        <w:rPr>
          <w:rFonts w:ascii="Times New Roman" w:hAnsi="Times New Roman" w:cs="Times New Roman"/>
        </w:rPr>
        <w:t xml:space="preserve"> </w:t>
      </w:r>
      <w:r>
        <w:rPr>
          <w:rFonts w:ascii="Times New Roman" w:hAnsi="Times New Roman" w:cs="Times New Roman"/>
        </w:rPr>
        <w:t>as excess zeros (over dispersion) amongst comorbidities were exhibited</w:t>
      </w:r>
      <w:r w:rsidRPr="0024583E">
        <w:rPr>
          <w:rFonts w:ascii="Times New Roman" w:hAnsi="Times New Roman" w:cs="Times New Roman"/>
        </w:rPr>
        <w:t xml:space="preserve">. All analyses were weighted </w:t>
      </w:r>
      <w:r>
        <w:rPr>
          <w:rFonts w:ascii="Times New Roman" w:hAnsi="Times New Roman" w:cs="Times New Roman"/>
        </w:rPr>
        <w:t>using the survey-specific design weight and clustering</w:t>
      </w:r>
      <w:r w:rsidRPr="0024583E">
        <w:rPr>
          <w:rFonts w:ascii="Times New Roman" w:hAnsi="Times New Roman" w:cs="Times New Roman"/>
        </w:rPr>
        <w:t xml:space="preserve"> using STATA version 13 </w:t>
      </w:r>
      <w:r>
        <w:rPr>
          <w:rFonts w:ascii="Times New Roman" w:hAnsi="Times New Roman" w:cs="Times New Roman"/>
        </w:rPr>
        <w:t>[20]</w:t>
      </w:r>
      <w:r w:rsidRPr="0024583E">
        <w:rPr>
          <w:rFonts w:ascii="Times New Roman" w:hAnsi="Times New Roman" w:cs="Times New Roman"/>
        </w:rPr>
        <w:t>.</w:t>
      </w:r>
      <w:r>
        <w:rPr>
          <w:rFonts w:ascii="Times New Roman" w:hAnsi="Times New Roman" w:cs="Times New Roman"/>
        </w:rPr>
        <w:t xml:space="preserve"> All t</w:t>
      </w:r>
      <w:r w:rsidRPr="0024583E">
        <w:rPr>
          <w:rFonts w:ascii="Times New Roman" w:hAnsi="Times New Roman" w:cs="Times New Roman"/>
        </w:rPr>
        <w:t xml:space="preserve">ables report both the </w:t>
      </w:r>
      <w:r w:rsidRPr="0024583E">
        <w:rPr>
          <w:rFonts w:ascii="Times New Roman" w:hAnsi="Times New Roman" w:cs="Times New Roman"/>
          <w:i/>
        </w:rPr>
        <w:t>odds ratios (OR</w:t>
      </w:r>
      <w:r>
        <w:rPr>
          <w:rFonts w:ascii="Times New Roman" w:hAnsi="Times New Roman" w:cs="Times New Roman"/>
          <w:i/>
        </w:rPr>
        <w:t>s</w:t>
      </w:r>
      <w:r w:rsidRPr="0024583E">
        <w:rPr>
          <w:rFonts w:ascii="Times New Roman" w:hAnsi="Times New Roman" w:cs="Times New Roman"/>
          <w:i/>
        </w:rPr>
        <w:t>)</w:t>
      </w:r>
      <w:r w:rsidRPr="0024583E">
        <w:rPr>
          <w:rFonts w:ascii="Times New Roman" w:hAnsi="Times New Roman" w:cs="Times New Roman"/>
        </w:rPr>
        <w:t xml:space="preserve"> </w:t>
      </w:r>
      <w:r>
        <w:rPr>
          <w:rFonts w:ascii="Times New Roman" w:hAnsi="Times New Roman" w:cs="Times New Roman"/>
        </w:rPr>
        <w:t xml:space="preserve">Incidence Rate Ratios (IRRs) </w:t>
      </w:r>
      <w:r w:rsidRPr="0024583E">
        <w:rPr>
          <w:rFonts w:ascii="Times New Roman" w:hAnsi="Times New Roman" w:cs="Times New Roman"/>
        </w:rPr>
        <w:t>and</w:t>
      </w:r>
      <w:r>
        <w:rPr>
          <w:rFonts w:ascii="Times New Roman" w:hAnsi="Times New Roman" w:cs="Times New Roman"/>
        </w:rPr>
        <w:t xml:space="preserve"> 95% CIs, where applicable. </w:t>
      </w:r>
    </w:p>
    <w:p w:rsidR="00692A01" w:rsidRDefault="00692A01" w:rsidP="00692A01">
      <w:pPr>
        <w:rPr>
          <w:rFonts w:ascii="Times New Roman" w:hAnsi="Times New Roman" w:cs="Times New Roman"/>
          <w:b/>
          <w:bCs/>
          <w:sz w:val="24"/>
          <w:szCs w:val="24"/>
        </w:rPr>
      </w:pPr>
    </w:p>
    <w:p w:rsidR="00692A01" w:rsidRDefault="00692A01" w:rsidP="00692A01">
      <w:pPr>
        <w:rPr>
          <w:rFonts w:ascii="Times New Roman" w:hAnsi="Times New Roman" w:cs="Times New Roman"/>
          <w:b/>
          <w:bCs/>
          <w:sz w:val="24"/>
          <w:szCs w:val="24"/>
        </w:rPr>
      </w:pPr>
    </w:p>
    <w:p w:rsidR="00692A01" w:rsidRPr="0024583E" w:rsidRDefault="00692A01" w:rsidP="00692A01">
      <w:pPr>
        <w:spacing w:after="120" w:line="360" w:lineRule="auto"/>
        <w:jc w:val="both"/>
        <w:rPr>
          <w:rFonts w:ascii="Times New Roman" w:hAnsi="Times New Roman" w:cs="Times New Roman"/>
          <w:b/>
          <w:bCs/>
          <w:sz w:val="24"/>
          <w:szCs w:val="24"/>
        </w:rPr>
      </w:pPr>
      <w:r w:rsidRPr="0024583E">
        <w:rPr>
          <w:rFonts w:ascii="Times New Roman" w:hAnsi="Times New Roman" w:cs="Times New Roman"/>
          <w:b/>
          <w:bCs/>
          <w:sz w:val="24"/>
          <w:szCs w:val="24"/>
        </w:rPr>
        <w:t>RESULTS</w:t>
      </w:r>
    </w:p>
    <w:p w:rsidR="00692A01" w:rsidRPr="0024583E" w:rsidRDefault="00692A01" w:rsidP="00692A01">
      <w:pPr>
        <w:spacing w:after="120" w:line="360" w:lineRule="auto"/>
        <w:jc w:val="both"/>
        <w:rPr>
          <w:rFonts w:ascii="Times New Roman" w:hAnsi="Times New Roman" w:cs="Times New Roman"/>
        </w:rPr>
      </w:pPr>
      <w:r>
        <w:rPr>
          <w:rFonts w:ascii="Times New Roman" w:hAnsi="Times New Roman" w:cs="Times New Roman"/>
        </w:rPr>
        <w:t>T</w:t>
      </w:r>
      <w:r w:rsidRPr="0024583E">
        <w:rPr>
          <w:rFonts w:ascii="Times New Roman" w:hAnsi="Times New Roman" w:cs="Times New Roman"/>
        </w:rPr>
        <w:t xml:space="preserve">he standardised prevalence of diabetes </w:t>
      </w:r>
      <w:r>
        <w:rPr>
          <w:rFonts w:ascii="Times New Roman" w:hAnsi="Times New Roman" w:cs="Times New Roman"/>
        </w:rPr>
        <w:t>is highest in Kuwait</w:t>
      </w:r>
      <w:r w:rsidRPr="0024583E">
        <w:rPr>
          <w:rFonts w:ascii="Times New Roman" w:hAnsi="Times New Roman" w:cs="Times New Roman"/>
        </w:rPr>
        <w:t xml:space="preserve"> </w:t>
      </w:r>
      <w:r w:rsidRPr="0029685B">
        <w:rPr>
          <w:rFonts w:ascii="Times New Roman" w:hAnsi="Times New Roman" w:cs="Times New Roman"/>
        </w:rPr>
        <w:t>15.3</w:t>
      </w:r>
      <w:r>
        <w:rPr>
          <w:rFonts w:ascii="Times New Roman" w:hAnsi="Times New Roman" w:cs="Times New Roman"/>
        </w:rPr>
        <w:t>%</w:t>
      </w:r>
      <w:r w:rsidRPr="0029685B">
        <w:rPr>
          <w:rFonts w:ascii="Times New Roman" w:hAnsi="Times New Roman" w:cs="Times New Roman"/>
        </w:rPr>
        <w:t xml:space="preserve"> (13.9</w:t>
      </w:r>
      <w:r>
        <w:rPr>
          <w:rFonts w:ascii="Times New Roman" w:hAnsi="Times New Roman" w:cs="Times New Roman"/>
        </w:rPr>
        <w:t>%</w:t>
      </w:r>
      <w:r w:rsidRPr="0029685B">
        <w:rPr>
          <w:rFonts w:ascii="Times New Roman" w:hAnsi="Times New Roman" w:cs="Times New Roman"/>
        </w:rPr>
        <w:t xml:space="preserve"> – 16.8</w:t>
      </w:r>
      <w:r>
        <w:rPr>
          <w:rFonts w:ascii="Times New Roman" w:hAnsi="Times New Roman" w:cs="Times New Roman"/>
        </w:rPr>
        <w:t>%</w:t>
      </w:r>
      <w:r w:rsidRPr="0029685B">
        <w:rPr>
          <w:rFonts w:ascii="Times New Roman" w:hAnsi="Times New Roman" w:cs="Times New Roman"/>
        </w:rPr>
        <w:t>)</w:t>
      </w:r>
      <w:r w:rsidRPr="0024583E">
        <w:rPr>
          <w:rFonts w:ascii="Times New Roman" w:hAnsi="Times New Roman" w:cs="Times New Roman"/>
        </w:rPr>
        <w:t xml:space="preserve">, followed by the UAE </w:t>
      </w:r>
      <w:r w:rsidRPr="0029685B">
        <w:rPr>
          <w:rFonts w:ascii="Times New Roman" w:hAnsi="Times New Roman" w:cs="Times New Roman"/>
        </w:rPr>
        <w:t>13.2</w:t>
      </w:r>
      <w:r>
        <w:rPr>
          <w:rFonts w:ascii="Times New Roman" w:hAnsi="Times New Roman" w:cs="Times New Roman"/>
        </w:rPr>
        <w:t>%</w:t>
      </w:r>
      <w:r w:rsidRPr="0029685B">
        <w:rPr>
          <w:rFonts w:ascii="Times New Roman" w:hAnsi="Times New Roman" w:cs="Times New Roman"/>
        </w:rPr>
        <w:t xml:space="preserve"> (11.4</w:t>
      </w:r>
      <w:r>
        <w:rPr>
          <w:rFonts w:ascii="Times New Roman" w:hAnsi="Times New Roman" w:cs="Times New Roman"/>
        </w:rPr>
        <w:t>%</w:t>
      </w:r>
      <w:r w:rsidRPr="0029685B">
        <w:rPr>
          <w:rFonts w:ascii="Times New Roman" w:hAnsi="Times New Roman" w:cs="Times New Roman"/>
        </w:rPr>
        <w:t xml:space="preserve"> – 15.2</w:t>
      </w:r>
      <w:r>
        <w:rPr>
          <w:rFonts w:ascii="Times New Roman" w:hAnsi="Times New Roman" w:cs="Times New Roman"/>
        </w:rPr>
        <w:t>%</w:t>
      </w:r>
      <w:r w:rsidRPr="0029685B">
        <w:rPr>
          <w:rFonts w:ascii="Times New Roman" w:hAnsi="Times New Roman" w:cs="Times New Roman"/>
        </w:rPr>
        <w:t>)</w:t>
      </w:r>
      <w:r w:rsidRPr="0024583E">
        <w:rPr>
          <w:rFonts w:ascii="Times New Roman" w:hAnsi="Times New Roman" w:cs="Times New Roman"/>
        </w:rPr>
        <w:t>,</w:t>
      </w:r>
      <w:r>
        <w:rPr>
          <w:rFonts w:ascii="Times New Roman" w:hAnsi="Times New Roman" w:cs="Times New Roman"/>
        </w:rPr>
        <w:t xml:space="preserve"> </w:t>
      </w:r>
      <w:r w:rsidRPr="0024583E">
        <w:rPr>
          <w:rFonts w:ascii="Times New Roman" w:hAnsi="Times New Roman" w:cs="Times New Roman"/>
        </w:rPr>
        <w:t xml:space="preserve">Saudi Arabia </w:t>
      </w:r>
      <w:r w:rsidRPr="0029685B">
        <w:rPr>
          <w:rFonts w:ascii="Times New Roman" w:hAnsi="Times New Roman" w:cs="Times New Roman"/>
        </w:rPr>
        <w:t>10.5</w:t>
      </w:r>
      <w:r>
        <w:rPr>
          <w:rFonts w:ascii="Times New Roman" w:hAnsi="Times New Roman" w:cs="Times New Roman"/>
        </w:rPr>
        <w:t>%</w:t>
      </w:r>
      <w:r w:rsidRPr="0029685B">
        <w:rPr>
          <w:rFonts w:ascii="Times New Roman" w:hAnsi="Times New Roman" w:cs="Times New Roman"/>
        </w:rPr>
        <w:t xml:space="preserve"> (9.6</w:t>
      </w:r>
      <w:r>
        <w:rPr>
          <w:rFonts w:ascii="Times New Roman" w:hAnsi="Times New Roman" w:cs="Times New Roman"/>
        </w:rPr>
        <w:t>%</w:t>
      </w:r>
      <w:r w:rsidRPr="0029685B">
        <w:rPr>
          <w:rFonts w:ascii="Times New Roman" w:hAnsi="Times New Roman" w:cs="Times New Roman"/>
        </w:rPr>
        <w:t xml:space="preserve"> – 11.4</w:t>
      </w:r>
      <w:r>
        <w:rPr>
          <w:rFonts w:ascii="Times New Roman" w:hAnsi="Times New Roman" w:cs="Times New Roman"/>
        </w:rPr>
        <w:t>%</w:t>
      </w:r>
      <w:r w:rsidRPr="0029685B">
        <w:rPr>
          <w:rFonts w:ascii="Times New Roman" w:hAnsi="Times New Roman" w:cs="Times New Roman"/>
        </w:rPr>
        <w:t>)</w:t>
      </w:r>
      <w:r w:rsidRPr="0029685B" w:rsidDel="0029685B">
        <w:rPr>
          <w:rFonts w:ascii="Times New Roman" w:hAnsi="Times New Roman" w:cs="Times New Roman"/>
        </w:rPr>
        <w:t xml:space="preserve"> </w:t>
      </w:r>
      <w:r w:rsidRPr="0024583E">
        <w:rPr>
          <w:rFonts w:ascii="Times New Roman" w:hAnsi="Times New Roman" w:cs="Times New Roman"/>
        </w:rPr>
        <w:t xml:space="preserve">and Oman </w:t>
      </w:r>
      <w:r w:rsidRPr="0029685B">
        <w:rPr>
          <w:rFonts w:ascii="Times New Roman" w:hAnsi="Times New Roman" w:cs="Times New Roman"/>
        </w:rPr>
        <w:t>8.5</w:t>
      </w:r>
      <w:r>
        <w:rPr>
          <w:rFonts w:ascii="Times New Roman" w:hAnsi="Times New Roman" w:cs="Times New Roman"/>
        </w:rPr>
        <w:t>%</w:t>
      </w:r>
      <w:r w:rsidRPr="0029685B">
        <w:rPr>
          <w:rFonts w:ascii="Times New Roman" w:hAnsi="Times New Roman" w:cs="Times New Roman"/>
        </w:rPr>
        <w:t xml:space="preserve"> (7.4</w:t>
      </w:r>
      <w:r>
        <w:rPr>
          <w:rFonts w:ascii="Times New Roman" w:hAnsi="Times New Roman" w:cs="Times New Roman"/>
        </w:rPr>
        <w:t>%</w:t>
      </w:r>
      <w:r w:rsidRPr="0029685B">
        <w:rPr>
          <w:rFonts w:ascii="Times New Roman" w:hAnsi="Times New Roman" w:cs="Times New Roman"/>
        </w:rPr>
        <w:t xml:space="preserve"> – 9.</w:t>
      </w:r>
      <w:r>
        <w:rPr>
          <w:rFonts w:ascii="Times New Roman" w:hAnsi="Times New Roman" w:cs="Times New Roman"/>
        </w:rPr>
        <w:t>8%</w:t>
      </w:r>
      <w:r w:rsidRPr="0029685B">
        <w:rPr>
          <w:rFonts w:ascii="Times New Roman" w:hAnsi="Times New Roman" w:cs="Times New Roman"/>
        </w:rPr>
        <w:t>)</w:t>
      </w:r>
      <w:r w:rsidRPr="0024583E">
        <w:rPr>
          <w:rFonts w:ascii="Times New Roman" w:hAnsi="Times New Roman" w:cs="Times New Roman"/>
        </w:rPr>
        <w:t>.</w:t>
      </w:r>
      <w:r>
        <w:rPr>
          <w:rFonts w:ascii="Times New Roman" w:hAnsi="Times New Roman" w:cs="Times New Roman"/>
        </w:rPr>
        <w:t xml:space="preserve"> </w:t>
      </w:r>
      <w:r w:rsidRPr="0024583E">
        <w:rPr>
          <w:rFonts w:ascii="Times New Roman" w:hAnsi="Times New Roman" w:cs="Times New Roman"/>
        </w:rPr>
        <w:t>The prev</w:t>
      </w:r>
      <w:r w:rsidRPr="006A6C03">
        <w:rPr>
          <w:rFonts w:ascii="Times New Roman" w:hAnsi="Times New Roman" w:cs="Times New Roman"/>
        </w:rPr>
        <w:t>alence of diabetes by social, demographic, economic and behavioural risk factors</w:t>
      </w:r>
      <w:r w:rsidRPr="004C3CDA">
        <w:rPr>
          <w:rFonts w:ascii="Times New Roman" w:hAnsi="Times New Roman" w:cs="Times New Roman"/>
        </w:rPr>
        <w:t xml:space="preserve"> are presented in Table 1</w:t>
      </w:r>
      <w:r w:rsidRPr="00A32962">
        <w:rPr>
          <w:rFonts w:ascii="Times New Roman" w:hAnsi="Times New Roman" w:cs="Times New Roman"/>
        </w:rPr>
        <w:t>.</w:t>
      </w:r>
      <w:r w:rsidRPr="00DA0533">
        <w:rPr>
          <w:rFonts w:ascii="Times New Roman" w:hAnsi="Times New Roman" w:cs="Times New Roman"/>
        </w:rPr>
        <w:t xml:space="preserve"> </w:t>
      </w:r>
      <w:r w:rsidRPr="00657B0C">
        <w:rPr>
          <w:rFonts w:ascii="Times New Roman" w:hAnsi="Times New Roman" w:cs="Times New Roman"/>
        </w:rPr>
        <w:t>Across all countries, diabetes prevalence increased significantly by age and decreased by level of educ</w:t>
      </w:r>
      <w:r w:rsidRPr="006A6C03">
        <w:rPr>
          <w:rFonts w:ascii="Times New Roman" w:hAnsi="Times New Roman" w:cs="Times New Roman"/>
        </w:rPr>
        <w:t>ation. Diabetes prevale</w:t>
      </w:r>
      <w:r>
        <w:rPr>
          <w:rFonts w:ascii="Times New Roman" w:hAnsi="Times New Roman" w:cs="Times New Roman"/>
        </w:rPr>
        <w:t xml:space="preserve">nce was </w:t>
      </w:r>
      <w:r w:rsidRPr="0024583E">
        <w:rPr>
          <w:rFonts w:ascii="Times New Roman" w:hAnsi="Times New Roman" w:cs="Times New Roman"/>
        </w:rPr>
        <w:t xml:space="preserve">highest amongst nationals in all countries, except for Oman. By wealth, the patterns were fairly consistent: diabetes prevalence was highest amongst the wealthiest and lowest amongst the poorest. The exception </w:t>
      </w:r>
      <w:r>
        <w:rPr>
          <w:rFonts w:ascii="Times New Roman" w:hAnsi="Times New Roman" w:cs="Times New Roman"/>
        </w:rPr>
        <w:t>was in Saudi Arabia, where there was less distinction between the average and richest categories</w:t>
      </w:r>
      <w:r w:rsidRPr="0024583E">
        <w:rPr>
          <w:rFonts w:ascii="Times New Roman" w:hAnsi="Times New Roman" w:cs="Times New Roman"/>
        </w:rPr>
        <w:t xml:space="preserve">. </w:t>
      </w:r>
      <w:r>
        <w:rPr>
          <w:rFonts w:ascii="Times New Roman" w:hAnsi="Times New Roman" w:cs="Times New Roman"/>
        </w:rPr>
        <w:t xml:space="preserve">Furthermore there was a gradient in </w:t>
      </w:r>
      <w:r w:rsidRPr="0024583E">
        <w:rPr>
          <w:rFonts w:ascii="Times New Roman" w:hAnsi="Times New Roman" w:cs="Times New Roman"/>
        </w:rPr>
        <w:t xml:space="preserve">BMI </w:t>
      </w:r>
      <w:r>
        <w:rPr>
          <w:rFonts w:ascii="Times New Roman" w:hAnsi="Times New Roman" w:cs="Times New Roman"/>
        </w:rPr>
        <w:t>such that diabetes prevalence was highest amongst those with high BMI, as expected</w:t>
      </w:r>
      <w:r w:rsidRPr="0024583E">
        <w:rPr>
          <w:rFonts w:ascii="Times New Roman" w:hAnsi="Times New Roman" w:cs="Times New Roman"/>
        </w:rPr>
        <w:t>.</w:t>
      </w:r>
    </w:p>
    <w:p w:rsidR="00692A01" w:rsidRPr="0024583E" w:rsidRDefault="00692A01" w:rsidP="00692A01">
      <w:pPr>
        <w:spacing w:after="120" w:line="360" w:lineRule="auto"/>
        <w:jc w:val="both"/>
        <w:rPr>
          <w:rFonts w:ascii="Times New Roman" w:hAnsi="Times New Roman" w:cs="Times New Roman"/>
        </w:rPr>
      </w:pPr>
    </w:p>
    <w:p w:rsidR="00692A01" w:rsidRPr="0024583E" w:rsidRDefault="00692A01" w:rsidP="00692A01">
      <w:pPr>
        <w:spacing w:after="120" w:line="360" w:lineRule="auto"/>
        <w:jc w:val="center"/>
        <w:rPr>
          <w:rFonts w:ascii="Times New Roman" w:hAnsi="Times New Roman" w:cs="Times New Roman"/>
        </w:rPr>
      </w:pPr>
      <w:r w:rsidRPr="0024583E">
        <w:rPr>
          <w:rFonts w:ascii="Times New Roman" w:hAnsi="Times New Roman" w:cs="Times New Roman"/>
        </w:rPr>
        <w:lastRenderedPageBreak/>
        <w:t>[Insert Table 1]</w:t>
      </w:r>
    </w:p>
    <w:p w:rsidR="00692A01" w:rsidRPr="0024583E" w:rsidRDefault="00692A01" w:rsidP="00692A01">
      <w:pPr>
        <w:spacing w:after="120" w:line="360" w:lineRule="auto"/>
        <w:jc w:val="both"/>
        <w:rPr>
          <w:rFonts w:ascii="Times New Roman" w:hAnsi="Times New Roman" w:cs="Times New Roman"/>
        </w:rPr>
      </w:pPr>
    </w:p>
    <w:p w:rsidR="00692A01" w:rsidRPr="0024583E" w:rsidRDefault="00692A01" w:rsidP="00692A01">
      <w:pPr>
        <w:spacing w:after="120" w:line="360" w:lineRule="auto"/>
        <w:jc w:val="both"/>
        <w:rPr>
          <w:rFonts w:ascii="Times New Roman" w:hAnsi="Times New Roman" w:cs="Times New Roman"/>
        </w:rPr>
      </w:pPr>
      <w:r w:rsidRPr="0024583E">
        <w:rPr>
          <w:rFonts w:ascii="Times New Roman" w:hAnsi="Times New Roman" w:cs="Times New Roman"/>
        </w:rPr>
        <w:t xml:space="preserve">Table 2 shows the </w:t>
      </w:r>
      <w:r>
        <w:rPr>
          <w:rFonts w:ascii="Times New Roman" w:hAnsi="Times New Roman" w:cs="Times New Roman"/>
        </w:rPr>
        <w:t>adjusted Odd Ratios (ORs) for the association</w:t>
      </w:r>
      <w:r w:rsidRPr="0024583E">
        <w:rPr>
          <w:rFonts w:ascii="Times New Roman" w:hAnsi="Times New Roman" w:cs="Times New Roman"/>
        </w:rPr>
        <w:t xml:space="preserve"> between diabetes and </w:t>
      </w:r>
      <w:r>
        <w:rPr>
          <w:rFonts w:ascii="Times New Roman" w:hAnsi="Times New Roman" w:cs="Times New Roman"/>
        </w:rPr>
        <w:t>age, sex, BMI, wealth and education</w:t>
      </w:r>
      <w:r w:rsidRPr="0024583E">
        <w:rPr>
          <w:rFonts w:ascii="Times New Roman" w:hAnsi="Times New Roman" w:cs="Times New Roman"/>
        </w:rPr>
        <w:t>. Age was significantly associated wit</w:t>
      </w:r>
      <w:r>
        <w:rPr>
          <w:rFonts w:ascii="Times New Roman" w:hAnsi="Times New Roman" w:cs="Times New Roman"/>
        </w:rPr>
        <w:t>h diabetes across all countries</w:t>
      </w:r>
      <w:r w:rsidRPr="0024583E">
        <w:rPr>
          <w:rFonts w:ascii="Times New Roman" w:hAnsi="Times New Roman" w:cs="Times New Roman"/>
        </w:rPr>
        <w:t>.</w:t>
      </w:r>
      <w:r>
        <w:rPr>
          <w:rFonts w:ascii="Times New Roman" w:hAnsi="Times New Roman" w:cs="Times New Roman"/>
        </w:rPr>
        <w:t xml:space="preserve"> BMI was also significantly associated with self-reported diabetes; ORs increased by category of BMI. In all countries, education was negatively associated with self-reported diabetes. No significant association was shown by sex in all countries. Similarly, there appeared to be no distinct gradient in wealth. </w:t>
      </w:r>
    </w:p>
    <w:p w:rsidR="00692A01" w:rsidRPr="0024583E" w:rsidRDefault="00692A01" w:rsidP="00692A01">
      <w:pPr>
        <w:spacing w:after="120" w:line="276" w:lineRule="auto"/>
        <w:jc w:val="both"/>
        <w:rPr>
          <w:rFonts w:ascii="Times New Roman" w:hAnsi="Times New Roman" w:cs="Times New Roman"/>
        </w:rPr>
      </w:pPr>
    </w:p>
    <w:p w:rsidR="00692A01" w:rsidRPr="0024583E" w:rsidRDefault="00692A01" w:rsidP="00692A01">
      <w:pPr>
        <w:spacing w:after="120" w:line="276" w:lineRule="auto"/>
        <w:jc w:val="center"/>
        <w:rPr>
          <w:rFonts w:ascii="Times New Roman" w:hAnsi="Times New Roman" w:cs="Times New Roman"/>
        </w:rPr>
      </w:pPr>
      <w:r w:rsidRPr="0024583E">
        <w:rPr>
          <w:rFonts w:ascii="Times New Roman" w:hAnsi="Times New Roman" w:cs="Times New Roman"/>
        </w:rPr>
        <w:t>[Insert Table 2]</w:t>
      </w:r>
    </w:p>
    <w:p w:rsidR="00692A01" w:rsidRPr="0024583E" w:rsidRDefault="00692A01" w:rsidP="00692A01">
      <w:pPr>
        <w:spacing w:after="120" w:line="276" w:lineRule="auto"/>
        <w:jc w:val="both"/>
        <w:rPr>
          <w:rFonts w:ascii="Times New Roman" w:hAnsi="Times New Roman" w:cs="Times New Roman"/>
        </w:rPr>
      </w:pPr>
    </w:p>
    <w:p w:rsidR="00692A01" w:rsidRPr="0024583E" w:rsidRDefault="00692A01" w:rsidP="00692A01">
      <w:pPr>
        <w:spacing w:after="120" w:line="360" w:lineRule="auto"/>
        <w:jc w:val="both"/>
        <w:rPr>
          <w:rFonts w:ascii="Times New Roman" w:hAnsi="Times New Roman" w:cs="Times New Roman"/>
        </w:rPr>
      </w:pPr>
      <w:r w:rsidRPr="0024583E">
        <w:rPr>
          <w:rFonts w:ascii="Times New Roman" w:hAnsi="Times New Roman" w:cs="Times New Roman"/>
        </w:rPr>
        <w:t xml:space="preserve">Treatment levels </w:t>
      </w:r>
      <w:r>
        <w:rPr>
          <w:rFonts w:ascii="Times New Roman" w:hAnsi="Times New Roman" w:cs="Times New Roman"/>
        </w:rPr>
        <w:t xml:space="preserve">are shown in Table 3, which </w:t>
      </w:r>
      <w:r w:rsidRPr="0024583E">
        <w:rPr>
          <w:rFonts w:ascii="Times New Roman" w:hAnsi="Times New Roman" w:cs="Times New Roman"/>
        </w:rPr>
        <w:t xml:space="preserve">were high across all countries, </w:t>
      </w:r>
      <w:r>
        <w:rPr>
          <w:rFonts w:ascii="Times New Roman" w:hAnsi="Times New Roman" w:cs="Times New Roman"/>
        </w:rPr>
        <w:t>overall, and by the background characteristics</w:t>
      </w:r>
      <w:r w:rsidRPr="0024583E">
        <w:rPr>
          <w:rFonts w:ascii="Times New Roman" w:hAnsi="Times New Roman" w:cs="Times New Roman"/>
        </w:rPr>
        <w:t>. The percentage of diabetics reporting treatment ranged from 51.1% (those from a highest education category living in the UAE) to approximately 98.2% (those from th</w:t>
      </w:r>
      <w:r>
        <w:rPr>
          <w:rFonts w:ascii="Times New Roman" w:hAnsi="Times New Roman" w:cs="Times New Roman"/>
        </w:rPr>
        <w:t xml:space="preserve">e age category 18-29 in Oman). </w:t>
      </w:r>
      <w:r w:rsidRPr="0024583E">
        <w:rPr>
          <w:rFonts w:ascii="Times New Roman" w:hAnsi="Times New Roman" w:cs="Times New Roman"/>
        </w:rPr>
        <w:t xml:space="preserve">Age was found to be statistically significant across the countries, although there was no clear consistent gradient. </w:t>
      </w:r>
      <w:r>
        <w:rPr>
          <w:rFonts w:ascii="Times New Roman" w:hAnsi="Times New Roman" w:cs="Times New Roman"/>
        </w:rPr>
        <w:t>Treatment was also similar amongst nationals versus non-nationals, across all countries, except for the UAE. In the UAE, however, there was a wealth gradient in treatment: being treated for diabetes was more strongly associated with being in the wealthiest group.</w:t>
      </w:r>
    </w:p>
    <w:p w:rsidR="00692A01" w:rsidRDefault="00692A01" w:rsidP="00692A01">
      <w:pPr>
        <w:spacing w:after="120" w:line="276" w:lineRule="auto"/>
        <w:jc w:val="both"/>
        <w:rPr>
          <w:rFonts w:ascii="Times New Roman" w:hAnsi="Times New Roman" w:cs="Times New Roman"/>
        </w:rPr>
      </w:pPr>
    </w:p>
    <w:p w:rsidR="00692A01" w:rsidRPr="0024583E" w:rsidRDefault="00692A01" w:rsidP="00692A01">
      <w:pPr>
        <w:spacing w:after="120" w:line="276" w:lineRule="auto"/>
        <w:jc w:val="center"/>
        <w:rPr>
          <w:rFonts w:ascii="Times New Roman" w:hAnsi="Times New Roman" w:cs="Times New Roman"/>
        </w:rPr>
      </w:pPr>
      <w:r>
        <w:rPr>
          <w:rFonts w:ascii="Times New Roman" w:hAnsi="Times New Roman" w:cs="Times New Roman"/>
        </w:rPr>
        <w:t>[Insert Table 3</w:t>
      </w:r>
      <w:r w:rsidRPr="0024583E">
        <w:rPr>
          <w:rFonts w:ascii="Times New Roman" w:hAnsi="Times New Roman" w:cs="Times New Roman"/>
        </w:rPr>
        <w:t>]</w:t>
      </w:r>
    </w:p>
    <w:p w:rsidR="00692A01" w:rsidRPr="0024583E" w:rsidRDefault="00692A01" w:rsidP="00692A01">
      <w:pPr>
        <w:spacing w:after="120" w:line="276" w:lineRule="auto"/>
        <w:jc w:val="center"/>
        <w:rPr>
          <w:rFonts w:ascii="Times New Roman" w:hAnsi="Times New Roman" w:cs="Times New Roman"/>
        </w:rPr>
      </w:pPr>
    </w:p>
    <w:p w:rsidR="00692A01" w:rsidRPr="0058417A" w:rsidRDefault="00692A01" w:rsidP="00692A01">
      <w:pPr>
        <w:spacing w:line="360" w:lineRule="auto"/>
        <w:jc w:val="both"/>
        <w:rPr>
          <w:rFonts w:ascii="Times New Roman" w:hAnsi="Times New Roman" w:cs="Times New Roman"/>
        </w:rPr>
      </w:pPr>
      <w:r w:rsidRPr="0024583E">
        <w:rPr>
          <w:rFonts w:ascii="Times New Roman" w:hAnsi="Times New Roman" w:cs="Times New Roman"/>
        </w:rPr>
        <w:t>Table 4 shows the prevalence of</w:t>
      </w:r>
      <w:r>
        <w:rPr>
          <w:rFonts w:ascii="Times New Roman" w:hAnsi="Times New Roman" w:cs="Times New Roman"/>
        </w:rPr>
        <w:t xml:space="preserve"> self-reported non-communicable disease, and</w:t>
      </w:r>
      <w:r w:rsidRPr="0024583E">
        <w:rPr>
          <w:rFonts w:ascii="Times New Roman" w:hAnsi="Times New Roman" w:cs="Times New Roman"/>
        </w:rPr>
        <w:t xml:space="preserve"> </w:t>
      </w:r>
      <w:r>
        <w:rPr>
          <w:rFonts w:ascii="Times New Roman" w:hAnsi="Times New Roman" w:cs="Times New Roman"/>
        </w:rPr>
        <w:t xml:space="preserve">extent of </w:t>
      </w:r>
      <w:r w:rsidRPr="0024583E">
        <w:rPr>
          <w:rFonts w:ascii="Times New Roman" w:hAnsi="Times New Roman" w:cs="Times New Roman"/>
        </w:rPr>
        <w:t>comorbidities</w:t>
      </w:r>
      <w:r>
        <w:rPr>
          <w:rFonts w:ascii="Times New Roman" w:hAnsi="Times New Roman" w:cs="Times New Roman"/>
        </w:rPr>
        <w:t>,</w:t>
      </w:r>
      <w:r w:rsidRPr="0024583E">
        <w:rPr>
          <w:rFonts w:ascii="Times New Roman" w:hAnsi="Times New Roman" w:cs="Times New Roman"/>
        </w:rPr>
        <w:t xml:space="preserve"> </w:t>
      </w:r>
      <w:r>
        <w:rPr>
          <w:rFonts w:ascii="Times New Roman" w:hAnsi="Times New Roman" w:cs="Times New Roman"/>
        </w:rPr>
        <w:t>by</w:t>
      </w:r>
      <w:r w:rsidRPr="0024583E">
        <w:rPr>
          <w:rFonts w:ascii="Times New Roman" w:hAnsi="Times New Roman" w:cs="Times New Roman"/>
        </w:rPr>
        <w:t xml:space="preserve"> diabetes</w:t>
      </w:r>
      <w:r>
        <w:rPr>
          <w:rFonts w:ascii="Times New Roman" w:hAnsi="Times New Roman" w:cs="Times New Roman"/>
        </w:rPr>
        <w:t xml:space="preserve"> status</w:t>
      </w:r>
      <w:r w:rsidRPr="0024583E">
        <w:rPr>
          <w:rFonts w:ascii="Times New Roman" w:hAnsi="Times New Roman" w:cs="Times New Roman"/>
        </w:rPr>
        <w:t xml:space="preserve">. The co-occurrence of other chronic conditions was most common for diabetics in comparison to non-diabetics. The differential between the two groups was highest for hypertension and arthritis. For example, prevalence </w:t>
      </w:r>
      <w:r>
        <w:rPr>
          <w:rFonts w:ascii="Times New Roman" w:hAnsi="Times New Roman" w:cs="Times New Roman"/>
        </w:rPr>
        <w:t xml:space="preserve">of hypertension </w:t>
      </w:r>
      <w:r w:rsidRPr="0024583E">
        <w:rPr>
          <w:rFonts w:ascii="Times New Roman" w:hAnsi="Times New Roman" w:cs="Times New Roman"/>
        </w:rPr>
        <w:t>was 52.1% in Kuwait, 35.8% in Oman,</w:t>
      </w:r>
      <w:r>
        <w:rPr>
          <w:rFonts w:ascii="Times New Roman" w:hAnsi="Times New Roman" w:cs="Times New Roman"/>
        </w:rPr>
        <w:t xml:space="preserve"> </w:t>
      </w:r>
      <w:r w:rsidRPr="0024583E">
        <w:rPr>
          <w:rFonts w:ascii="Times New Roman" w:hAnsi="Times New Roman" w:cs="Times New Roman"/>
        </w:rPr>
        <w:t>40.5% in Saudi Arabia, and 41.1% in UAE</w:t>
      </w:r>
      <w:r>
        <w:rPr>
          <w:rFonts w:ascii="Times New Roman" w:hAnsi="Times New Roman" w:cs="Times New Roman"/>
        </w:rPr>
        <w:t>,</w:t>
      </w:r>
      <w:r w:rsidRPr="0024583E">
        <w:rPr>
          <w:rFonts w:ascii="Times New Roman" w:hAnsi="Times New Roman" w:cs="Times New Roman"/>
        </w:rPr>
        <w:t xml:space="preserve"> </w:t>
      </w:r>
      <w:r w:rsidRPr="0024583E">
        <w:rPr>
          <w:rFonts w:ascii="Times New Roman" w:hAnsi="Times New Roman" w:cs="Times New Roman"/>
          <w:iCs/>
        </w:rPr>
        <w:t>for diabetics;</w:t>
      </w:r>
      <w:r w:rsidRPr="0024583E">
        <w:rPr>
          <w:rFonts w:ascii="Times New Roman" w:hAnsi="Times New Roman" w:cs="Times New Roman"/>
          <w:i/>
          <w:iCs/>
        </w:rPr>
        <w:t xml:space="preserve"> </w:t>
      </w:r>
      <w:r w:rsidRPr="0024583E">
        <w:rPr>
          <w:rFonts w:ascii="Times New Roman" w:hAnsi="Times New Roman" w:cs="Times New Roman"/>
          <w:i/>
        </w:rPr>
        <w:t>versus</w:t>
      </w:r>
      <w:r w:rsidRPr="0024583E">
        <w:rPr>
          <w:rFonts w:ascii="Times New Roman" w:hAnsi="Times New Roman" w:cs="Times New Roman"/>
        </w:rPr>
        <w:t xml:space="preserve"> 7.3% in Kuwait, 6.9% in Oman, 5.0% in Saudi Arabia, and 7.2% in UAE</w:t>
      </w:r>
      <w:r>
        <w:rPr>
          <w:rFonts w:ascii="Times New Roman" w:hAnsi="Times New Roman" w:cs="Times New Roman"/>
        </w:rPr>
        <w:t>,</w:t>
      </w:r>
      <w:r w:rsidRPr="0024583E" w:rsidDel="00A76EE2">
        <w:rPr>
          <w:rFonts w:ascii="Times New Roman" w:hAnsi="Times New Roman" w:cs="Times New Roman"/>
        </w:rPr>
        <w:t xml:space="preserve"> </w:t>
      </w:r>
      <w:r w:rsidRPr="0024583E">
        <w:rPr>
          <w:rFonts w:ascii="Times New Roman" w:hAnsi="Times New Roman" w:cs="Times New Roman"/>
          <w:iCs/>
        </w:rPr>
        <w:t>for non-diabetics</w:t>
      </w:r>
      <w:r>
        <w:rPr>
          <w:rFonts w:ascii="Times New Roman" w:hAnsi="Times New Roman" w:cs="Times New Roman"/>
        </w:rPr>
        <w:t xml:space="preserve">. </w:t>
      </w:r>
    </w:p>
    <w:p w:rsidR="00692A01" w:rsidRDefault="00692A01" w:rsidP="00692A01">
      <w:pPr>
        <w:spacing w:line="360" w:lineRule="auto"/>
        <w:jc w:val="both"/>
        <w:rPr>
          <w:rFonts w:ascii="Times New Roman" w:hAnsi="Times New Roman" w:cs="Times New Roman"/>
        </w:rPr>
      </w:pPr>
      <w:r w:rsidRPr="0024583E">
        <w:rPr>
          <w:rFonts w:ascii="Times New Roman" w:hAnsi="Times New Roman" w:cs="Times New Roman"/>
        </w:rPr>
        <w:t>Over half of all diabetics reported having another chronic disease. In Kuwait, comorbidity was absent in approximately 76.5% of non-diabetics, compare</w:t>
      </w:r>
      <w:r>
        <w:rPr>
          <w:rFonts w:ascii="Times New Roman" w:hAnsi="Times New Roman" w:cs="Times New Roman"/>
        </w:rPr>
        <w:t>d to 28.6% of diabetics (Table 4</w:t>
      </w:r>
      <w:r w:rsidRPr="0024583E">
        <w:rPr>
          <w:rFonts w:ascii="Times New Roman" w:hAnsi="Times New Roman" w:cs="Times New Roman"/>
        </w:rPr>
        <w:t xml:space="preserve">).  Across all countries, the distribution of individuals with at least one other comorbidity was similar. Over one in five diabetics in Kuwait and Saudi Arabia reported two or more co-morbidities. </w:t>
      </w:r>
    </w:p>
    <w:p w:rsidR="00692A01" w:rsidRPr="0024583E" w:rsidRDefault="00692A01" w:rsidP="00692A01">
      <w:pPr>
        <w:spacing w:after="120" w:line="276" w:lineRule="auto"/>
        <w:jc w:val="center"/>
        <w:rPr>
          <w:rFonts w:ascii="Times New Roman" w:hAnsi="Times New Roman" w:cs="Times New Roman"/>
        </w:rPr>
      </w:pPr>
      <w:r>
        <w:rPr>
          <w:rFonts w:ascii="Times New Roman" w:hAnsi="Times New Roman" w:cs="Times New Roman"/>
        </w:rPr>
        <w:t>[Insert Table 4</w:t>
      </w:r>
      <w:r w:rsidRPr="0024583E">
        <w:rPr>
          <w:rFonts w:ascii="Times New Roman" w:hAnsi="Times New Roman" w:cs="Times New Roman"/>
        </w:rPr>
        <w:t>]</w:t>
      </w:r>
    </w:p>
    <w:p w:rsidR="00692A01" w:rsidRPr="0058417A" w:rsidRDefault="00692A01" w:rsidP="00692A01">
      <w:pPr>
        <w:jc w:val="both"/>
        <w:rPr>
          <w:rFonts w:ascii="Times New Roman" w:hAnsi="Times New Roman" w:cs="Times New Roman"/>
          <w:color w:val="000000"/>
        </w:rPr>
      </w:pPr>
    </w:p>
    <w:p w:rsidR="00692A01" w:rsidRDefault="00692A01" w:rsidP="00692A01">
      <w:pPr>
        <w:spacing w:line="360" w:lineRule="auto"/>
        <w:jc w:val="both"/>
        <w:rPr>
          <w:rFonts w:ascii="Times New Roman" w:hAnsi="Times New Roman" w:cs="Times New Roman"/>
        </w:rPr>
      </w:pPr>
      <w:r>
        <w:rPr>
          <w:rFonts w:ascii="Times New Roman" w:hAnsi="Times New Roman" w:cs="Times New Roman"/>
        </w:rPr>
        <w:t xml:space="preserve">Table 5 </w:t>
      </w:r>
      <w:r w:rsidRPr="0024583E">
        <w:rPr>
          <w:rFonts w:ascii="Times New Roman" w:hAnsi="Times New Roman" w:cs="Times New Roman"/>
        </w:rPr>
        <w:t xml:space="preserve">shows results from the </w:t>
      </w:r>
      <w:r>
        <w:rPr>
          <w:rFonts w:ascii="Times New Roman" w:hAnsi="Times New Roman" w:cs="Times New Roman"/>
        </w:rPr>
        <w:t xml:space="preserve">ZIP </w:t>
      </w:r>
      <w:r w:rsidRPr="0024583E">
        <w:rPr>
          <w:rFonts w:ascii="Times New Roman" w:hAnsi="Times New Roman" w:cs="Times New Roman"/>
        </w:rPr>
        <w:t xml:space="preserve">model investigating the </w:t>
      </w:r>
      <w:r>
        <w:rPr>
          <w:rFonts w:ascii="Times New Roman" w:hAnsi="Times New Roman" w:cs="Times New Roman"/>
        </w:rPr>
        <w:t xml:space="preserve">association of </w:t>
      </w:r>
      <w:r w:rsidRPr="0024583E">
        <w:rPr>
          <w:rFonts w:ascii="Times New Roman" w:hAnsi="Times New Roman" w:cs="Times New Roman"/>
        </w:rPr>
        <w:t xml:space="preserve">number of chronic </w:t>
      </w:r>
      <w:r>
        <w:rPr>
          <w:rFonts w:ascii="Times New Roman" w:hAnsi="Times New Roman" w:cs="Times New Roman"/>
        </w:rPr>
        <w:t xml:space="preserve">comorbidities with diabetes and other concomitant variables. The presence of diabetes is associated </w:t>
      </w:r>
      <w:r>
        <w:rPr>
          <w:rFonts w:ascii="Times New Roman" w:hAnsi="Times New Roman" w:cs="Times New Roman"/>
        </w:rPr>
        <w:lastRenderedPageBreak/>
        <w:t>with an excess of comorbidities, and the incidence of comorbidities increases with age, is higher among females and lower among non-nationals. None of the socio-economic variables are associated with number of comorbidities.</w:t>
      </w:r>
    </w:p>
    <w:p w:rsidR="00692A01" w:rsidRPr="0024583E" w:rsidRDefault="00692A01" w:rsidP="00692A01">
      <w:pPr>
        <w:pStyle w:val="ListParagraph"/>
        <w:spacing w:after="120" w:line="360" w:lineRule="auto"/>
        <w:ind w:left="2880" w:firstLine="720"/>
        <w:rPr>
          <w:rFonts w:ascii="Times New Roman" w:hAnsi="Times New Roman" w:cs="Times New Roman"/>
        </w:rPr>
      </w:pPr>
      <w:r w:rsidDel="0077701C">
        <w:rPr>
          <w:rFonts w:ascii="Times New Roman" w:hAnsi="Times New Roman" w:cs="Times New Roman"/>
        </w:rPr>
        <w:t xml:space="preserve"> </w:t>
      </w:r>
      <w:r>
        <w:rPr>
          <w:rFonts w:ascii="Times New Roman" w:hAnsi="Times New Roman" w:cs="Times New Roman"/>
        </w:rPr>
        <w:t>[Insert Table 5</w:t>
      </w:r>
      <w:r w:rsidRPr="0024583E">
        <w:rPr>
          <w:rFonts w:ascii="Times New Roman" w:hAnsi="Times New Roman" w:cs="Times New Roman"/>
        </w:rPr>
        <w:t>]</w:t>
      </w:r>
    </w:p>
    <w:p w:rsidR="00692A01" w:rsidRPr="0024583E" w:rsidRDefault="00692A01" w:rsidP="00692A01">
      <w:pPr>
        <w:spacing w:line="360" w:lineRule="auto"/>
        <w:jc w:val="both"/>
        <w:rPr>
          <w:rFonts w:ascii="Times New Roman" w:hAnsi="Times New Roman" w:cs="Times New Roman"/>
        </w:rPr>
      </w:pPr>
    </w:p>
    <w:p w:rsidR="00692A01" w:rsidRPr="0024583E" w:rsidRDefault="00692A01" w:rsidP="00692A01">
      <w:pPr>
        <w:jc w:val="both"/>
        <w:rPr>
          <w:rFonts w:ascii="Times New Roman" w:hAnsi="Times New Roman" w:cs="Times New Roman"/>
          <w:b/>
          <w:bCs/>
        </w:rPr>
      </w:pPr>
    </w:p>
    <w:p w:rsidR="00692A01" w:rsidRDefault="00692A01" w:rsidP="00692A01">
      <w:pPr>
        <w:jc w:val="both"/>
        <w:rPr>
          <w:rFonts w:ascii="Times New Roman" w:hAnsi="Times New Roman" w:cs="Times New Roman"/>
          <w:b/>
          <w:bCs/>
        </w:rPr>
      </w:pPr>
      <w:r w:rsidRPr="0024583E">
        <w:rPr>
          <w:rFonts w:ascii="Times New Roman" w:hAnsi="Times New Roman" w:cs="Times New Roman"/>
          <w:b/>
          <w:bCs/>
        </w:rPr>
        <w:t>DISCUSSION</w:t>
      </w:r>
    </w:p>
    <w:p w:rsidR="00692A01" w:rsidRPr="00E32FC8" w:rsidRDefault="00692A01" w:rsidP="00692A01">
      <w:pPr>
        <w:spacing w:after="120" w:line="360" w:lineRule="auto"/>
        <w:jc w:val="both"/>
        <w:rPr>
          <w:rFonts w:ascii="Times New Roman" w:hAnsi="Times New Roman" w:cs="Times New Roman"/>
        </w:rPr>
      </w:pPr>
      <w:r w:rsidRPr="00E32FC8">
        <w:rPr>
          <w:rFonts w:ascii="Times New Roman" w:hAnsi="Times New Roman" w:cs="Times New Roman"/>
        </w:rPr>
        <w:t>There</w:t>
      </w:r>
      <w:r>
        <w:rPr>
          <w:rFonts w:ascii="Times New Roman" w:hAnsi="Times New Roman" w:cs="Times New Roman"/>
        </w:rPr>
        <w:t xml:space="preserve"> were several notable discussion points, which add to the previous literature on diabetes in the respective GCC countries. First, there was a relatively wide variation in the estimated prevalence of diabetes across the GCC countries, even after controlling for differences in population age structure</w:t>
      </w:r>
      <w:r w:rsidRPr="00E32FC8">
        <w:rPr>
          <w:rFonts w:ascii="Times New Roman" w:hAnsi="Times New Roman" w:cs="Times New Roman"/>
        </w:rPr>
        <w:t>.</w:t>
      </w:r>
      <w:r>
        <w:rPr>
          <w:rFonts w:ascii="Times New Roman" w:hAnsi="Times New Roman" w:cs="Times New Roman"/>
        </w:rPr>
        <w:t xml:space="preserve"> In all countries the standardised prevalence of diabetes was high, as expected [21], but</w:t>
      </w:r>
      <w:r w:rsidRPr="00E32FC8">
        <w:rPr>
          <w:rFonts w:ascii="Times New Roman" w:hAnsi="Times New Roman" w:cs="Times New Roman"/>
        </w:rPr>
        <w:t xml:space="preserve"> </w:t>
      </w:r>
      <w:r>
        <w:rPr>
          <w:rFonts w:ascii="Times New Roman" w:hAnsi="Times New Roman" w:cs="Times New Roman"/>
        </w:rPr>
        <w:t>t</w:t>
      </w:r>
      <w:r w:rsidRPr="00E32FC8">
        <w:rPr>
          <w:rFonts w:ascii="Times New Roman" w:hAnsi="Times New Roman" w:cs="Times New Roman"/>
        </w:rPr>
        <w:t xml:space="preserve">he fact that there is </w:t>
      </w:r>
      <w:r>
        <w:rPr>
          <w:rFonts w:ascii="Times New Roman" w:hAnsi="Times New Roman" w:cs="Times New Roman"/>
        </w:rPr>
        <w:t>a wide variation in diabetes prevalence</w:t>
      </w:r>
      <w:r w:rsidRPr="00E32FC8">
        <w:rPr>
          <w:rFonts w:ascii="Times New Roman" w:hAnsi="Times New Roman" w:cs="Times New Roman"/>
        </w:rPr>
        <w:t xml:space="preserve"> between the four GCC countries involved in this study </w:t>
      </w:r>
      <w:r>
        <w:rPr>
          <w:rFonts w:ascii="Times New Roman" w:hAnsi="Times New Roman" w:cs="Times New Roman"/>
        </w:rPr>
        <w:t>indicate that a one-fit policy option may not</w:t>
      </w:r>
      <w:r w:rsidRPr="00E32FC8">
        <w:rPr>
          <w:rFonts w:ascii="Times New Roman" w:hAnsi="Times New Roman" w:cs="Times New Roman"/>
        </w:rPr>
        <w:t xml:space="preserve"> </w:t>
      </w:r>
      <w:r>
        <w:rPr>
          <w:rFonts w:ascii="Times New Roman" w:hAnsi="Times New Roman" w:cs="Times New Roman"/>
        </w:rPr>
        <w:t>guarantee effectiveness in the prevention of</w:t>
      </w:r>
      <w:r w:rsidRPr="00E32FC8">
        <w:rPr>
          <w:rFonts w:ascii="Times New Roman" w:hAnsi="Times New Roman" w:cs="Times New Roman"/>
        </w:rPr>
        <w:t xml:space="preserve"> </w:t>
      </w:r>
      <w:r>
        <w:rPr>
          <w:rFonts w:ascii="Times New Roman" w:hAnsi="Times New Roman" w:cs="Times New Roman"/>
        </w:rPr>
        <w:t>diabetes in</w:t>
      </w:r>
      <w:r w:rsidRPr="00E32FC8">
        <w:rPr>
          <w:rFonts w:ascii="Times New Roman" w:hAnsi="Times New Roman" w:cs="Times New Roman"/>
        </w:rPr>
        <w:t xml:space="preserve"> the</w:t>
      </w:r>
      <w:r>
        <w:rPr>
          <w:rFonts w:ascii="Times New Roman" w:hAnsi="Times New Roman" w:cs="Times New Roman"/>
        </w:rPr>
        <w:t>se</w:t>
      </w:r>
      <w:r w:rsidRPr="00E32FC8">
        <w:rPr>
          <w:rFonts w:ascii="Times New Roman" w:hAnsi="Times New Roman" w:cs="Times New Roman"/>
        </w:rPr>
        <w:t xml:space="preserve"> four countries</w:t>
      </w:r>
      <w:r>
        <w:rPr>
          <w:rFonts w:ascii="Times New Roman" w:hAnsi="Times New Roman" w:cs="Times New Roman"/>
        </w:rPr>
        <w:t xml:space="preserve">; rather that </w:t>
      </w:r>
      <w:r w:rsidRPr="00E32FC8">
        <w:rPr>
          <w:rFonts w:ascii="Times New Roman" w:hAnsi="Times New Roman" w:cs="Times New Roman"/>
        </w:rPr>
        <w:t xml:space="preserve">each country should test the transferability and the applicability of </w:t>
      </w:r>
      <w:r>
        <w:rPr>
          <w:rFonts w:ascii="Times New Roman" w:hAnsi="Times New Roman" w:cs="Times New Roman"/>
        </w:rPr>
        <w:t xml:space="preserve">each policy </w:t>
      </w:r>
      <w:r w:rsidRPr="00E32FC8">
        <w:rPr>
          <w:rFonts w:ascii="Times New Roman" w:hAnsi="Times New Roman" w:cs="Times New Roman"/>
        </w:rPr>
        <w:t>before implem</w:t>
      </w:r>
      <w:r>
        <w:rPr>
          <w:rFonts w:ascii="Times New Roman" w:hAnsi="Times New Roman" w:cs="Times New Roman"/>
        </w:rPr>
        <w:t>entation</w:t>
      </w:r>
      <w:r w:rsidRPr="00E32FC8">
        <w:rPr>
          <w:rFonts w:ascii="Times New Roman" w:hAnsi="Times New Roman" w:cs="Times New Roman"/>
        </w:rPr>
        <w:t>.</w:t>
      </w:r>
      <w:r>
        <w:rPr>
          <w:rFonts w:ascii="Times New Roman" w:hAnsi="Times New Roman" w:cs="Times New Roman"/>
        </w:rPr>
        <w:t xml:space="preserve"> Second, consistent with the literature, the</w:t>
      </w:r>
      <w:r w:rsidRPr="00E32FC8">
        <w:rPr>
          <w:rFonts w:ascii="Times New Roman" w:hAnsi="Times New Roman" w:cs="Times New Roman"/>
        </w:rPr>
        <w:t xml:space="preserve"> co-occurrence of chronic conditions with diabetes</w:t>
      </w:r>
      <w:r>
        <w:rPr>
          <w:rFonts w:ascii="Times New Roman" w:hAnsi="Times New Roman" w:cs="Times New Roman"/>
        </w:rPr>
        <w:t xml:space="preserve"> was high.</w:t>
      </w:r>
      <w:r>
        <w:rPr>
          <w:rFonts w:ascii="Times New Roman" w:hAnsi="Times New Roman" w:cs="Times New Roman"/>
          <w:noProof/>
        </w:rPr>
        <w:t xml:space="preserve">[22-23] </w:t>
      </w:r>
      <w:r>
        <w:rPr>
          <w:rFonts w:ascii="Times New Roman" w:hAnsi="Times New Roman" w:cs="Times New Roman"/>
        </w:rPr>
        <w:t>This may be explained by the shared lifestyle risk factors, notably inadequate nutrition and lack of physical activity: particularly those related to the cardio-metabolic cluster (e.g. angina, hypertension, stroke) where the prevalence difference between the diabetic, versus the non-diabetic, population was high</w:t>
      </w:r>
      <w:r w:rsidRPr="000B0D08">
        <w:rPr>
          <w:rFonts w:ascii="Times New Roman" w:hAnsi="Times New Roman" w:cs="Times New Roman"/>
        </w:rPr>
        <w:t>est</w:t>
      </w:r>
      <w:r w:rsidRPr="00421D7E">
        <w:rPr>
          <w:rFonts w:ascii="Times New Roman" w:hAnsi="Times New Roman" w:cs="Times New Roman"/>
        </w:rPr>
        <w:t>.</w:t>
      </w:r>
      <w:r w:rsidRPr="000B0D08">
        <w:rPr>
          <w:rFonts w:ascii="Times New Roman" w:hAnsi="Times New Roman" w:cs="Times New Roman"/>
          <w:noProof/>
        </w:rPr>
        <w:t>[2</w:t>
      </w:r>
      <w:r>
        <w:rPr>
          <w:rFonts w:ascii="Times New Roman" w:hAnsi="Times New Roman" w:cs="Times New Roman"/>
          <w:noProof/>
        </w:rPr>
        <w:t>4</w:t>
      </w:r>
      <w:r w:rsidRPr="000B0D08">
        <w:rPr>
          <w:rFonts w:ascii="Times New Roman" w:hAnsi="Times New Roman" w:cs="Times New Roman"/>
          <w:noProof/>
        </w:rPr>
        <w:t>]</w:t>
      </w:r>
      <w:r w:rsidRPr="000B0D08">
        <w:rPr>
          <w:rFonts w:ascii="Times New Roman" w:hAnsi="Times New Roman" w:cs="Times New Roman"/>
        </w:rPr>
        <w:t xml:space="preserve"> </w:t>
      </w:r>
      <w:r w:rsidRPr="006D3D16">
        <w:rPr>
          <w:rFonts w:ascii="Times New Roman" w:hAnsi="Times New Roman" w:cs="Times New Roman"/>
        </w:rPr>
        <w:t>One</w:t>
      </w:r>
      <w:r>
        <w:rPr>
          <w:rFonts w:ascii="Times New Roman" w:hAnsi="Times New Roman" w:cs="Times New Roman"/>
        </w:rPr>
        <w:t xml:space="preserve"> study finding further supports this possible explanation; e</w:t>
      </w:r>
      <w:r w:rsidRPr="00E32FC8">
        <w:rPr>
          <w:rFonts w:ascii="Times New Roman" w:hAnsi="Times New Roman" w:cs="Times New Roman"/>
        </w:rPr>
        <w:t>ven after controlling for diabetes</w:t>
      </w:r>
      <w:r>
        <w:rPr>
          <w:rFonts w:ascii="Times New Roman" w:hAnsi="Times New Roman" w:cs="Times New Roman"/>
        </w:rPr>
        <w:t xml:space="preserve">, higher BMI was more positively associated with co-occurring </w:t>
      </w:r>
      <w:r w:rsidRPr="00E32FC8">
        <w:rPr>
          <w:rFonts w:ascii="Times New Roman" w:hAnsi="Times New Roman" w:cs="Times New Roman"/>
        </w:rPr>
        <w:t>chronic conditions</w:t>
      </w:r>
      <w:r>
        <w:rPr>
          <w:rFonts w:ascii="Times New Roman" w:hAnsi="Times New Roman" w:cs="Times New Roman"/>
        </w:rPr>
        <w:t>. The World Health Organisation states that “diabetes management should be integrated with management of other NCDs” [p.54, 25], and this study confirms that this strategy is required within these GCC countries. This necessitates an integrated health system with clear referral pathways between health providers and levels of care.</w:t>
      </w:r>
    </w:p>
    <w:p w:rsidR="00692A01" w:rsidRPr="00E32FC8" w:rsidRDefault="00692A01" w:rsidP="00692A01">
      <w:pPr>
        <w:spacing w:after="120" w:line="360" w:lineRule="auto"/>
        <w:jc w:val="both"/>
        <w:rPr>
          <w:rFonts w:ascii="Times New Roman" w:hAnsi="Times New Roman" w:cs="Times New Roman"/>
        </w:rPr>
      </w:pPr>
      <w:r>
        <w:rPr>
          <w:rFonts w:ascii="Times New Roman" w:hAnsi="Times New Roman" w:cs="Times New Roman"/>
        </w:rPr>
        <w:t>Third, there were some similarities in the associations of s</w:t>
      </w:r>
      <w:r w:rsidRPr="00E32FC8">
        <w:rPr>
          <w:rFonts w:ascii="Times New Roman" w:hAnsi="Times New Roman" w:cs="Times New Roman"/>
        </w:rPr>
        <w:t>oci</w:t>
      </w:r>
      <w:r>
        <w:rPr>
          <w:rFonts w:ascii="Times New Roman" w:hAnsi="Times New Roman" w:cs="Times New Roman"/>
        </w:rPr>
        <w:t>al, economic and</w:t>
      </w:r>
      <w:r w:rsidRPr="00E32FC8">
        <w:rPr>
          <w:rFonts w:ascii="Times New Roman" w:hAnsi="Times New Roman" w:cs="Times New Roman"/>
        </w:rPr>
        <w:t xml:space="preserve"> behavioural factors.</w:t>
      </w:r>
      <w:r>
        <w:rPr>
          <w:rFonts w:ascii="Times New Roman" w:hAnsi="Times New Roman" w:cs="Times New Roman"/>
        </w:rPr>
        <w:t xml:space="preserve"> Unlike many high-income countries (HICs), where an inverse social gradient exists, there is a positive gradient between doctor-diagnosed diabetes and wealth in GCC countries. This suggests that the underlying drivers of diabetes confer a disadvantage amongst the wealthy. Previously believed to be a ‘disease of affluence’ in developing countries, the literature reporting the wealth association within the GCCs is limited, however. Therefore, the study provides unique evidence to suggest a socioeconomic gradient that merits further investigation.</w:t>
      </w:r>
      <w:r>
        <w:rPr>
          <w:rFonts w:ascii="Times New Roman" w:hAnsi="Times New Roman" w:cs="Times New Roman"/>
          <w:noProof/>
        </w:rPr>
        <w:t xml:space="preserve">[26] </w:t>
      </w:r>
      <w:r>
        <w:rPr>
          <w:rFonts w:ascii="Times New Roman" w:hAnsi="Times New Roman" w:cs="Times New Roman"/>
        </w:rPr>
        <w:t>Fourth, as expected,</w:t>
      </w:r>
      <w:r w:rsidRPr="00E32FC8">
        <w:rPr>
          <w:rFonts w:ascii="Times New Roman" w:hAnsi="Times New Roman" w:cs="Times New Roman"/>
        </w:rPr>
        <w:t xml:space="preserve"> </w:t>
      </w:r>
      <w:r>
        <w:rPr>
          <w:rFonts w:ascii="Times New Roman" w:hAnsi="Times New Roman" w:cs="Times New Roman"/>
        </w:rPr>
        <w:t>t</w:t>
      </w:r>
      <w:r w:rsidRPr="00E32FC8">
        <w:rPr>
          <w:rFonts w:ascii="Times New Roman" w:hAnsi="Times New Roman" w:cs="Times New Roman"/>
        </w:rPr>
        <w:t xml:space="preserve">here is a </w:t>
      </w:r>
      <w:r>
        <w:rPr>
          <w:rFonts w:ascii="Times New Roman" w:hAnsi="Times New Roman" w:cs="Times New Roman"/>
        </w:rPr>
        <w:t xml:space="preserve">consistent </w:t>
      </w:r>
      <w:r w:rsidRPr="00E32FC8">
        <w:rPr>
          <w:rFonts w:ascii="Times New Roman" w:hAnsi="Times New Roman" w:cs="Times New Roman"/>
        </w:rPr>
        <w:t>relationship with age, with the odds of an individual</w:t>
      </w:r>
      <w:r>
        <w:rPr>
          <w:rFonts w:ascii="Times New Roman" w:hAnsi="Times New Roman" w:cs="Times New Roman"/>
        </w:rPr>
        <w:t>,</w:t>
      </w:r>
      <w:r w:rsidRPr="00E32FC8">
        <w:rPr>
          <w:rFonts w:ascii="Times New Roman" w:hAnsi="Times New Roman" w:cs="Times New Roman"/>
        </w:rPr>
        <w:t xml:space="preserve"> aged over 60 reporting diabetes</w:t>
      </w:r>
      <w:r>
        <w:rPr>
          <w:rFonts w:ascii="Times New Roman" w:hAnsi="Times New Roman" w:cs="Times New Roman"/>
        </w:rPr>
        <w:t>,</w:t>
      </w:r>
      <w:r w:rsidRPr="00E32FC8">
        <w:rPr>
          <w:rFonts w:ascii="Times New Roman" w:hAnsi="Times New Roman" w:cs="Times New Roman"/>
        </w:rPr>
        <w:t xml:space="preserve"> far exceeding those of you</w:t>
      </w:r>
      <w:r w:rsidRPr="008A6364">
        <w:rPr>
          <w:rFonts w:ascii="Times New Roman" w:hAnsi="Times New Roman" w:cs="Times New Roman"/>
        </w:rPr>
        <w:t xml:space="preserve">nger ages, which suggests that tackling diabetes should be a response to </w:t>
      </w:r>
      <w:r>
        <w:rPr>
          <w:rFonts w:ascii="Times New Roman" w:hAnsi="Times New Roman" w:cs="Times New Roman"/>
        </w:rPr>
        <w:t>the</w:t>
      </w:r>
      <w:r w:rsidRPr="008A6364">
        <w:rPr>
          <w:rFonts w:ascii="Times New Roman" w:hAnsi="Times New Roman" w:cs="Times New Roman"/>
        </w:rPr>
        <w:t xml:space="preserve"> increasing ageing population. </w:t>
      </w:r>
      <w:r>
        <w:rPr>
          <w:rFonts w:ascii="Times New Roman" w:hAnsi="Times New Roman" w:cs="Times New Roman"/>
        </w:rPr>
        <w:t>Fifth, BMI was significantly associated with diabetes, in all countries, although the gradient was less apparent in the UAE, even after controlling for other factors. Ra</w:t>
      </w:r>
      <w:r w:rsidRPr="00E32FC8">
        <w:rPr>
          <w:rFonts w:ascii="Times New Roman" w:hAnsi="Times New Roman" w:cs="Times New Roman"/>
        </w:rPr>
        <w:t xml:space="preserve">ther than </w:t>
      </w:r>
      <w:r>
        <w:rPr>
          <w:rFonts w:ascii="Times New Roman" w:hAnsi="Times New Roman" w:cs="Times New Roman"/>
        </w:rPr>
        <w:t>there being a</w:t>
      </w:r>
      <w:r w:rsidRPr="00E32FC8">
        <w:rPr>
          <w:rFonts w:ascii="Times New Roman" w:hAnsi="Times New Roman" w:cs="Times New Roman"/>
        </w:rPr>
        <w:t xml:space="preserve"> consistent story </w:t>
      </w:r>
      <w:r w:rsidRPr="00E32FC8">
        <w:rPr>
          <w:rFonts w:ascii="Times New Roman" w:hAnsi="Times New Roman" w:cs="Times New Roman"/>
        </w:rPr>
        <w:lastRenderedPageBreak/>
        <w:t>throughout the region</w:t>
      </w:r>
      <w:r>
        <w:rPr>
          <w:rFonts w:ascii="Times New Roman" w:hAnsi="Times New Roman" w:cs="Times New Roman"/>
        </w:rPr>
        <w:t>, t</w:t>
      </w:r>
      <w:r w:rsidRPr="00E32FC8">
        <w:rPr>
          <w:rFonts w:ascii="Times New Roman" w:hAnsi="Times New Roman" w:cs="Times New Roman"/>
        </w:rPr>
        <w:t>his</w:t>
      </w:r>
      <w:r>
        <w:rPr>
          <w:rFonts w:ascii="Times New Roman" w:hAnsi="Times New Roman" w:cs="Times New Roman"/>
        </w:rPr>
        <w:t xml:space="preserve"> points to a</w:t>
      </w:r>
      <w:r w:rsidRPr="00E32FC8">
        <w:rPr>
          <w:rFonts w:ascii="Times New Roman" w:hAnsi="Times New Roman" w:cs="Times New Roman"/>
        </w:rPr>
        <w:t xml:space="preserve"> complexity </w:t>
      </w:r>
      <w:r>
        <w:rPr>
          <w:rFonts w:ascii="Times New Roman" w:hAnsi="Times New Roman" w:cs="Times New Roman"/>
        </w:rPr>
        <w:t>in</w:t>
      </w:r>
      <w:r w:rsidRPr="00E32FC8">
        <w:rPr>
          <w:rFonts w:ascii="Times New Roman" w:hAnsi="Times New Roman" w:cs="Times New Roman"/>
        </w:rPr>
        <w:t xml:space="preserve"> understand</w:t>
      </w:r>
      <w:r>
        <w:rPr>
          <w:rFonts w:ascii="Times New Roman" w:hAnsi="Times New Roman" w:cs="Times New Roman"/>
        </w:rPr>
        <w:t>ing</w:t>
      </w:r>
      <w:r w:rsidRPr="00E32FC8">
        <w:rPr>
          <w:rFonts w:ascii="Times New Roman" w:hAnsi="Times New Roman" w:cs="Times New Roman"/>
        </w:rPr>
        <w:t xml:space="preserve"> the determinants</w:t>
      </w:r>
      <w:r>
        <w:rPr>
          <w:rFonts w:ascii="Times New Roman" w:hAnsi="Times New Roman" w:cs="Times New Roman"/>
        </w:rPr>
        <w:t>, and further points to unique political, social and economic contexts within the GCC region. Finally</w:t>
      </w:r>
      <w:r w:rsidRPr="008A6364">
        <w:rPr>
          <w:rFonts w:ascii="Times New Roman" w:hAnsi="Times New Roman" w:cs="Times New Roman"/>
        </w:rPr>
        <w:t xml:space="preserve">, it was encouraging to note </w:t>
      </w:r>
      <w:r>
        <w:rPr>
          <w:rFonts w:ascii="Times New Roman" w:hAnsi="Times New Roman" w:cs="Times New Roman"/>
        </w:rPr>
        <w:t>a lack of social gradient related to the</w:t>
      </w:r>
      <w:r w:rsidRPr="008A6364">
        <w:rPr>
          <w:rFonts w:ascii="Times New Roman" w:hAnsi="Times New Roman" w:cs="Times New Roman"/>
        </w:rPr>
        <w:t xml:space="preserve"> treatment</w:t>
      </w:r>
      <w:r w:rsidRPr="0024583E">
        <w:rPr>
          <w:rFonts w:ascii="Times New Roman" w:hAnsi="Times New Roman" w:cs="Times New Roman"/>
        </w:rPr>
        <w:t xml:space="preserve"> of diabetes</w:t>
      </w:r>
      <w:r w:rsidRPr="008A6364">
        <w:rPr>
          <w:rFonts w:ascii="Times New Roman" w:hAnsi="Times New Roman" w:cs="Times New Roman"/>
        </w:rPr>
        <w:t>, indicating that at the population level, there may more equitable</w:t>
      </w:r>
      <w:r w:rsidRPr="00E32FC8">
        <w:rPr>
          <w:rFonts w:ascii="Times New Roman" w:hAnsi="Times New Roman" w:cs="Times New Roman"/>
        </w:rPr>
        <w:t xml:space="preserve"> across the four countries</w:t>
      </w:r>
      <w:r>
        <w:rPr>
          <w:rFonts w:ascii="Times New Roman" w:hAnsi="Times New Roman" w:cs="Times New Roman"/>
        </w:rPr>
        <w:t xml:space="preserve"> than previously expected</w:t>
      </w:r>
      <w:r w:rsidRPr="00E32FC8">
        <w:rPr>
          <w:rFonts w:ascii="Times New Roman" w:hAnsi="Times New Roman" w:cs="Times New Roman"/>
        </w:rPr>
        <w:t>.</w:t>
      </w:r>
      <w:r>
        <w:rPr>
          <w:rFonts w:ascii="Times New Roman" w:hAnsi="Times New Roman" w:cs="Times New Roman"/>
        </w:rPr>
        <w:t xml:space="preserve"> In contrast to previous discourse claiming that non-nationals are disadvantaged in terms of health-care access, diabetes treatment was similar for both nationals and non-nationals in all countries (with the exception of the UAE). </w:t>
      </w:r>
      <w:r>
        <w:rPr>
          <w:rFonts w:ascii="Times New Roman" w:hAnsi="Times New Roman" w:cs="Times New Roman"/>
          <w:noProof/>
        </w:rPr>
        <w:t>[27]</w:t>
      </w:r>
      <w:r>
        <w:rPr>
          <w:rFonts w:ascii="Times New Roman" w:hAnsi="Times New Roman" w:cs="Times New Roman"/>
        </w:rPr>
        <w:t xml:space="preserve"> </w:t>
      </w:r>
    </w:p>
    <w:p w:rsidR="00692A01" w:rsidRPr="00E32FC8" w:rsidRDefault="00692A01" w:rsidP="00692A01">
      <w:pPr>
        <w:spacing w:after="120" w:line="360" w:lineRule="auto"/>
        <w:jc w:val="both"/>
        <w:rPr>
          <w:rFonts w:ascii="Times New Roman" w:hAnsi="Times New Roman" w:cs="Times New Roman"/>
        </w:rPr>
      </w:pPr>
      <w:r>
        <w:rPr>
          <w:rFonts w:ascii="Times New Roman" w:hAnsi="Times New Roman" w:cs="Times New Roman"/>
        </w:rPr>
        <w:t>One strength of the study included the comparability of the data across the GCC countries, as well as the use of validated anthropometric measures; allowing for the variation of diabetes and its correlates to be estimated within these four countries. To date, there have been no studies comparing the distribution of diabetes and its comorbidities across GCC countries. These estimates, however, reflect the time of data collection and it’s expected that levels of diabetes have increased since.</w:t>
      </w:r>
      <w:r>
        <w:rPr>
          <w:rFonts w:ascii="Times New Roman" w:hAnsi="Times New Roman" w:cs="Times New Roman"/>
          <w:noProof/>
        </w:rPr>
        <w:t>[28]</w:t>
      </w:r>
      <w:r>
        <w:rPr>
          <w:rFonts w:ascii="Times New Roman" w:hAnsi="Times New Roman" w:cs="Times New Roman"/>
        </w:rPr>
        <w:t xml:space="preserve"> Furthermore,</w:t>
      </w:r>
      <w:r w:rsidRPr="00E32FC8">
        <w:rPr>
          <w:rFonts w:ascii="Times New Roman" w:hAnsi="Times New Roman" w:cs="Times New Roman"/>
        </w:rPr>
        <w:t xml:space="preserve"> in different areas of the Middle East</w:t>
      </w:r>
      <w:r>
        <w:rPr>
          <w:rFonts w:ascii="Times New Roman" w:hAnsi="Times New Roman" w:cs="Times New Roman"/>
        </w:rPr>
        <w:t xml:space="preserve"> and North Africa (MENA) region, it is estimated that </w:t>
      </w:r>
      <w:r w:rsidRPr="00E32FC8">
        <w:rPr>
          <w:rFonts w:ascii="Times New Roman" w:hAnsi="Times New Roman" w:cs="Times New Roman"/>
        </w:rPr>
        <w:t>up to 50% of diabetics</w:t>
      </w:r>
      <w:r>
        <w:rPr>
          <w:rFonts w:ascii="Times New Roman" w:hAnsi="Times New Roman" w:cs="Times New Roman"/>
        </w:rPr>
        <w:t xml:space="preserve"> are unaware of their condition.</w:t>
      </w:r>
      <w:r>
        <w:rPr>
          <w:rFonts w:ascii="Times New Roman" w:hAnsi="Times New Roman" w:cs="Times New Roman"/>
          <w:noProof/>
        </w:rPr>
        <w:t>[29]</w:t>
      </w:r>
      <w:r>
        <w:rPr>
          <w:rFonts w:ascii="Times New Roman" w:hAnsi="Times New Roman" w:cs="Times New Roman"/>
        </w:rPr>
        <w:t xml:space="preserve"> </w:t>
      </w:r>
      <w:r w:rsidRPr="00E32FC8">
        <w:rPr>
          <w:rFonts w:ascii="Times New Roman" w:hAnsi="Times New Roman" w:cs="Times New Roman"/>
        </w:rPr>
        <w:t xml:space="preserve">Therefore caution must be used when interpreting this and the rest of the results, as these study only the diagnosed population, which may be very different in characteristics from the undiagnosed population. This issue is </w:t>
      </w:r>
      <w:r>
        <w:rPr>
          <w:rFonts w:ascii="Times New Roman" w:hAnsi="Times New Roman" w:cs="Times New Roman"/>
        </w:rPr>
        <w:t xml:space="preserve">also true </w:t>
      </w:r>
      <w:r w:rsidRPr="00E32FC8">
        <w:rPr>
          <w:rFonts w:ascii="Times New Roman" w:hAnsi="Times New Roman" w:cs="Times New Roman"/>
        </w:rPr>
        <w:t xml:space="preserve">for </w:t>
      </w:r>
      <w:r>
        <w:rPr>
          <w:rFonts w:ascii="Times New Roman" w:hAnsi="Times New Roman" w:cs="Times New Roman"/>
        </w:rPr>
        <w:t xml:space="preserve">the estimates of </w:t>
      </w:r>
      <w:r w:rsidRPr="00E32FC8">
        <w:rPr>
          <w:rFonts w:ascii="Times New Roman" w:hAnsi="Times New Roman" w:cs="Times New Roman"/>
        </w:rPr>
        <w:t>comorbidities</w:t>
      </w:r>
      <w:r>
        <w:rPr>
          <w:rFonts w:ascii="Times New Roman" w:hAnsi="Times New Roman" w:cs="Times New Roman"/>
        </w:rPr>
        <w:t xml:space="preserve"> reported here, which are also based on doctor-diagnosed conditions</w:t>
      </w:r>
      <w:r w:rsidRPr="00E32FC8">
        <w:rPr>
          <w:rFonts w:ascii="Times New Roman" w:hAnsi="Times New Roman" w:cs="Times New Roman"/>
        </w:rPr>
        <w:t>. Differential health access in different population groups may also be responsible for the variations in diabetes between groups</w:t>
      </w:r>
      <w:r>
        <w:rPr>
          <w:rFonts w:ascii="Times New Roman" w:hAnsi="Times New Roman" w:cs="Times New Roman"/>
        </w:rPr>
        <w:t>. Furthermore, certain population groups may have been excluded from the survey, such as domestic workers or those working in labour camp</w:t>
      </w:r>
      <w:r w:rsidRPr="00E32FC8">
        <w:rPr>
          <w:rFonts w:ascii="Times New Roman" w:hAnsi="Times New Roman" w:cs="Times New Roman"/>
        </w:rPr>
        <w:t xml:space="preserve">. Although the levels recorded from the surveys analysed here are likely to be an underestimate, the results indicate that behaviour and socio-economic status </w:t>
      </w:r>
      <w:r>
        <w:rPr>
          <w:rFonts w:ascii="Times New Roman" w:hAnsi="Times New Roman" w:cs="Times New Roman"/>
        </w:rPr>
        <w:t>are</w:t>
      </w:r>
      <w:r w:rsidRPr="00E32FC8">
        <w:rPr>
          <w:rFonts w:ascii="Times New Roman" w:hAnsi="Times New Roman" w:cs="Times New Roman"/>
        </w:rPr>
        <w:t xml:space="preserve"> closely related to reported diabetes status in all settings. A further limitation </w:t>
      </w:r>
      <w:r>
        <w:rPr>
          <w:rFonts w:ascii="Times New Roman" w:hAnsi="Times New Roman" w:cs="Times New Roman"/>
        </w:rPr>
        <w:t xml:space="preserve">was also the lack of information about the diabetes (e.g. Type), which would also help to identify the priority areas for the health care system. </w:t>
      </w:r>
    </w:p>
    <w:p w:rsidR="00692A01" w:rsidRPr="0024583E" w:rsidRDefault="00692A01" w:rsidP="00692A01">
      <w:pPr>
        <w:spacing w:after="120" w:line="360" w:lineRule="auto"/>
        <w:jc w:val="both"/>
        <w:rPr>
          <w:rFonts w:ascii="Times New Roman" w:hAnsi="Times New Roman" w:cs="Times New Roman"/>
        </w:rPr>
      </w:pPr>
      <w:r>
        <w:rPr>
          <w:rFonts w:ascii="Times New Roman" w:hAnsi="Times New Roman" w:cs="Times New Roman"/>
        </w:rPr>
        <w:t>This study provides evidence of a multimorbid population amongst those living with diabetes in the GCC countries. For these countries, the accumulation of risk may be creating a disadvantage amongst diabetic populations which commonly suffer from co-occurring chronic conditions. Therefore, health systems in the GCC need to respond by providing continuous care; that not only tackles diabetes care, but triggers earlier prevention for, and care of, other common co-occurring conditions. These may be directly related to the causes of diabetes, such as cardiovascular disease [25], or a consequence of the disease, such as depression.[30]  Furthermore, f</w:t>
      </w:r>
      <w:r w:rsidRPr="0024583E">
        <w:rPr>
          <w:rFonts w:ascii="Times New Roman" w:hAnsi="Times New Roman" w:cs="Times New Roman"/>
        </w:rPr>
        <w:t>or diabetes patients</w:t>
      </w:r>
      <w:r>
        <w:rPr>
          <w:rFonts w:ascii="Times New Roman" w:hAnsi="Times New Roman" w:cs="Times New Roman"/>
        </w:rPr>
        <w:t xml:space="preserve"> specifically</w:t>
      </w:r>
      <w:r w:rsidRPr="0024583E">
        <w:rPr>
          <w:rFonts w:ascii="Times New Roman" w:hAnsi="Times New Roman" w:cs="Times New Roman"/>
        </w:rPr>
        <w:t>, failure to adhere to treatment results in poor health outcomes</w:t>
      </w:r>
      <w:r>
        <w:rPr>
          <w:rFonts w:ascii="Times New Roman" w:hAnsi="Times New Roman" w:cs="Times New Roman"/>
        </w:rPr>
        <w:t>.</w:t>
      </w:r>
      <w:r>
        <w:rPr>
          <w:rFonts w:ascii="Times New Roman" w:hAnsi="Times New Roman" w:cs="Times New Roman"/>
          <w:noProof/>
        </w:rPr>
        <w:t>[31]</w:t>
      </w:r>
      <w:r w:rsidRPr="0024583E">
        <w:rPr>
          <w:rFonts w:ascii="Times New Roman" w:hAnsi="Times New Roman" w:cs="Times New Roman"/>
        </w:rPr>
        <w:t xml:space="preserve"> Proper self-management can improve diabetes control, although such practice is also dependent upon the availability of</w:t>
      </w:r>
      <w:r>
        <w:rPr>
          <w:rFonts w:ascii="Times New Roman" w:hAnsi="Times New Roman" w:cs="Times New Roman"/>
        </w:rPr>
        <w:t>,</w:t>
      </w:r>
      <w:r w:rsidRPr="0024583E">
        <w:rPr>
          <w:rFonts w:ascii="Times New Roman" w:hAnsi="Times New Roman" w:cs="Times New Roman"/>
        </w:rPr>
        <w:t xml:space="preserve"> and access to</w:t>
      </w:r>
      <w:r>
        <w:rPr>
          <w:rFonts w:ascii="Times New Roman" w:hAnsi="Times New Roman" w:cs="Times New Roman"/>
        </w:rPr>
        <w:t>,</w:t>
      </w:r>
      <w:r w:rsidRPr="0024583E">
        <w:rPr>
          <w:rFonts w:ascii="Times New Roman" w:hAnsi="Times New Roman" w:cs="Times New Roman"/>
        </w:rPr>
        <w:t xml:space="preserve"> trained personnel</w:t>
      </w:r>
      <w:r>
        <w:rPr>
          <w:rFonts w:ascii="Times New Roman" w:hAnsi="Times New Roman" w:cs="Times New Roman"/>
        </w:rPr>
        <w:t>.</w:t>
      </w:r>
      <w:r>
        <w:rPr>
          <w:rFonts w:ascii="Times New Roman" w:hAnsi="Times New Roman" w:cs="Times New Roman"/>
          <w:noProof/>
        </w:rPr>
        <w:t>[32]</w:t>
      </w:r>
      <w:r w:rsidRPr="0024583E">
        <w:rPr>
          <w:rFonts w:ascii="Times New Roman" w:hAnsi="Times New Roman" w:cs="Times New Roman"/>
        </w:rPr>
        <w:t xml:space="preserve"> </w:t>
      </w:r>
      <w:r>
        <w:rPr>
          <w:rFonts w:ascii="Times New Roman" w:hAnsi="Times New Roman" w:cs="Times New Roman"/>
        </w:rPr>
        <w:t xml:space="preserve">Although treatment of diabetes appeared to be high across all groups, previous evidence suggests that in </w:t>
      </w:r>
      <w:r w:rsidRPr="00421D7E">
        <w:rPr>
          <w:rFonts w:ascii="Times New Roman" w:hAnsi="Times New Roman" w:cs="Times New Roman"/>
        </w:rPr>
        <w:t>Saudi Arabia, Kuwait, and the United Arab Emirates d</w:t>
      </w:r>
      <w:r w:rsidRPr="008C7100">
        <w:rPr>
          <w:rFonts w:ascii="Times New Roman" w:hAnsi="Times New Roman" w:cs="Times New Roman"/>
        </w:rPr>
        <w:t>iabetes care is poor</w:t>
      </w:r>
      <w:r>
        <w:rPr>
          <w:rFonts w:ascii="Times New Roman" w:hAnsi="Times New Roman" w:cs="Times New Roman"/>
        </w:rPr>
        <w:t xml:space="preserve">, evidenced </w:t>
      </w:r>
      <w:r w:rsidRPr="00421D7E">
        <w:rPr>
          <w:rFonts w:ascii="Times New Roman" w:hAnsi="Times New Roman" w:cs="Times New Roman"/>
        </w:rPr>
        <w:t>by poor glycaemic control and common diabetes complications.</w:t>
      </w:r>
      <w:r>
        <w:rPr>
          <w:rFonts w:ascii="Times New Roman" w:hAnsi="Times New Roman" w:cs="Times New Roman"/>
          <w:noProof/>
        </w:rPr>
        <w:t>[33]</w:t>
      </w:r>
      <w:r>
        <w:rPr>
          <w:rFonts w:ascii="Times New Roman" w:hAnsi="Times New Roman" w:cs="Times New Roman"/>
        </w:rPr>
        <w:t xml:space="preserve"> </w:t>
      </w:r>
      <w:r w:rsidRPr="0024583E">
        <w:rPr>
          <w:rFonts w:ascii="Times New Roman" w:hAnsi="Times New Roman" w:cs="Times New Roman"/>
        </w:rPr>
        <w:t xml:space="preserve">Health systems in the GCC </w:t>
      </w:r>
      <w:r>
        <w:rPr>
          <w:rFonts w:ascii="Times New Roman" w:hAnsi="Times New Roman" w:cs="Times New Roman"/>
        </w:rPr>
        <w:t xml:space="preserve">therefore </w:t>
      </w:r>
      <w:r w:rsidRPr="0024583E">
        <w:rPr>
          <w:rFonts w:ascii="Times New Roman" w:hAnsi="Times New Roman" w:cs="Times New Roman"/>
        </w:rPr>
        <w:t xml:space="preserve">need </w:t>
      </w:r>
      <w:r w:rsidRPr="0024583E">
        <w:rPr>
          <w:rFonts w:ascii="Times New Roman" w:hAnsi="Times New Roman" w:cs="Times New Roman"/>
        </w:rPr>
        <w:lastRenderedPageBreak/>
        <w:t>to be optimally orientated to provide diabetes care within the community through the appropriate primary care facilities</w:t>
      </w:r>
      <w:r>
        <w:rPr>
          <w:rFonts w:ascii="Times New Roman" w:hAnsi="Times New Roman" w:cs="Times New Roman"/>
        </w:rPr>
        <w:t xml:space="preserve">; considering possible barriers to access for non-nationals, who constitute a high proportion of the total population across the region. Amongst this population, however, health insurance is still not mandatory across the GCC, which could potentially undermine national efforts to screen, and therefore reduce the population impact, of diabetes altogether. </w:t>
      </w:r>
      <w:r w:rsidRPr="0024583E">
        <w:rPr>
          <w:rFonts w:ascii="Times New Roman" w:hAnsi="Times New Roman" w:cs="Times New Roman"/>
        </w:rPr>
        <w:t xml:space="preserve">This includes promoting fair and equitable access to both screening and treatment, particularly for populations that may be at greater risk. </w:t>
      </w:r>
      <w:r>
        <w:rPr>
          <w:rFonts w:ascii="Times New Roman" w:hAnsi="Times New Roman" w:cs="Times New Roman"/>
        </w:rPr>
        <w:t xml:space="preserve">In GCC countries, the </w:t>
      </w:r>
      <w:r w:rsidRPr="004904E1">
        <w:rPr>
          <w:rFonts w:ascii="Times New Roman" w:hAnsi="Times New Roman" w:cs="Times New Roman"/>
        </w:rPr>
        <w:t>m</w:t>
      </w:r>
      <w:r w:rsidRPr="00E32FC8">
        <w:rPr>
          <w:rFonts w:ascii="Times New Roman" w:hAnsi="Times New Roman" w:cs="Times New Roman"/>
        </w:rPr>
        <w:t xml:space="preserve">ortality rate from NCDs is </w:t>
      </w:r>
      <w:r>
        <w:rPr>
          <w:rFonts w:ascii="Times New Roman" w:hAnsi="Times New Roman" w:cs="Times New Roman"/>
        </w:rPr>
        <w:t>still one of the highest in the world.</w:t>
      </w:r>
      <w:r>
        <w:rPr>
          <w:rFonts w:ascii="Times New Roman" w:hAnsi="Times New Roman" w:cs="Times New Roman"/>
          <w:noProof/>
        </w:rPr>
        <w:t>[34-35]</w:t>
      </w:r>
      <w:r w:rsidRPr="00E32FC8">
        <w:rPr>
          <w:rFonts w:ascii="Times New Roman" w:hAnsi="Times New Roman" w:cs="Times New Roman"/>
        </w:rPr>
        <w:t xml:space="preserve"> This is primarily due to the unhealthy lifestyles, including physical inactivity, high caloric diet, lack of focus on health prevention and disease management, weak primary health care infrastructure, and inadequate treatment options to manage NCDs and their complications</w:t>
      </w:r>
      <w:r>
        <w:rPr>
          <w:rFonts w:ascii="Times New Roman" w:hAnsi="Times New Roman" w:cs="Times New Roman"/>
        </w:rPr>
        <w:t>.</w:t>
      </w:r>
      <w:r>
        <w:rPr>
          <w:rFonts w:ascii="Times New Roman" w:hAnsi="Times New Roman" w:cs="Times New Roman"/>
          <w:noProof/>
        </w:rPr>
        <w:t>[17, 36-39]</w:t>
      </w:r>
      <w:r w:rsidRPr="00E32FC8">
        <w:rPr>
          <w:rFonts w:ascii="Times New Roman" w:hAnsi="Times New Roman" w:cs="Times New Roman"/>
        </w:rPr>
        <w:t xml:space="preserve"> </w:t>
      </w:r>
      <w:r>
        <w:rPr>
          <w:rFonts w:ascii="Times New Roman" w:hAnsi="Times New Roman" w:cs="Times New Roman"/>
        </w:rPr>
        <w:t>Despite both national and regional efforts to prevent N</w:t>
      </w:r>
      <w:r w:rsidRPr="006A6C03">
        <w:rPr>
          <w:rFonts w:ascii="Times New Roman" w:hAnsi="Times New Roman" w:cs="Times New Roman"/>
        </w:rPr>
        <w:t>CDs, few countries in the GCC region are committed to respond to tackle diabetes with the urgency required</w:t>
      </w:r>
      <w:r>
        <w:rPr>
          <w:rFonts w:ascii="Times New Roman" w:hAnsi="Times New Roman" w:cs="Times New Roman"/>
        </w:rPr>
        <w:t xml:space="preserve">. </w:t>
      </w:r>
      <w:r w:rsidRPr="004C3CDA">
        <w:rPr>
          <w:rFonts w:ascii="Times New Roman" w:hAnsi="Times New Roman" w:cs="Times New Roman"/>
        </w:rPr>
        <w:t xml:space="preserve"> National policies and planning should tackle the shared determinants of diabetes and their common comorbidities, including collaborating with the private sector and special interest groups in order to limit the availability of unhealthy food and </w:t>
      </w:r>
      <w:r w:rsidRPr="00DA0533">
        <w:rPr>
          <w:rFonts w:ascii="Times New Roman" w:hAnsi="Times New Roman" w:cs="Times New Roman"/>
        </w:rPr>
        <w:t>improv</w:t>
      </w:r>
      <w:r w:rsidRPr="00421D7E">
        <w:rPr>
          <w:rFonts w:ascii="Times New Roman" w:hAnsi="Times New Roman" w:cs="Times New Roman"/>
        </w:rPr>
        <w:t>e</w:t>
      </w:r>
      <w:r w:rsidRPr="006A6C03">
        <w:rPr>
          <w:rFonts w:ascii="Times New Roman" w:hAnsi="Times New Roman" w:cs="Times New Roman"/>
        </w:rPr>
        <w:t xml:space="preserve"> the environment.</w:t>
      </w:r>
      <w:r>
        <w:rPr>
          <w:rFonts w:ascii="Times New Roman" w:hAnsi="Times New Roman" w:cs="Times New Roman"/>
        </w:rPr>
        <w:t xml:space="preserve"> To tackle this, a multifaceted</w:t>
      </w:r>
      <w:r w:rsidRPr="0024583E">
        <w:rPr>
          <w:rFonts w:ascii="Times New Roman" w:hAnsi="Times New Roman" w:cs="Times New Roman"/>
        </w:rPr>
        <w:t xml:space="preserve"> a</w:t>
      </w:r>
      <w:r>
        <w:rPr>
          <w:rFonts w:ascii="Times New Roman" w:hAnsi="Times New Roman" w:cs="Times New Roman"/>
        </w:rPr>
        <w:t>nd</w:t>
      </w:r>
      <w:r w:rsidRPr="0024583E">
        <w:rPr>
          <w:rFonts w:ascii="Times New Roman" w:hAnsi="Times New Roman" w:cs="Times New Roman"/>
        </w:rPr>
        <w:t xml:space="preserve"> patient-centred approach</w:t>
      </w:r>
      <w:r>
        <w:rPr>
          <w:rFonts w:ascii="Times New Roman" w:hAnsi="Times New Roman" w:cs="Times New Roman"/>
        </w:rPr>
        <w:t xml:space="preserve"> is needed</w:t>
      </w:r>
      <w:r w:rsidRPr="0024583E">
        <w:rPr>
          <w:rFonts w:ascii="Times New Roman" w:hAnsi="Times New Roman" w:cs="Times New Roman"/>
        </w:rPr>
        <w:t xml:space="preserve"> at all levels of health care to control and prevent NCD</w:t>
      </w:r>
      <w:r>
        <w:rPr>
          <w:rFonts w:ascii="Times New Roman" w:hAnsi="Times New Roman" w:cs="Times New Roman"/>
        </w:rPr>
        <w:t>s.</w:t>
      </w:r>
      <w:r>
        <w:rPr>
          <w:rFonts w:ascii="Times New Roman" w:hAnsi="Times New Roman" w:cs="Times New Roman"/>
          <w:noProof/>
        </w:rPr>
        <w:t>[40]</w:t>
      </w:r>
    </w:p>
    <w:p w:rsidR="00692A01" w:rsidRPr="0024583E" w:rsidRDefault="00692A01" w:rsidP="00692A01">
      <w:pPr>
        <w:spacing w:after="120" w:line="360" w:lineRule="auto"/>
        <w:jc w:val="both"/>
        <w:rPr>
          <w:rFonts w:ascii="Times New Roman" w:hAnsi="Times New Roman" w:cs="Times New Roman"/>
        </w:rPr>
      </w:pPr>
    </w:p>
    <w:p w:rsidR="00692A01" w:rsidRPr="0024583E" w:rsidRDefault="00692A01" w:rsidP="00692A01">
      <w:pPr>
        <w:spacing w:after="120" w:line="360" w:lineRule="auto"/>
        <w:jc w:val="both"/>
        <w:rPr>
          <w:rFonts w:ascii="Times New Roman" w:hAnsi="Times New Roman" w:cs="Times New Roman"/>
          <w:b/>
          <w:bCs/>
        </w:rPr>
      </w:pPr>
      <w:r w:rsidRPr="0024583E">
        <w:rPr>
          <w:rFonts w:ascii="Times New Roman" w:hAnsi="Times New Roman" w:cs="Times New Roman"/>
          <w:b/>
          <w:bCs/>
        </w:rPr>
        <w:t>Conclusion</w:t>
      </w:r>
    </w:p>
    <w:p w:rsidR="00692A01" w:rsidRDefault="00692A01" w:rsidP="00692A01">
      <w:pPr>
        <w:spacing w:after="0" w:line="360" w:lineRule="auto"/>
        <w:jc w:val="both"/>
        <w:rPr>
          <w:rFonts w:ascii="Times New Roman" w:hAnsi="Times New Roman" w:cs="Times New Roman"/>
        </w:rPr>
      </w:pPr>
      <w:r w:rsidRPr="0024583E">
        <w:rPr>
          <w:rFonts w:ascii="Times New Roman" w:hAnsi="Times New Roman" w:cs="Times New Roman"/>
        </w:rPr>
        <w:t>The level of diabetes in the Gulf region is extremely high in comparison to many countries around the world. Health care system</w:t>
      </w:r>
      <w:r w:rsidRPr="001E53FF">
        <w:rPr>
          <w:rFonts w:ascii="Times New Roman" w:hAnsi="Times New Roman" w:cs="Times New Roman"/>
        </w:rPr>
        <w:t>s</w:t>
      </w:r>
      <w:r w:rsidRPr="0024583E">
        <w:rPr>
          <w:rFonts w:ascii="Times New Roman" w:hAnsi="Times New Roman" w:cs="Times New Roman"/>
        </w:rPr>
        <w:t xml:space="preserve"> in GCC member states </w:t>
      </w:r>
      <w:r w:rsidRPr="001E53FF">
        <w:rPr>
          <w:rFonts w:ascii="Times New Roman" w:hAnsi="Times New Roman" w:cs="Times New Roman"/>
        </w:rPr>
        <w:t>are</w:t>
      </w:r>
      <w:r w:rsidRPr="0024583E">
        <w:rPr>
          <w:rFonts w:ascii="Times New Roman" w:hAnsi="Times New Roman" w:cs="Times New Roman"/>
        </w:rPr>
        <w:t xml:space="preserve"> facing enormous challenges in meeting the increasing health care demands</w:t>
      </w:r>
      <w:r>
        <w:rPr>
          <w:rFonts w:ascii="Times New Roman" w:hAnsi="Times New Roman" w:cs="Times New Roman"/>
        </w:rPr>
        <w:t xml:space="preserve"> of diabetes and its comorbidities, especially due to population growth and ageing</w:t>
      </w:r>
      <w:r w:rsidRPr="0024583E">
        <w:rPr>
          <w:rFonts w:ascii="Times New Roman" w:hAnsi="Times New Roman" w:cs="Times New Roman"/>
        </w:rPr>
        <w:t xml:space="preserve">. Developing and implementing strategic plans to improve the </w:t>
      </w:r>
      <w:r>
        <w:rPr>
          <w:rFonts w:ascii="Times New Roman" w:hAnsi="Times New Roman" w:cs="Times New Roman"/>
        </w:rPr>
        <w:t xml:space="preserve">care </w:t>
      </w:r>
      <w:r w:rsidRPr="0024583E">
        <w:rPr>
          <w:rFonts w:ascii="Times New Roman" w:hAnsi="Times New Roman" w:cs="Times New Roman"/>
        </w:rPr>
        <w:t xml:space="preserve">system in GCC states </w:t>
      </w:r>
      <w:r>
        <w:rPr>
          <w:rFonts w:ascii="Times New Roman" w:hAnsi="Times New Roman" w:cs="Times New Roman"/>
        </w:rPr>
        <w:t xml:space="preserve">to ensure a comprehensive approach to diabetes and associated non-communicable diseases </w:t>
      </w:r>
      <w:r w:rsidRPr="0024583E">
        <w:rPr>
          <w:rFonts w:ascii="Times New Roman" w:hAnsi="Times New Roman" w:cs="Times New Roman"/>
        </w:rPr>
        <w:t xml:space="preserve">is recommended on an urgent basis. </w:t>
      </w:r>
      <w:r w:rsidRPr="001E53FF">
        <w:rPr>
          <w:rFonts w:ascii="Times New Roman" w:hAnsi="Times New Roman" w:cs="Times New Roman"/>
        </w:rPr>
        <w:t>As such,</w:t>
      </w:r>
      <w:r w:rsidRPr="0024583E">
        <w:rPr>
          <w:rFonts w:ascii="Times New Roman" w:hAnsi="Times New Roman" w:cs="Times New Roman"/>
        </w:rPr>
        <w:t xml:space="preserve"> plans should focus on shifting the service modality from hospital to primary care, from reactive to proactive services and from radar care to continuity of care</w:t>
      </w:r>
      <w:r>
        <w:rPr>
          <w:rFonts w:ascii="Times New Roman" w:hAnsi="Times New Roman" w:cs="Times New Roman"/>
        </w:rPr>
        <w:t>.</w:t>
      </w:r>
      <w:r>
        <w:rPr>
          <w:rFonts w:ascii="Times New Roman" w:hAnsi="Times New Roman" w:cs="Times New Roman"/>
          <w:noProof/>
        </w:rPr>
        <w:t>[41]</w:t>
      </w:r>
    </w:p>
    <w:p w:rsidR="00692A01" w:rsidRPr="0024583E" w:rsidRDefault="00692A01" w:rsidP="00692A01">
      <w:pPr>
        <w:jc w:val="both"/>
        <w:rPr>
          <w:rFonts w:ascii="Times New Roman" w:hAnsi="Times New Roman" w:cs="Times New Roman"/>
          <w:b/>
          <w:bCs/>
          <w:sz w:val="24"/>
          <w:szCs w:val="24"/>
        </w:rPr>
      </w:pPr>
    </w:p>
    <w:p w:rsidR="00692A01" w:rsidRPr="0077701C" w:rsidRDefault="00692A01" w:rsidP="00692A01">
      <w:pPr>
        <w:spacing w:line="360" w:lineRule="auto"/>
        <w:jc w:val="both"/>
        <w:rPr>
          <w:rFonts w:ascii="Times New Roman" w:hAnsi="Times New Roman" w:cs="Times New Roman"/>
        </w:rPr>
      </w:pPr>
      <w:r w:rsidRPr="0077701C">
        <w:rPr>
          <w:rFonts w:ascii="Times New Roman" w:hAnsi="Times New Roman" w:cs="Times New Roman"/>
          <w:b/>
        </w:rPr>
        <w:t>Acknowledgments</w:t>
      </w:r>
      <w:r w:rsidRPr="0077701C">
        <w:rPr>
          <w:rFonts w:ascii="Times New Roman" w:hAnsi="Times New Roman" w:cs="Times New Roman"/>
        </w:rPr>
        <w:t xml:space="preserve"> </w:t>
      </w:r>
    </w:p>
    <w:p w:rsidR="00692A01" w:rsidRPr="0077701C" w:rsidRDefault="00692A01" w:rsidP="00692A01">
      <w:pPr>
        <w:spacing w:line="360" w:lineRule="auto"/>
        <w:jc w:val="both"/>
        <w:rPr>
          <w:rFonts w:ascii="Times New Roman" w:hAnsi="Times New Roman" w:cs="Times New Roman"/>
        </w:rPr>
      </w:pPr>
      <w:r>
        <w:rPr>
          <w:rFonts w:ascii="Times New Roman" w:hAnsi="Times New Roman" w:cs="Times New Roman"/>
        </w:rPr>
        <w:t>The authors would like to acknowledge the participants, field staff, the data management team and WHO HQs team for their technical support of the survey</w:t>
      </w:r>
    </w:p>
    <w:p w:rsidR="00692A01" w:rsidRPr="0077701C" w:rsidRDefault="00692A01" w:rsidP="00692A01">
      <w:pPr>
        <w:spacing w:line="360" w:lineRule="auto"/>
        <w:jc w:val="both"/>
        <w:rPr>
          <w:rFonts w:ascii="Times New Roman" w:hAnsi="Times New Roman" w:cs="Times New Roman"/>
        </w:rPr>
      </w:pPr>
    </w:p>
    <w:p w:rsidR="00692A01" w:rsidRPr="0077701C" w:rsidRDefault="00692A01" w:rsidP="00692A01">
      <w:pPr>
        <w:spacing w:line="360" w:lineRule="auto"/>
        <w:jc w:val="both"/>
        <w:rPr>
          <w:rFonts w:ascii="Times New Roman" w:hAnsi="Times New Roman" w:cs="Times New Roman"/>
        </w:rPr>
      </w:pPr>
      <w:r w:rsidRPr="0077701C">
        <w:rPr>
          <w:rFonts w:ascii="Times New Roman" w:hAnsi="Times New Roman" w:cs="Times New Roman"/>
          <w:b/>
        </w:rPr>
        <w:t>Competing Interests</w:t>
      </w:r>
      <w:r w:rsidRPr="0077701C">
        <w:rPr>
          <w:rFonts w:ascii="Times New Roman" w:hAnsi="Times New Roman" w:cs="Times New Roman"/>
        </w:rPr>
        <w:t xml:space="preserve"> </w:t>
      </w:r>
    </w:p>
    <w:p w:rsidR="00692A01" w:rsidRPr="0077701C" w:rsidRDefault="00692A01" w:rsidP="00692A01">
      <w:pPr>
        <w:spacing w:line="360" w:lineRule="auto"/>
        <w:jc w:val="both"/>
        <w:rPr>
          <w:rFonts w:ascii="Times New Roman" w:hAnsi="Times New Roman" w:cs="Times New Roman"/>
        </w:rPr>
      </w:pPr>
      <w:r w:rsidRPr="0077701C">
        <w:rPr>
          <w:rFonts w:ascii="Times New Roman" w:hAnsi="Times New Roman" w:cs="Times New Roman"/>
        </w:rPr>
        <w:t xml:space="preserve">None declared </w:t>
      </w:r>
    </w:p>
    <w:p w:rsidR="00692A01" w:rsidRPr="0077701C" w:rsidRDefault="00692A01" w:rsidP="00692A01">
      <w:pPr>
        <w:spacing w:line="360" w:lineRule="auto"/>
        <w:jc w:val="both"/>
        <w:rPr>
          <w:rFonts w:ascii="Times New Roman" w:hAnsi="Times New Roman" w:cs="Times New Roman"/>
        </w:rPr>
      </w:pPr>
      <w:r w:rsidRPr="0077701C">
        <w:rPr>
          <w:rFonts w:ascii="Times New Roman" w:hAnsi="Times New Roman" w:cs="Times New Roman"/>
          <w:b/>
        </w:rPr>
        <w:lastRenderedPageBreak/>
        <w:t>Funding</w:t>
      </w:r>
      <w:r w:rsidRPr="0077701C">
        <w:rPr>
          <w:rFonts w:ascii="Times New Roman" w:hAnsi="Times New Roman" w:cs="Times New Roman"/>
        </w:rPr>
        <w:t xml:space="preserve"> </w:t>
      </w:r>
    </w:p>
    <w:p w:rsidR="00692A01" w:rsidRDefault="00692A01" w:rsidP="00692A01">
      <w:pPr>
        <w:spacing w:line="360" w:lineRule="auto"/>
        <w:jc w:val="both"/>
        <w:rPr>
          <w:rFonts w:ascii="Times New Roman" w:hAnsi="Times New Roman" w:cs="Times New Roman"/>
        </w:rPr>
      </w:pPr>
      <w:r w:rsidRPr="0077701C">
        <w:rPr>
          <w:rFonts w:ascii="Times New Roman" w:hAnsi="Times New Roman" w:cs="Times New Roman"/>
        </w:rPr>
        <w:t>This paper is financially supported by the World Health Organisation Regional Office of Eastern Mediterranean, Cairo, Egypt</w:t>
      </w:r>
      <w:r>
        <w:rPr>
          <w:rFonts w:ascii="Times New Roman" w:hAnsi="Times New Roman" w:cs="Times New Roman"/>
        </w:rPr>
        <w:t>.</w:t>
      </w:r>
    </w:p>
    <w:p w:rsidR="00692A01" w:rsidRDefault="00692A01" w:rsidP="00692A01">
      <w:pPr>
        <w:rPr>
          <w:rFonts w:ascii="Times New Roman" w:hAnsi="Times New Roman" w:cs="Times New Roman"/>
        </w:rPr>
      </w:pPr>
    </w:p>
    <w:p w:rsidR="00692A01" w:rsidRPr="00156B30" w:rsidRDefault="00692A01" w:rsidP="00692A01">
      <w:pPr>
        <w:rPr>
          <w:rFonts w:ascii="Times New Roman" w:hAnsi="Times New Roman" w:cs="Times New Roman"/>
          <w:b/>
        </w:rPr>
      </w:pPr>
      <w:r w:rsidRPr="00156B30">
        <w:rPr>
          <w:rFonts w:ascii="Times New Roman" w:hAnsi="Times New Roman" w:cs="Times New Roman"/>
          <w:b/>
        </w:rPr>
        <w:t>Exclusive License</w:t>
      </w:r>
    </w:p>
    <w:p w:rsidR="00692A01" w:rsidRDefault="00692A01" w:rsidP="004577EE">
      <w:pPr>
        <w:spacing w:line="360" w:lineRule="auto"/>
        <w:rPr>
          <w:rFonts w:ascii="Times New Roman" w:hAnsi="Times New Roman" w:cs="Times New Roman"/>
        </w:rPr>
      </w:pPr>
      <w:r w:rsidRPr="00156B30">
        <w:rPr>
          <w:rFonts w:ascii="Times New Roman" w:hAnsi="Times New Roman" w:cs="Times New Roman"/>
        </w:rPr>
        <w:t>The Corresponding Author has the right to grant on behalf of all authors and does grant on behalf of all authors, an exclusive licence (or non-exclusive for government employees) on a worldwide basis to the BMJ Publishing Group Ltd and its Licensees to permit this article (if accepted) to be published in JECH editions and any other BMJPGL products to exploit all subsidiary rights, as set out in our licence</w:t>
      </w:r>
      <w:r>
        <w:rPr>
          <w:rFonts w:ascii="Times New Roman" w:hAnsi="Times New Roman" w:cs="Times New Roman"/>
        </w:rPr>
        <w:t xml:space="preserve"> </w:t>
      </w:r>
      <w:hyperlink r:id="rId6" w:history="1">
        <w:r w:rsidRPr="001A6284">
          <w:rPr>
            <w:rStyle w:val="Hyperlink"/>
            <w:rFonts w:ascii="Times New Roman" w:hAnsi="Times New Roman" w:cs="Times New Roman"/>
          </w:rPr>
          <w:t>http://www.bmj.com/</w:t>
        </w:r>
      </w:hyperlink>
    </w:p>
    <w:p w:rsidR="00692A01" w:rsidRDefault="00692A01" w:rsidP="00692A01">
      <w:pPr>
        <w:rPr>
          <w:rFonts w:ascii="Times New Roman" w:hAnsi="Times New Roman" w:cs="Times New Roman"/>
        </w:rPr>
      </w:pPr>
    </w:p>
    <w:p w:rsidR="00692A01" w:rsidRDefault="00692A01" w:rsidP="00692A01">
      <w:pPr>
        <w:spacing w:line="360" w:lineRule="auto"/>
        <w:jc w:val="both"/>
        <w:rPr>
          <w:rFonts w:asciiTheme="majorBidi" w:hAnsiTheme="majorBidi" w:cstheme="majorBidi"/>
          <w:b/>
          <w:bCs/>
          <w:sz w:val="24"/>
          <w:szCs w:val="24"/>
        </w:rPr>
      </w:pPr>
      <w:r w:rsidRPr="00C05E2B">
        <w:rPr>
          <w:rFonts w:asciiTheme="majorBidi" w:hAnsiTheme="majorBidi" w:cstheme="majorBidi"/>
          <w:b/>
          <w:bCs/>
          <w:sz w:val="24"/>
          <w:szCs w:val="24"/>
        </w:rPr>
        <w:t xml:space="preserve">References </w:t>
      </w:r>
      <w:bookmarkStart w:id="0" w:name="_GoBack"/>
      <w:bookmarkEnd w:id="0"/>
    </w:p>
    <w:p w:rsidR="00692A01" w:rsidRPr="00F566F4" w:rsidRDefault="00692A01" w:rsidP="00692A01">
      <w:pPr>
        <w:pStyle w:val="EndNoteBibliography"/>
        <w:spacing w:after="0" w:line="360" w:lineRule="auto"/>
        <w:ind w:left="284" w:hanging="284"/>
        <w:rPr>
          <w:rFonts w:ascii="Times New Roman" w:hAnsi="Times New Roman" w:cs="Times New Roman"/>
        </w:rPr>
      </w:pPr>
      <w:r w:rsidRPr="00F566F4">
        <w:rPr>
          <w:rFonts w:ascii="Times New Roman" w:hAnsi="Times New Roman" w:cs="Times New Roman"/>
        </w:rPr>
        <w:t>1. International Diabetes Federation. IDF Diabetes Atlas. 7th edn. Brussels, Belgium 2015.</w:t>
      </w:r>
    </w:p>
    <w:p w:rsidR="00692A01" w:rsidRPr="00F566F4" w:rsidRDefault="00692A01" w:rsidP="00692A01">
      <w:pPr>
        <w:pStyle w:val="EndNoteBibliography"/>
        <w:spacing w:after="0" w:line="360" w:lineRule="auto"/>
        <w:ind w:left="284" w:hanging="284"/>
        <w:rPr>
          <w:rFonts w:ascii="Times New Roman" w:hAnsi="Times New Roman" w:cs="Times New Roman"/>
        </w:rPr>
      </w:pPr>
      <w:r w:rsidRPr="00F566F4">
        <w:rPr>
          <w:rFonts w:ascii="Times New Roman" w:hAnsi="Times New Roman" w:cs="Times New Roman"/>
        </w:rPr>
        <w:t>2. Zabetian A, Keli HM, Echouffo-Tcheugui JB, et al. Diabetes in th</w:t>
      </w:r>
      <w:r>
        <w:rPr>
          <w:rFonts w:ascii="Times New Roman" w:hAnsi="Times New Roman" w:cs="Times New Roman"/>
        </w:rPr>
        <w:t xml:space="preserve">e Middle East and North Africa. </w:t>
      </w:r>
      <w:r w:rsidRPr="00F566F4">
        <w:rPr>
          <w:rFonts w:ascii="Times New Roman" w:hAnsi="Times New Roman" w:cs="Times New Roman"/>
          <w:i/>
        </w:rPr>
        <w:t>Diabetes Research and Clinical Practice</w:t>
      </w:r>
      <w:r w:rsidRPr="00F566F4">
        <w:rPr>
          <w:rFonts w:ascii="Times New Roman" w:hAnsi="Times New Roman" w:cs="Times New Roman"/>
        </w:rPr>
        <w:t xml:space="preserve">;101(2):106-22. </w:t>
      </w:r>
    </w:p>
    <w:p w:rsidR="00692A01" w:rsidRPr="00F566F4" w:rsidRDefault="00692A01" w:rsidP="00692A01">
      <w:pPr>
        <w:pStyle w:val="EndNoteBibliography"/>
        <w:spacing w:after="0" w:line="360" w:lineRule="auto"/>
        <w:ind w:left="284" w:hanging="284"/>
        <w:rPr>
          <w:rFonts w:ascii="Times New Roman" w:hAnsi="Times New Roman" w:cs="Times New Roman"/>
        </w:rPr>
      </w:pPr>
      <w:r w:rsidRPr="00F566F4">
        <w:rPr>
          <w:rFonts w:ascii="Times New Roman" w:hAnsi="Times New Roman" w:cs="Times New Roman"/>
        </w:rPr>
        <w:t xml:space="preserve">3. Hu F. Sedentary lifestyle and risk of obesity and type 2 diabetes. </w:t>
      </w:r>
      <w:r w:rsidRPr="00F566F4">
        <w:rPr>
          <w:rFonts w:ascii="Times New Roman" w:hAnsi="Times New Roman" w:cs="Times New Roman"/>
          <w:i/>
        </w:rPr>
        <w:t>Lipids</w:t>
      </w:r>
      <w:r w:rsidRPr="00F566F4">
        <w:rPr>
          <w:rFonts w:ascii="Times New Roman" w:hAnsi="Times New Roman" w:cs="Times New Roman"/>
        </w:rPr>
        <w:t xml:space="preserve"> 2003;38(2):103-08. </w:t>
      </w:r>
    </w:p>
    <w:p w:rsidR="00692A01" w:rsidRPr="00F566F4" w:rsidRDefault="00692A01" w:rsidP="00692A01">
      <w:pPr>
        <w:pStyle w:val="EndNoteBibliography"/>
        <w:spacing w:after="0" w:line="360" w:lineRule="auto"/>
        <w:ind w:left="284" w:hanging="284"/>
        <w:rPr>
          <w:rFonts w:ascii="Times New Roman" w:hAnsi="Times New Roman" w:cs="Times New Roman"/>
        </w:rPr>
      </w:pPr>
      <w:r w:rsidRPr="00F566F4">
        <w:rPr>
          <w:rFonts w:ascii="Times New Roman" w:hAnsi="Times New Roman" w:cs="Times New Roman"/>
        </w:rPr>
        <w:t xml:space="preserve">4. </w:t>
      </w:r>
      <w:r>
        <w:rPr>
          <w:rFonts w:ascii="Times New Roman" w:hAnsi="Times New Roman" w:cs="Times New Roman"/>
        </w:rPr>
        <w:t>Hirschhorn JN</w:t>
      </w:r>
      <w:r w:rsidRPr="00F566F4">
        <w:rPr>
          <w:rFonts w:ascii="Times New Roman" w:hAnsi="Times New Roman" w:cs="Times New Roman"/>
        </w:rPr>
        <w:t xml:space="preserve">. Genetic epidemiology of type 1 diabetes. </w:t>
      </w:r>
      <w:r w:rsidRPr="00F566F4">
        <w:rPr>
          <w:rFonts w:ascii="Times New Roman" w:hAnsi="Times New Roman" w:cs="Times New Roman"/>
          <w:i/>
        </w:rPr>
        <w:t>Pediatr Diabetes</w:t>
      </w:r>
      <w:r w:rsidRPr="00F566F4">
        <w:rPr>
          <w:rFonts w:ascii="Times New Roman" w:hAnsi="Times New Roman" w:cs="Times New Roman"/>
        </w:rPr>
        <w:t xml:space="preserve"> 2003 Jun;4(2):87-100.</w:t>
      </w:r>
    </w:p>
    <w:p w:rsidR="00692A01" w:rsidRPr="00F566F4" w:rsidRDefault="00692A01" w:rsidP="00692A01">
      <w:pPr>
        <w:pStyle w:val="EndNoteBibliography"/>
        <w:spacing w:after="0" w:line="360" w:lineRule="auto"/>
        <w:ind w:left="284" w:hanging="284"/>
        <w:rPr>
          <w:rFonts w:ascii="Times New Roman" w:hAnsi="Times New Roman" w:cs="Times New Roman"/>
        </w:rPr>
      </w:pPr>
      <w:r w:rsidRPr="00F566F4">
        <w:rPr>
          <w:rFonts w:ascii="Times New Roman" w:hAnsi="Times New Roman" w:cs="Times New Roman"/>
        </w:rPr>
        <w:t xml:space="preserve">5. Alhyas L, McKay A, Balasanthiran A, et al. Prevalences of overweight, obesity, hyperglycaemia, hypertension and dyslipidaemia in the Gulf: systematic review. </w:t>
      </w:r>
      <w:r w:rsidRPr="00F566F4">
        <w:rPr>
          <w:rFonts w:ascii="Times New Roman" w:hAnsi="Times New Roman" w:cs="Times New Roman"/>
          <w:i/>
        </w:rPr>
        <w:t>JRSM Short Reports</w:t>
      </w:r>
      <w:r w:rsidRPr="00F566F4">
        <w:rPr>
          <w:rFonts w:ascii="Times New Roman" w:hAnsi="Times New Roman" w:cs="Times New Roman"/>
        </w:rPr>
        <w:t xml:space="preserve"> 2011;2(7):55. </w:t>
      </w:r>
    </w:p>
    <w:p w:rsidR="00692A01" w:rsidRPr="00F566F4" w:rsidRDefault="00692A01" w:rsidP="00692A01">
      <w:pPr>
        <w:pStyle w:val="EndNoteBibliography"/>
        <w:spacing w:after="0" w:line="360" w:lineRule="auto"/>
        <w:ind w:left="284" w:hanging="284"/>
        <w:rPr>
          <w:rFonts w:ascii="Times New Roman" w:hAnsi="Times New Roman" w:cs="Times New Roman"/>
        </w:rPr>
      </w:pPr>
      <w:r w:rsidRPr="00F566F4">
        <w:rPr>
          <w:rFonts w:ascii="Times New Roman" w:hAnsi="Times New Roman" w:cs="Times New Roman"/>
        </w:rPr>
        <w:t xml:space="preserve">6. Knip M, Veijola R, Virtanen SM, et al. Environmental Triggers and Determinants of Type 1 Diabetes. </w:t>
      </w:r>
      <w:r w:rsidRPr="00F566F4">
        <w:rPr>
          <w:rFonts w:ascii="Times New Roman" w:hAnsi="Times New Roman" w:cs="Times New Roman"/>
          <w:i/>
        </w:rPr>
        <w:t>Diabetes</w:t>
      </w:r>
      <w:r w:rsidRPr="00F566F4">
        <w:rPr>
          <w:rFonts w:ascii="Times New Roman" w:hAnsi="Times New Roman" w:cs="Times New Roman"/>
        </w:rPr>
        <w:t xml:space="preserve"> 2005; 54(suppl 2):S125-S36. </w:t>
      </w:r>
    </w:p>
    <w:p w:rsidR="00692A01" w:rsidRPr="00F566F4" w:rsidRDefault="00692A01" w:rsidP="00692A01">
      <w:pPr>
        <w:pStyle w:val="EndNoteBibliography"/>
        <w:spacing w:after="0" w:line="360" w:lineRule="auto"/>
        <w:ind w:left="284" w:hanging="284"/>
        <w:rPr>
          <w:rFonts w:ascii="Times New Roman" w:hAnsi="Times New Roman" w:cs="Times New Roman"/>
        </w:rPr>
      </w:pPr>
      <w:r w:rsidRPr="00F566F4">
        <w:rPr>
          <w:rFonts w:ascii="Times New Roman" w:hAnsi="Times New Roman" w:cs="Times New Roman"/>
        </w:rPr>
        <w:t xml:space="preserve">7. Jeon CY, Lokken RP, Hu FB, et al. Physical Activity of Moderate Intensity and Risk of Type 2 Diabetes: A systematic review. </w:t>
      </w:r>
      <w:r w:rsidRPr="00F566F4">
        <w:rPr>
          <w:rFonts w:ascii="Times New Roman" w:hAnsi="Times New Roman" w:cs="Times New Roman"/>
          <w:i/>
        </w:rPr>
        <w:t>Diabetes Care</w:t>
      </w:r>
      <w:r w:rsidRPr="00F566F4">
        <w:rPr>
          <w:rFonts w:ascii="Times New Roman" w:hAnsi="Times New Roman" w:cs="Times New Roman"/>
        </w:rPr>
        <w:t xml:space="preserve"> 2007;30(3):744-52. </w:t>
      </w:r>
    </w:p>
    <w:p w:rsidR="00692A01" w:rsidRPr="00F566F4" w:rsidRDefault="00692A01" w:rsidP="00692A01">
      <w:pPr>
        <w:pStyle w:val="EndNoteBibliography"/>
        <w:spacing w:after="0" w:line="360" w:lineRule="auto"/>
        <w:ind w:left="284" w:hanging="284"/>
        <w:rPr>
          <w:rFonts w:ascii="Times New Roman" w:hAnsi="Times New Roman" w:cs="Times New Roman"/>
        </w:rPr>
      </w:pPr>
      <w:r w:rsidRPr="00F566F4">
        <w:rPr>
          <w:rFonts w:ascii="Times New Roman" w:hAnsi="Times New Roman" w:cs="Times New Roman"/>
        </w:rPr>
        <w:t xml:space="preserve">8. Willi C, Bodenmann P, Ghali WA, et al. Active smoking and the risk of type 2 diabetes: A systematic review and meta-analysis. </w:t>
      </w:r>
      <w:r w:rsidRPr="00F566F4">
        <w:rPr>
          <w:rFonts w:ascii="Times New Roman" w:hAnsi="Times New Roman" w:cs="Times New Roman"/>
          <w:i/>
        </w:rPr>
        <w:t>JAMA</w:t>
      </w:r>
      <w:r w:rsidRPr="00F566F4">
        <w:rPr>
          <w:rFonts w:ascii="Times New Roman" w:hAnsi="Times New Roman" w:cs="Times New Roman"/>
        </w:rPr>
        <w:t xml:space="preserve"> 2007;298(22):2654-64. </w:t>
      </w:r>
    </w:p>
    <w:p w:rsidR="00692A01" w:rsidRPr="00F566F4" w:rsidRDefault="00692A01" w:rsidP="00692A01">
      <w:pPr>
        <w:pStyle w:val="EndNoteBibliography"/>
        <w:spacing w:after="0" w:line="360" w:lineRule="auto"/>
        <w:ind w:left="284" w:hanging="284"/>
        <w:rPr>
          <w:rFonts w:ascii="Times New Roman" w:hAnsi="Times New Roman" w:cs="Times New Roman"/>
        </w:rPr>
      </w:pPr>
      <w:r w:rsidRPr="00F566F4">
        <w:rPr>
          <w:rFonts w:ascii="Times New Roman" w:hAnsi="Times New Roman" w:cs="Times New Roman"/>
        </w:rPr>
        <w:t xml:space="preserve">9. Montonen J, Knekt P, Järvinen R, et al. Whole-grain and fiber intake and the incidence of type 2 diabetes. </w:t>
      </w:r>
      <w:r w:rsidRPr="00F566F4">
        <w:rPr>
          <w:rFonts w:ascii="Times New Roman" w:hAnsi="Times New Roman" w:cs="Times New Roman"/>
          <w:i/>
        </w:rPr>
        <w:t>The American Journal of Clinical Nutrition</w:t>
      </w:r>
      <w:r w:rsidRPr="00F566F4">
        <w:rPr>
          <w:rFonts w:ascii="Times New Roman" w:hAnsi="Times New Roman" w:cs="Times New Roman"/>
        </w:rPr>
        <w:t xml:space="preserve"> 2003;77(3):622-29.</w:t>
      </w:r>
    </w:p>
    <w:p w:rsidR="00692A01" w:rsidRPr="00F566F4" w:rsidRDefault="00692A01" w:rsidP="00692A01">
      <w:pPr>
        <w:pStyle w:val="EndNoteBibliography"/>
        <w:spacing w:after="0" w:line="360" w:lineRule="auto"/>
        <w:ind w:left="284" w:hanging="284"/>
        <w:rPr>
          <w:rFonts w:ascii="Times New Roman" w:hAnsi="Times New Roman" w:cs="Times New Roman"/>
        </w:rPr>
      </w:pPr>
      <w:r w:rsidRPr="00F566F4">
        <w:rPr>
          <w:rFonts w:ascii="Times New Roman" w:hAnsi="Times New Roman" w:cs="Times New Roman"/>
        </w:rPr>
        <w:t>10. A</w:t>
      </w:r>
      <w:r>
        <w:rPr>
          <w:rFonts w:ascii="Times New Roman" w:hAnsi="Times New Roman" w:cs="Times New Roman"/>
        </w:rPr>
        <w:t>merican Diabetes Association.</w:t>
      </w:r>
      <w:r w:rsidRPr="00F566F4">
        <w:rPr>
          <w:rFonts w:ascii="Times New Roman" w:hAnsi="Times New Roman" w:cs="Times New Roman"/>
        </w:rPr>
        <w:t xml:space="preserve"> Standards of medical care in diabetes.  </w:t>
      </w:r>
      <w:r w:rsidRPr="00F566F4">
        <w:rPr>
          <w:rFonts w:ascii="Times New Roman" w:hAnsi="Times New Roman" w:cs="Times New Roman"/>
          <w:i/>
        </w:rPr>
        <w:t xml:space="preserve">Diabetes Care 2013; </w:t>
      </w:r>
      <w:r w:rsidRPr="00F566F4">
        <w:rPr>
          <w:rFonts w:ascii="Times New Roman" w:hAnsi="Times New Roman" w:cs="Times New Roman"/>
        </w:rPr>
        <w:t>2013;36(suppl 1):S11-66.</w:t>
      </w:r>
    </w:p>
    <w:p w:rsidR="00692A01" w:rsidRPr="00F566F4" w:rsidRDefault="00692A01" w:rsidP="00692A01">
      <w:pPr>
        <w:pStyle w:val="EndNoteBibliography"/>
        <w:spacing w:after="0" w:line="360" w:lineRule="auto"/>
        <w:ind w:left="284" w:hanging="284"/>
        <w:rPr>
          <w:rFonts w:ascii="Times New Roman" w:hAnsi="Times New Roman" w:cs="Times New Roman"/>
        </w:rPr>
      </w:pPr>
      <w:r w:rsidRPr="00F566F4">
        <w:rPr>
          <w:rFonts w:ascii="Times New Roman" w:hAnsi="Times New Roman" w:cs="Times New Roman"/>
        </w:rPr>
        <w:t>11. A</w:t>
      </w:r>
      <w:r>
        <w:rPr>
          <w:rFonts w:ascii="Times New Roman" w:hAnsi="Times New Roman" w:cs="Times New Roman"/>
        </w:rPr>
        <w:t>rdent Advisory Accounting</w:t>
      </w:r>
      <w:r w:rsidRPr="00F566F4">
        <w:rPr>
          <w:rFonts w:ascii="Times New Roman" w:hAnsi="Times New Roman" w:cs="Times New Roman"/>
        </w:rPr>
        <w:t xml:space="preserve">. GCC Healthcare Sector: A Focus Area for Governments 2015 Accessed online: </w:t>
      </w:r>
      <w:r w:rsidRPr="002E69F1">
        <w:rPr>
          <w:rStyle w:val="Hyperlink"/>
          <w:rFonts w:ascii="Times New Roman" w:hAnsi="Times New Roman" w:cs="Times New Roman"/>
        </w:rPr>
        <w:t>http://www.ardentadvisory.com/files/GCC-Healthcare-Sector-Report.pdf</w:t>
      </w:r>
      <w:r w:rsidRPr="00F566F4">
        <w:rPr>
          <w:rFonts w:ascii="Times New Roman" w:hAnsi="Times New Roman" w:cs="Times New Roman"/>
        </w:rPr>
        <w:t xml:space="preserve"> on 20 December 2017 </w:t>
      </w:r>
    </w:p>
    <w:p w:rsidR="00692A01" w:rsidRPr="00C62233" w:rsidRDefault="00692A01" w:rsidP="00692A01">
      <w:pPr>
        <w:pStyle w:val="EndNoteBibliography"/>
        <w:spacing w:after="0" w:line="360" w:lineRule="auto"/>
        <w:ind w:left="284" w:hanging="284"/>
        <w:rPr>
          <w:rFonts w:ascii="Times New Roman" w:hAnsi="Times New Roman" w:cs="Times New Roman"/>
        </w:rPr>
      </w:pPr>
      <w:r w:rsidRPr="00C62233">
        <w:rPr>
          <w:rFonts w:ascii="Times New Roman" w:hAnsi="Times New Roman" w:cs="Times New Roman"/>
        </w:rPr>
        <w:lastRenderedPageBreak/>
        <w:t xml:space="preserve">12. GCC Statistical Center. GCC states witness progress in health sector indicators: GCC-stat. 2016. </w:t>
      </w:r>
      <w:r w:rsidRPr="00C62233">
        <w:rPr>
          <w:rFonts w:ascii="Times New Roman" w:eastAsiaTheme="minorHAnsi" w:hAnsi="Times New Roman" w:cs="Times New Roman"/>
          <w:lang w:eastAsia="en-US"/>
        </w:rPr>
        <w:t>Accessed online at: http://gccstat.org/en/elibrary/press-releases/item/gcc-states-witness-progress-in-health-sector-indicators on 20 December 2017</w:t>
      </w:r>
    </w:p>
    <w:p w:rsidR="00692A01" w:rsidRDefault="00692A01" w:rsidP="00692A01">
      <w:pPr>
        <w:pStyle w:val="EndNoteBibliography"/>
        <w:spacing w:after="0" w:line="360" w:lineRule="auto"/>
        <w:ind w:left="284" w:hanging="284"/>
        <w:rPr>
          <w:rFonts w:ascii="Times New Roman" w:hAnsi="Times New Roman" w:cs="Times New Roman"/>
        </w:rPr>
      </w:pPr>
      <w:r w:rsidRPr="00F566F4">
        <w:rPr>
          <w:rFonts w:ascii="Times New Roman" w:hAnsi="Times New Roman" w:cs="Times New Roman"/>
        </w:rPr>
        <w:t xml:space="preserve">13. Popkin BM, Gordon-Larsen P. The nutrition transition: worldwide obesity dynamics and their determinants. </w:t>
      </w:r>
      <w:r w:rsidRPr="00F566F4">
        <w:rPr>
          <w:rFonts w:ascii="Times New Roman" w:hAnsi="Times New Roman" w:cs="Times New Roman"/>
          <w:i/>
        </w:rPr>
        <w:t>Int J Obes Relat Metab Disord</w:t>
      </w:r>
      <w:r w:rsidRPr="00F566F4">
        <w:rPr>
          <w:rFonts w:ascii="Times New Roman" w:hAnsi="Times New Roman" w:cs="Times New Roman"/>
        </w:rPr>
        <w:t xml:space="preserve"> 2004; 28(S3):S2-S9.</w:t>
      </w:r>
    </w:p>
    <w:p w:rsidR="00692A01" w:rsidRPr="00576E63" w:rsidRDefault="00692A01" w:rsidP="00692A01">
      <w:pPr>
        <w:pStyle w:val="EndNoteBibliography"/>
        <w:spacing w:after="0" w:line="360" w:lineRule="auto"/>
        <w:ind w:left="284" w:hanging="284"/>
        <w:rPr>
          <w:rFonts w:ascii="Times New Roman" w:hAnsi="Times New Roman" w:cs="Times New Roman"/>
        </w:rPr>
      </w:pPr>
      <w:r w:rsidRPr="00067596">
        <w:rPr>
          <w:rFonts w:ascii="Times New Roman" w:hAnsi="Times New Roman" w:cs="Times New Roman"/>
        </w:rPr>
        <w:t xml:space="preserve">14. Alhyas L, </w:t>
      </w:r>
      <w:r w:rsidRPr="00067596">
        <w:rPr>
          <w:rFonts w:ascii="Times New Roman" w:hAnsi="Times New Roman" w:cs="Times New Roman"/>
          <w:color w:val="000000"/>
          <w:shd w:val="clear" w:color="auto" w:fill="FFFFFF"/>
        </w:rPr>
        <w:t xml:space="preserve">McKay A, Balasanthiran A et al. </w:t>
      </w:r>
      <w:r w:rsidRPr="00067596">
        <w:rPr>
          <w:rFonts w:ascii="Times New Roman" w:hAnsi="Times New Roman" w:cs="Times New Roman"/>
          <w:i/>
        </w:rPr>
        <w:t xml:space="preserve">Prevalences of overweight, obesity, hyperglycaemia, hypertension and dyslipidaemia in the Gulf: </w:t>
      </w:r>
      <w:r w:rsidRPr="00576E63">
        <w:rPr>
          <w:rFonts w:ascii="Times New Roman" w:hAnsi="Times New Roman" w:cs="Times New Roman"/>
          <w:i/>
        </w:rPr>
        <w:t>systematic review.</w:t>
      </w:r>
      <w:r w:rsidRPr="00576E63">
        <w:rPr>
          <w:rFonts w:ascii="Times New Roman" w:hAnsi="Times New Roman" w:cs="Times New Roman"/>
        </w:rPr>
        <w:t xml:space="preserve"> JRSM Short Rep, 2011. </w:t>
      </w:r>
      <w:r w:rsidRPr="00576E63">
        <w:rPr>
          <w:rFonts w:ascii="Times New Roman" w:hAnsi="Times New Roman" w:cs="Times New Roman"/>
          <w:b/>
        </w:rPr>
        <w:t>2</w:t>
      </w:r>
      <w:r w:rsidRPr="00576E63">
        <w:rPr>
          <w:rFonts w:ascii="Times New Roman" w:hAnsi="Times New Roman" w:cs="Times New Roman"/>
        </w:rPr>
        <w:t>(7): p. 55.</w:t>
      </w:r>
    </w:p>
    <w:p w:rsidR="00692A01" w:rsidRDefault="00692A01" w:rsidP="00692A01">
      <w:pPr>
        <w:pStyle w:val="EndNoteBibliography"/>
        <w:spacing w:after="0" w:line="360" w:lineRule="auto"/>
        <w:ind w:left="284" w:hanging="284"/>
        <w:rPr>
          <w:rFonts w:ascii="Times New Roman" w:hAnsi="Times New Roman" w:cs="Times New Roman"/>
        </w:rPr>
      </w:pPr>
      <w:r>
        <w:rPr>
          <w:rFonts w:ascii="Times New Roman" w:hAnsi="Times New Roman" w:cs="Times New Roman"/>
        </w:rPr>
        <w:t xml:space="preserve">15. Alhyas L, </w:t>
      </w:r>
      <w:r w:rsidRPr="00576E63">
        <w:rPr>
          <w:rFonts w:ascii="Times New Roman" w:hAnsi="Times New Roman" w:cs="Times New Roman"/>
        </w:rPr>
        <w:t>McKay</w:t>
      </w:r>
      <w:r>
        <w:rPr>
          <w:rFonts w:ascii="Times New Roman" w:hAnsi="Times New Roman" w:cs="Times New Roman"/>
        </w:rPr>
        <w:t xml:space="preserve"> A</w:t>
      </w:r>
      <w:r w:rsidRPr="00576E63">
        <w:rPr>
          <w:rFonts w:ascii="Times New Roman" w:hAnsi="Times New Roman" w:cs="Times New Roman"/>
        </w:rPr>
        <w:t xml:space="preserve">, and </w:t>
      </w:r>
      <w:r>
        <w:rPr>
          <w:rFonts w:ascii="Times New Roman" w:hAnsi="Times New Roman" w:cs="Times New Roman"/>
        </w:rPr>
        <w:t xml:space="preserve">Majeed A. </w:t>
      </w:r>
      <w:r w:rsidRPr="00576E63">
        <w:rPr>
          <w:rFonts w:ascii="Times New Roman" w:hAnsi="Times New Roman" w:cs="Times New Roman"/>
          <w:i/>
        </w:rPr>
        <w:t>Prevalence of Type 2 Diabetes in the States of The Co-Operation Council for the Arab States of the Gulf: A Systematic Review.</w:t>
      </w:r>
      <w:r w:rsidRPr="00576E63">
        <w:rPr>
          <w:rFonts w:ascii="Times New Roman" w:hAnsi="Times New Roman" w:cs="Times New Roman"/>
        </w:rPr>
        <w:t xml:space="preserve"> PLOS ONE, 2012. </w:t>
      </w:r>
      <w:r w:rsidRPr="00576E63">
        <w:rPr>
          <w:rFonts w:ascii="Times New Roman" w:hAnsi="Times New Roman" w:cs="Times New Roman"/>
          <w:b/>
        </w:rPr>
        <w:t>7</w:t>
      </w:r>
      <w:r w:rsidRPr="00576E63">
        <w:rPr>
          <w:rFonts w:ascii="Times New Roman" w:hAnsi="Times New Roman" w:cs="Times New Roman"/>
        </w:rPr>
        <w:t>(8): p. e40948.</w:t>
      </w:r>
    </w:p>
    <w:p w:rsidR="00692A01" w:rsidRPr="00576E63" w:rsidRDefault="00692A01" w:rsidP="00692A01">
      <w:pPr>
        <w:pStyle w:val="EndNoteBibliography"/>
        <w:spacing w:after="0" w:line="360" w:lineRule="auto"/>
        <w:ind w:left="284" w:hanging="284"/>
        <w:rPr>
          <w:rFonts w:ascii="Times New Roman" w:hAnsi="Times New Roman" w:cs="Times New Roman"/>
        </w:rPr>
      </w:pPr>
      <w:r>
        <w:rPr>
          <w:rFonts w:ascii="Times New Roman" w:hAnsi="Times New Roman" w:cs="Times New Roman"/>
        </w:rPr>
        <w:t>1</w:t>
      </w:r>
      <w:r w:rsidRPr="00576E63">
        <w:rPr>
          <w:rFonts w:ascii="Times New Roman" w:hAnsi="Times New Roman" w:cs="Times New Roman"/>
        </w:rPr>
        <w:t xml:space="preserve">6. Musaiger AO, Al-Mannai MA. Social and lifestyle factors associated with diabetes in the adult Bahraini population. </w:t>
      </w:r>
      <w:r w:rsidRPr="00576E63">
        <w:rPr>
          <w:rFonts w:ascii="Times New Roman" w:hAnsi="Times New Roman" w:cs="Times New Roman"/>
          <w:i/>
        </w:rPr>
        <w:t>J Biosoc Sci 2002 Apr;34(2):277-81</w:t>
      </w:r>
      <w:r w:rsidRPr="00576E63">
        <w:rPr>
          <w:rFonts w:ascii="Times New Roman" w:hAnsi="Times New Roman" w:cs="Times New Roman"/>
        </w:rPr>
        <w:t xml:space="preserve"> 2002 Apr;34(2):277-81.</w:t>
      </w:r>
    </w:p>
    <w:p w:rsidR="00692A01" w:rsidRPr="00576E63" w:rsidRDefault="00692A01" w:rsidP="00692A01">
      <w:pPr>
        <w:pStyle w:val="EndNoteBibliography"/>
        <w:spacing w:after="0" w:line="360" w:lineRule="auto"/>
        <w:ind w:left="284" w:hanging="284"/>
        <w:rPr>
          <w:rFonts w:ascii="Times New Roman" w:hAnsi="Times New Roman" w:cs="Times New Roman"/>
        </w:rPr>
      </w:pPr>
      <w:r w:rsidRPr="00576E63">
        <w:rPr>
          <w:rFonts w:ascii="Times New Roman" w:hAnsi="Times New Roman" w:cs="Times New Roman"/>
        </w:rPr>
        <w:t xml:space="preserve">17. Al-Rubeaan, K. The impact of diabetes mellitus on health and economy of Gulf Cooperation Council countries. </w:t>
      </w:r>
      <w:r w:rsidRPr="00576E63">
        <w:rPr>
          <w:rFonts w:ascii="Times New Roman" w:hAnsi="Times New Roman" w:cs="Times New Roman"/>
          <w:i/>
        </w:rPr>
        <w:t>Diabetes Manage</w:t>
      </w:r>
      <w:r w:rsidRPr="00576E63">
        <w:rPr>
          <w:rFonts w:ascii="Times New Roman" w:hAnsi="Times New Roman" w:cs="Times New Roman"/>
        </w:rPr>
        <w:t xml:space="preserve"> 2014;4:381–390.</w:t>
      </w:r>
    </w:p>
    <w:p w:rsidR="00692A01" w:rsidRPr="00C62233" w:rsidRDefault="00692A01" w:rsidP="00692A01">
      <w:pPr>
        <w:pStyle w:val="EndNoteBibliography"/>
        <w:spacing w:after="0" w:line="360" w:lineRule="auto"/>
        <w:ind w:left="284" w:hanging="284"/>
        <w:rPr>
          <w:rFonts w:ascii="Times New Roman" w:hAnsi="Times New Roman" w:cs="Times New Roman"/>
        </w:rPr>
      </w:pPr>
      <w:r w:rsidRPr="00576E63">
        <w:rPr>
          <w:rFonts w:ascii="Times New Roman" w:hAnsi="Times New Roman" w:cs="Times New Roman"/>
        </w:rPr>
        <w:t xml:space="preserve">18. World Bank. </w:t>
      </w:r>
      <w:r w:rsidRPr="00576E63">
        <w:rPr>
          <w:rFonts w:ascii="Times New Roman" w:hAnsi="Times New Roman" w:cs="Times New Roman"/>
          <w:i/>
        </w:rPr>
        <w:t>World Bank national accounts data, and OECD National Accounts data files.</w:t>
      </w:r>
      <w:r>
        <w:rPr>
          <w:rFonts w:ascii="Times New Roman" w:hAnsi="Times New Roman" w:cs="Times New Roman"/>
        </w:rPr>
        <w:t xml:space="preserve"> 2012. </w:t>
      </w:r>
      <w:r w:rsidRPr="00C62233">
        <w:rPr>
          <w:rFonts w:ascii="Times New Roman" w:hAnsi="Times New Roman" w:cs="Times New Roman"/>
        </w:rPr>
        <w:t xml:space="preserve">Accessed online at </w:t>
      </w:r>
      <w:hyperlink r:id="rId7" w:history="1">
        <w:r w:rsidRPr="00C62233">
          <w:rPr>
            <w:rStyle w:val="Hyperlink"/>
            <w:rFonts w:ascii="Times New Roman" w:eastAsiaTheme="minorHAnsi" w:hAnsi="Times New Roman" w:cs="Times New Roman"/>
            <w:lang w:eastAsia="en-US"/>
          </w:rPr>
          <w:t>https://data.worldbank.org/indicator/ny.gdp.mktp.cd</w:t>
        </w:r>
      </w:hyperlink>
      <w:r w:rsidRPr="00C62233">
        <w:rPr>
          <w:rFonts w:ascii="Times New Roman" w:eastAsiaTheme="minorHAnsi" w:hAnsi="Times New Roman" w:cs="Times New Roman"/>
          <w:lang w:eastAsia="en-US"/>
        </w:rPr>
        <w:t xml:space="preserve"> on 30th October 2018</w:t>
      </w:r>
      <w:r>
        <w:rPr>
          <w:rFonts w:ascii="Times New Roman" w:eastAsiaTheme="minorHAnsi" w:hAnsi="Times New Roman" w:cs="Times New Roman"/>
          <w:lang w:eastAsia="en-US"/>
        </w:rPr>
        <w:t>.</w:t>
      </w:r>
    </w:p>
    <w:p w:rsidR="00692A01" w:rsidRDefault="00692A01" w:rsidP="00692A01">
      <w:pPr>
        <w:pStyle w:val="EndNoteBibliography"/>
        <w:spacing w:after="0" w:line="360" w:lineRule="auto"/>
        <w:ind w:left="284" w:hanging="284"/>
        <w:rPr>
          <w:rFonts w:ascii="Times New Roman" w:hAnsi="Times New Roman" w:cs="Times New Roman"/>
        </w:rPr>
      </w:pPr>
      <w:r w:rsidRPr="00BC33FC">
        <w:rPr>
          <w:rFonts w:ascii="Times New Roman" w:hAnsi="Times New Roman" w:cs="Times New Roman"/>
        </w:rPr>
        <w:t xml:space="preserve">19. </w:t>
      </w:r>
      <w:r w:rsidRPr="00BC33FC">
        <w:rPr>
          <w:rFonts w:ascii="Times New Roman" w:eastAsiaTheme="minorHAnsi" w:hAnsi="Times New Roman" w:cs="Times New Roman"/>
          <w:lang w:eastAsia="en-US"/>
        </w:rPr>
        <w:t>Gulf Labour Markets and Migration.</w:t>
      </w:r>
      <w:r w:rsidRPr="00BC33FC">
        <w:rPr>
          <w:rFonts w:ascii="Times New Roman" w:hAnsi="Times New Roman" w:cs="Times New Roman"/>
        </w:rPr>
        <w:t xml:space="preserve"> GLMM Database - Demographic and Economic Database. 2017. </w:t>
      </w:r>
      <w:r w:rsidRPr="00BC33FC">
        <w:rPr>
          <w:rFonts w:ascii="Times New Roman" w:eastAsiaTheme="minorHAnsi" w:hAnsi="Times New Roman" w:cs="Times New Roman"/>
          <w:lang w:eastAsia="en-US"/>
        </w:rPr>
        <w:t>Accessed online at: http://gulfmigration.org/gcc-total-population-percentage-nationals-non-</w:t>
      </w:r>
      <w:r w:rsidRPr="00012F17">
        <w:rPr>
          <w:rFonts w:ascii="Times New Roman" w:hAnsi="Times New Roman" w:cs="Times New Roman"/>
        </w:rPr>
        <w:t>nationals-gcc-countries-national-statistics-2010-2017-numbers/ on 30th October 2018.</w:t>
      </w:r>
    </w:p>
    <w:p w:rsidR="00692A01" w:rsidRPr="00F013CC" w:rsidRDefault="00692A01" w:rsidP="00692A01">
      <w:pPr>
        <w:pStyle w:val="EndNoteBibliography"/>
        <w:spacing w:after="0" w:line="360" w:lineRule="auto"/>
        <w:ind w:left="284" w:hanging="284"/>
        <w:rPr>
          <w:rFonts w:ascii="Times New Roman" w:hAnsi="Times New Roman" w:cs="Times New Roman"/>
        </w:rPr>
      </w:pPr>
      <w:r>
        <w:rPr>
          <w:rFonts w:ascii="Times New Roman" w:hAnsi="Times New Roman" w:cs="Times New Roman"/>
        </w:rPr>
        <w:t>20. S</w:t>
      </w:r>
      <w:r w:rsidRPr="00F013CC">
        <w:rPr>
          <w:rFonts w:ascii="Times New Roman" w:hAnsi="Times New Roman" w:cs="Times New Roman"/>
        </w:rPr>
        <w:t>tataCorp. 2013. Stata Statistical Software: Release 13. College Station, TX: StataCorp LP.</w:t>
      </w:r>
    </w:p>
    <w:p w:rsidR="00692A01" w:rsidRPr="00BC33FC" w:rsidRDefault="00692A01" w:rsidP="00692A01">
      <w:pPr>
        <w:pStyle w:val="EndNoteBibliography"/>
        <w:spacing w:after="0" w:line="360" w:lineRule="auto"/>
        <w:ind w:left="284" w:hanging="284"/>
        <w:rPr>
          <w:rFonts w:ascii="Times New Roman" w:hAnsi="Times New Roman" w:cs="Times New Roman"/>
        </w:rPr>
      </w:pPr>
      <w:r>
        <w:rPr>
          <w:rFonts w:ascii="Times New Roman" w:hAnsi="Times New Roman" w:cs="Times New Roman"/>
        </w:rPr>
        <w:t xml:space="preserve">21. NCD Risk Factor Collaboration. </w:t>
      </w:r>
      <w:r w:rsidRPr="002058AC">
        <w:rPr>
          <w:rFonts w:ascii="Times New Roman" w:hAnsi="Times New Roman" w:cs="Times New Roman"/>
        </w:rPr>
        <w:t xml:space="preserve">Worldwide trends in diabetes since 1980: a pooled analysis of 751 population-based studies </w:t>
      </w:r>
      <w:r>
        <w:rPr>
          <w:rFonts w:ascii="Times New Roman" w:hAnsi="Times New Roman" w:cs="Times New Roman"/>
        </w:rPr>
        <w:t>with 4· 4 million participants.</w:t>
      </w:r>
      <w:r w:rsidRPr="002058AC">
        <w:rPr>
          <w:rFonts w:ascii="Times New Roman" w:hAnsi="Times New Roman" w:cs="Times New Roman"/>
        </w:rPr>
        <w:t xml:space="preserve"> The Lancet 387.10027 (2016): 1513-1530.</w:t>
      </w:r>
    </w:p>
    <w:p w:rsidR="00692A01" w:rsidRPr="00FE2174" w:rsidRDefault="00692A01" w:rsidP="00692A01">
      <w:pPr>
        <w:pStyle w:val="EndNoteBibliography"/>
        <w:spacing w:after="0" w:line="360" w:lineRule="auto"/>
        <w:ind w:left="284" w:hanging="284"/>
        <w:rPr>
          <w:rFonts w:ascii="Times New Roman" w:hAnsi="Times New Roman" w:cs="Times New Roman"/>
        </w:rPr>
      </w:pPr>
      <w:r>
        <w:rPr>
          <w:rFonts w:ascii="Times New Roman" w:hAnsi="Times New Roman" w:cs="Times New Roman"/>
        </w:rPr>
        <w:t>22. Lin PJ</w:t>
      </w:r>
      <w:r w:rsidRPr="00FE2174">
        <w:rPr>
          <w:rFonts w:ascii="Times New Roman" w:hAnsi="Times New Roman" w:cs="Times New Roman"/>
        </w:rPr>
        <w:t>,</w:t>
      </w:r>
      <w:r w:rsidRPr="00012F17">
        <w:rPr>
          <w:rFonts w:ascii="Times New Roman" w:hAnsi="Times New Roman" w:cs="Times New Roman"/>
        </w:rPr>
        <w:t xml:space="preserve"> </w:t>
      </w:r>
      <w:hyperlink r:id="rId8" w:history="1">
        <w:r w:rsidRPr="00012F17">
          <w:rPr>
            <w:rFonts w:ascii="Times New Roman" w:hAnsi="Times New Roman" w:cs="Times New Roman"/>
          </w:rPr>
          <w:t>Kent DM</w:t>
        </w:r>
      </w:hyperlink>
      <w:r w:rsidRPr="00012F17">
        <w:rPr>
          <w:rFonts w:ascii="Times New Roman" w:hAnsi="Times New Roman" w:cs="Times New Roman"/>
        </w:rPr>
        <w:t>, </w:t>
      </w:r>
      <w:hyperlink r:id="rId9" w:history="1">
        <w:r w:rsidRPr="00012F17">
          <w:rPr>
            <w:rFonts w:ascii="Times New Roman" w:hAnsi="Times New Roman" w:cs="Times New Roman"/>
          </w:rPr>
          <w:t>Winn A</w:t>
        </w:r>
      </w:hyperlink>
      <w:r w:rsidRPr="00012F17">
        <w:rPr>
          <w:rFonts w:ascii="Times New Roman" w:hAnsi="Times New Roman" w:cs="Times New Roman"/>
        </w:rPr>
        <w:t>,</w:t>
      </w:r>
      <w:r>
        <w:rPr>
          <w:rFonts w:ascii="Times New Roman" w:hAnsi="Times New Roman" w:cs="Times New Roman"/>
        </w:rPr>
        <w:t xml:space="preserve"> et al.</w:t>
      </w:r>
      <w:r w:rsidRPr="00FE2174">
        <w:rPr>
          <w:rFonts w:ascii="Times New Roman" w:hAnsi="Times New Roman" w:cs="Times New Roman"/>
        </w:rPr>
        <w:t xml:space="preserve"> Multiple chronic conditions in type 2 diabetes mellitus: prevalence and consequences. Am J Manag Care, 2015. 21(1): p. e23-34.</w:t>
      </w:r>
    </w:p>
    <w:p w:rsidR="00692A01" w:rsidRPr="00FE2174" w:rsidRDefault="00692A01" w:rsidP="00692A01">
      <w:pPr>
        <w:pStyle w:val="EndNoteBibliography"/>
        <w:spacing w:after="0" w:line="360" w:lineRule="auto"/>
        <w:ind w:left="284" w:hanging="284"/>
        <w:rPr>
          <w:rFonts w:ascii="Times New Roman" w:hAnsi="Times New Roman" w:cs="Times New Roman"/>
        </w:rPr>
      </w:pPr>
      <w:r>
        <w:rPr>
          <w:rFonts w:ascii="Times New Roman" w:hAnsi="Times New Roman" w:cs="Times New Roman"/>
        </w:rPr>
        <w:t>23.</w:t>
      </w:r>
      <w:r w:rsidRPr="00012F17">
        <w:rPr>
          <w:rFonts w:ascii="Times New Roman" w:hAnsi="Times New Roman" w:cs="Times New Roman"/>
        </w:rPr>
        <w:t xml:space="preserve"> </w:t>
      </w:r>
      <w:hyperlink r:id="rId10" w:history="1">
        <w:r w:rsidRPr="00012F17">
          <w:rPr>
            <w:rFonts w:ascii="Times New Roman" w:hAnsi="Times New Roman" w:cs="Times New Roman"/>
          </w:rPr>
          <w:t>Iglay K</w:t>
        </w:r>
      </w:hyperlink>
      <w:r w:rsidRPr="00012F17">
        <w:rPr>
          <w:rFonts w:ascii="Times New Roman" w:hAnsi="Times New Roman" w:cs="Times New Roman"/>
        </w:rPr>
        <w:t>, </w:t>
      </w:r>
      <w:hyperlink r:id="rId11" w:history="1">
        <w:r w:rsidRPr="00012F17">
          <w:rPr>
            <w:rFonts w:ascii="Times New Roman" w:hAnsi="Times New Roman" w:cs="Times New Roman"/>
          </w:rPr>
          <w:t>Hannachi H</w:t>
        </w:r>
      </w:hyperlink>
      <w:r w:rsidRPr="00012F17">
        <w:rPr>
          <w:rFonts w:ascii="Times New Roman" w:hAnsi="Times New Roman" w:cs="Times New Roman"/>
        </w:rPr>
        <w:t>, </w:t>
      </w:r>
      <w:hyperlink r:id="rId12" w:history="1">
        <w:r w:rsidRPr="00012F17">
          <w:rPr>
            <w:rFonts w:ascii="Times New Roman" w:hAnsi="Times New Roman" w:cs="Times New Roman"/>
          </w:rPr>
          <w:t>Joseph Howie P</w:t>
        </w:r>
      </w:hyperlink>
      <w:r w:rsidRPr="00012F17">
        <w:rPr>
          <w:rFonts w:ascii="Times New Roman" w:hAnsi="Times New Roman" w:cs="Times New Roman"/>
        </w:rPr>
        <w:t xml:space="preserve"> </w:t>
      </w:r>
      <w:r>
        <w:rPr>
          <w:rFonts w:ascii="Times New Roman" w:hAnsi="Times New Roman" w:cs="Times New Roman"/>
        </w:rPr>
        <w:t>et al.</w:t>
      </w:r>
      <w:r w:rsidRPr="00FE2174">
        <w:rPr>
          <w:rFonts w:ascii="Times New Roman" w:hAnsi="Times New Roman" w:cs="Times New Roman"/>
        </w:rPr>
        <w:t xml:space="preserve"> Prevalence and co-prevalence of comorbidi</w:t>
      </w:r>
      <w:r>
        <w:rPr>
          <w:rFonts w:ascii="Times New Roman" w:hAnsi="Times New Roman" w:cs="Times New Roman"/>
        </w:rPr>
        <w:t xml:space="preserve">ties among patients with type 2 </w:t>
      </w:r>
      <w:r w:rsidRPr="00FE2174">
        <w:rPr>
          <w:rFonts w:ascii="Times New Roman" w:hAnsi="Times New Roman" w:cs="Times New Roman"/>
        </w:rPr>
        <w:t>diabetes mellitus. Current Medical Research and Opinion, 2016. 32(7): p. 1243-1252.</w:t>
      </w:r>
    </w:p>
    <w:p w:rsidR="00692A01" w:rsidRDefault="00692A01" w:rsidP="00692A01">
      <w:pPr>
        <w:pStyle w:val="EndNoteBibliography"/>
        <w:spacing w:after="0" w:line="360" w:lineRule="auto"/>
        <w:ind w:left="284" w:hanging="284"/>
        <w:rPr>
          <w:rFonts w:ascii="Times New Roman" w:hAnsi="Times New Roman" w:cs="Times New Roman"/>
        </w:rPr>
      </w:pPr>
      <w:r>
        <w:rPr>
          <w:rFonts w:ascii="Times New Roman" w:hAnsi="Times New Roman" w:cs="Times New Roman"/>
        </w:rPr>
        <w:t xml:space="preserve">24. </w:t>
      </w:r>
      <w:hyperlink r:id="rId13" w:history="1">
        <w:r w:rsidRPr="00022B69">
          <w:rPr>
            <w:rFonts w:ascii="Times New Roman" w:hAnsi="Times New Roman" w:cs="Times New Roman"/>
          </w:rPr>
          <w:t>Li C</w:t>
        </w:r>
      </w:hyperlink>
      <w:r w:rsidRPr="00022B69">
        <w:rPr>
          <w:rFonts w:ascii="Times New Roman" w:hAnsi="Times New Roman" w:cs="Times New Roman"/>
        </w:rPr>
        <w:t>, </w:t>
      </w:r>
      <w:hyperlink r:id="rId14" w:history="1">
        <w:r w:rsidRPr="00022B69">
          <w:rPr>
            <w:rFonts w:ascii="Times New Roman" w:hAnsi="Times New Roman" w:cs="Times New Roman"/>
          </w:rPr>
          <w:t>Ford ES</w:t>
        </w:r>
      </w:hyperlink>
      <w:r w:rsidRPr="00022B69">
        <w:rPr>
          <w:rFonts w:ascii="Times New Roman" w:hAnsi="Times New Roman" w:cs="Times New Roman"/>
        </w:rPr>
        <w:t>, </w:t>
      </w:r>
      <w:hyperlink r:id="rId15" w:history="1">
        <w:r w:rsidRPr="00022B69">
          <w:rPr>
            <w:rFonts w:ascii="Times New Roman" w:hAnsi="Times New Roman" w:cs="Times New Roman"/>
          </w:rPr>
          <w:t>Zhao G</w:t>
        </w:r>
      </w:hyperlink>
      <w:r w:rsidRPr="00022B69">
        <w:rPr>
          <w:rFonts w:ascii="Times New Roman" w:hAnsi="Times New Roman" w:cs="Times New Roman"/>
        </w:rPr>
        <w:t>, et al.</w:t>
      </w:r>
      <w:r w:rsidRPr="00FE2174">
        <w:rPr>
          <w:rFonts w:ascii="Times New Roman" w:hAnsi="Times New Roman" w:cs="Times New Roman"/>
        </w:rPr>
        <w:t xml:space="preserve"> Prevalence of Pre-Diabetes and Its Association With Clustering of Cardiometabolic Risk Factors and Hyperinsulinemia Among U.S. Adolescents. National Health and Nutrition Examination Survey 2005–2006, 2009. 32(2): p. 342-347.</w:t>
      </w:r>
    </w:p>
    <w:p w:rsidR="00692A01" w:rsidRPr="00FE2174" w:rsidRDefault="00692A01" w:rsidP="00692A01">
      <w:pPr>
        <w:pStyle w:val="EndNoteBibliography"/>
        <w:spacing w:after="0" w:line="360" w:lineRule="auto"/>
        <w:ind w:left="284" w:hanging="284"/>
        <w:rPr>
          <w:rFonts w:ascii="Times New Roman" w:hAnsi="Times New Roman" w:cs="Times New Roman"/>
        </w:rPr>
      </w:pPr>
      <w:r>
        <w:rPr>
          <w:rFonts w:ascii="Times New Roman" w:hAnsi="Times New Roman" w:cs="Times New Roman"/>
        </w:rPr>
        <w:t xml:space="preserve">25. </w:t>
      </w:r>
      <w:r w:rsidRPr="002058AC">
        <w:rPr>
          <w:rFonts w:ascii="Times New Roman" w:hAnsi="Times New Roman" w:cs="Times New Roman"/>
        </w:rPr>
        <w:t>World Health Organization. Global report on diabetes. World Health Organization, 2016.</w:t>
      </w:r>
    </w:p>
    <w:p w:rsidR="00692A01" w:rsidRPr="00FE2174" w:rsidRDefault="00692A01" w:rsidP="00692A01">
      <w:pPr>
        <w:pStyle w:val="EndNoteBibliography"/>
        <w:spacing w:after="0" w:line="360" w:lineRule="auto"/>
        <w:ind w:left="284" w:hanging="284"/>
        <w:rPr>
          <w:rFonts w:ascii="Times New Roman" w:hAnsi="Times New Roman" w:cs="Times New Roman"/>
        </w:rPr>
      </w:pPr>
      <w:r w:rsidRPr="00FE2174">
        <w:rPr>
          <w:rFonts w:ascii="Times New Roman" w:hAnsi="Times New Roman" w:cs="Times New Roman"/>
        </w:rPr>
        <w:t>2</w:t>
      </w:r>
      <w:r>
        <w:rPr>
          <w:rFonts w:ascii="Times New Roman" w:hAnsi="Times New Roman" w:cs="Times New Roman"/>
        </w:rPr>
        <w:t>6. Wilkinson, RG.</w:t>
      </w:r>
      <w:r w:rsidRPr="00FE2174">
        <w:rPr>
          <w:rFonts w:ascii="Times New Roman" w:hAnsi="Times New Roman" w:cs="Times New Roman"/>
        </w:rPr>
        <w:t xml:space="preserve"> The epidemiological transition: from material scarcity to social disadvantage? </w:t>
      </w:r>
      <w:r w:rsidRPr="00006F5A">
        <w:rPr>
          <w:rFonts w:ascii="Times New Roman" w:hAnsi="Times New Roman" w:cs="Times New Roman"/>
          <w:i/>
        </w:rPr>
        <w:t>Daedalus</w:t>
      </w:r>
      <w:r w:rsidRPr="00FE2174">
        <w:rPr>
          <w:rFonts w:ascii="Times New Roman" w:hAnsi="Times New Roman" w:cs="Times New Roman"/>
        </w:rPr>
        <w:t>, 1994. 123(4): p. 61-77.</w:t>
      </w:r>
    </w:p>
    <w:p w:rsidR="00692A01" w:rsidRPr="00FE2174" w:rsidRDefault="00692A01" w:rsidP="00692A01">
      <w:pPr>
        <w:pStyle w:val="EndNoteBibliography"/>
        <w:spacing w:after="0" w:line="360" w:lineRule="auto"/>
        <w:ind w:left="284" w:hanging="284"/>
        <w:rPr>
          <w:rFonts w:ascii="Times New Roman" w:hAnsi="Times New Roman" w:cs="Times New Roman"/>
        </w:rPr>
      </w:pPr>
      <w:r>
        <w:rPr>
          <w:rFonts w:ascii="Times New Roman" w:hAnsi="Times New Roman" w:cs="Times New Roman"/>
        </w:rPr>
        <w:t>27. Kronfol NM.</w:t>
      </w:r>
      <w:r w:rsidRPr="00FE2174">
        <w:rPr>
          <w:rFonts w:ascii="Times New Roman" w:hAnsi="Times New Roman" w:cs="Times New Roman"/>
        </w:rPr>
        <w:t xml:space="preserve"> Access and barriers to health care delivery in Arab countries: a review. </w:t>
      </w:r>
      <w:r w:rsidRPr="00006F5A">
        <w:rPr>
          <w:rFonts w:ascii="Times New Roman" w:hAnsi="Times New Roman" w:cs="Times New Roman"/>
          <w:i/>
        </w:rPr>
        <w:t>East Mediterr Health J</w:t>
      </w:r>
      <w:r w:rsidRPr="00FE2174">
        <w:rPr>
          <w:rFonts w:ascii="Times New Roman" w:hAnsi="Times New Roman" w:cs="Times New Roman"/>
        </w:rPr>
        <w:t>, 2012. 18(12): p. 1239-46.</w:t>
      </w:r>
    </w:p>
    <w:p w:rsidR="00692A01" w:rsidRPr="00012F17" w:rsidRDefault="00692A01" w:rsidP="00692A01">
      <w:pPr>
        <w:pStyle w:val="EndNoteBibliography"/>
        <w:spacing w:after="0" w:line="360" w:lineRule="auto"/>
        <w:ind w:left="284" w:hanging="284"/>
        <w:rPr>
          <w:rFonts w:ascii="Times New Roman" w:hAnsi="Times New Roman" w:cs="Times New Roman"/>
        </w:rPr>
      </w:pPr>
      <w:r w:rsidRPr="00012F17">
        <w:rPr>
          <w:rFonts w:ascii="Times New Roman" w:hAnsi="Times New Roman" w:cs="Times New Roman"/>
        </w:rPr>
        <w:lastRenderedPageBreak/>
        <w:t>2</w:t>
      </w:r>
      <w:r>
        <w:rPr>
          <w:rFonts w:ascii="Times New Roman" w:hAnsi="Times New Roman" w:cs="Times New Roman"/>
        </w:rPr>
        <w:t>8</w:t>
      </w:r>
      <w:r w:rsidRPr="00012F17">
        <w:rPr>
          <w:rFonts w:ascii="Times New Roman" w:hAnsi="Times New Roman" w:cs="Times New Roman"/>
        </w:rPr>
        <w:t xml:space="preserve">. The Economist. </w:t>
      </w:r>
      <w:r w:rsidRPr="00012F17">
        <w:rPr>
          <w:rFonts w:ascii="Times New Roman" w:hAnsi="Times New Roman" w:cs="Times New Roman"/>
          <w:i/>
        </w:rPr>
        <w:t>Diabetes in the Gulf: The Policy Challenge</w:t>
      </w:r>
      <w:r w:rsidRPr="00012F17">
        <w:rPr>
          <w:rFonts w:ascii="Times New Roman" w:hAnsi="Times New Roman" w:cs="Times New Roman"/>
        </w:rPr>
        <w:t xml:space="preserve">, The Economist:  Intelligence Unit, Editor. 2015. </w:t>
      </w:r>
      <w:r w:rsidRPr="00012F17">
        <w:rPr>
          <w:rFonts w:ascii="Times New Roman" w:eastAsiaTheme="minorHAnsi" w:hAnsi="Times New Roman" w:cs="Times New Roman"/>
          <w:lang w:eastAsia="en-US"/>
        </w:rPr>
        <w:t>Accessed online at: https://www.slideshare.net/Management-Thinking/diabetes-in-the-gulf on 15th October 2018</w:t>
      </w:r>
      <w:r>
        <w:rPr>
          <w:rFonts w:ascii="Times New Roman" w:eastAsiaTheme="minorHAnsi" w:hAnsi="Times New Roman" w:cs="Times New Roman"/>
          <w:lang w:eastAsia="en-US"/>
        </w:rPr>
        <w:t>.</w:t>
      </w:r>
    </w:p>
    <w:p w:rsidR="00692A01" w:rsidRDefault="00692A01" w:rsidP="00692A01">
      <w:pPr>
        <w:pStyle w:val="EndNoteBibliography"/>
        <w:spacing w:after="0" w:line="360" w:lineRule="auto"/>
        <w:ind w:left="284" w:hanging="284"/>
        <w:rPr>
          <w:rFonts w:ascii="Times New Roman" w:hAnsi="Times New Roman" w:cs="Times New Roman"/>
        </w:rPr>
      </w:pPr>
      <w:r>
        <w:rPr>
          <w:rFonts w:ascii="Times New Roman" w:hAnsi="Times New Roman" w:cs="Times New Roman"/>
        </w:rPr>
        <w:t>29</w:t>
      </w:r>
      <w:r w:rsidRPr="00F566F4">
        <w:rPr>
          <w:rFonts w:ascii="Times New Roman" w:hAnsi="Times New Roman" w:cs="Times New Roman"/>
        </w:rPr>
        <w:t xml:space="preserve">. Khoja T, Al-Shoumer K, Sulaimani R, et al. </w:t>
      </w:r>
      <w:r w:rsidRPr="00F566F4">
        <w:rPr>
          <w:rFonts w:ascii="Times New Roman" w:hAnsi="Times New Roman" w:cs="Times New Roman"/>
          <w:i/>
        </w:rPr>
        <w:t>Diabetes: The hidden pandemic and its impact on the Middle East and Northern Africa</w:t>
      </w:r>
      <w:r w:rsidRPr="00F566F4">
        <w:rPr>
          <w:rFonts w:ascii="Times New Roman" w:hAnsi="Times New Roman" w:cs="Times New Roman"/>
        </w:rPr>
        <w:t>. MENA Diabetes Leadership Forum 2010 Dubai, 2010.</w:t>
      </w:r>
    </w:p>
    <w:p w:rsidR="00692A01" w:rsidRPr="00F566F4" w:rsidRDefault="00692A01" w:rsidP="00692A01">
      <w:pPr>
        <w:pStyle w:val="EndNoteBibliography"/>
        <w:spacing w:after="0" w:line="360" w:lineRule="auto"/>
        <w:ind w:left="284" w:hanging="284"/>
        <w:rPr>
          <w:rFonts w:ascii="Times New Roman" w:hAnsi="Times New Roman" w:cs="Times New Roman"/>
        </w:rPr>
      </w:pPr>
      <w:r>
        <w:rPr>
          <w:rFonts w:ascii="Times New Roman" w:hAnsi="Times New Roman" w:cs="Times New Roman"/>
        </w:rPr>
        <w:t xml:space="preserve">30. </w:t>
      </w:r>
      <w:r w:rsidRPr="002058AC">
        <w:rPr>
          <w:rFonts w:ascii="Times New Roman" w:hAnsi="Times New Roman" w:cs="Times New Roman"/>
        </w:rPr>
        <w:t>Alkhadhari, Sulaiman, et al. Mental and physical comorbidity in an Arab primary health care setting. BMC psychiatry 18.1 (2018): 313.</w:t>
      </w:r>
    </w:p>
    <w:p w:rsidR="00692A01" w:rsidRPr="00F566F4" w:rsidRDefault="00692A01" w:rsidP="00692A01">
      <w:pPr>
        <w:pStyle w:val="EndNoteBibliography"/>
        <w:spacing w:after="0" w:line="360" w:lineRule="auto"/>
        <w:ind w:left="284" w:hanging="284"/>
        <w:rPr>
          <w:rFonts w:ascii="Times New Roman" w:hAnsi="Times New Roman" w:cs="Times New Roman"/>
        </w:rPr>
      </w:pPr>
      <w:r>
        <w:rPr>
          <w:rFonts w:ascii="Times New Roman" w:hAnsi="Times New Roman" w:cs="Times New Roman"/>
        </w:rPr>
        <w:t>31</w:t>
      </w:r>
      <w:r w:rsidRPr="00F566F4">
        <w:rPr>
          <w:rFonts w:ascii="Times New Roman" w:hAnsi="Times New Roman" w:cs="Times New Roman"/>
        </w:rPr>
        <w:t xml:space="preserve">. Asche C, LaFleur J, Conner C. A Review of Diabetes Treatment Adherence and the Association with Clinical and Economic Outcomes. </w:t>
      </w:r>
      <w:r w:rsidRPr="00F566F4">
        <w:rPr>
          <w:rFonts w:ascii="Times New Roman" w:hAnsi="Times New Roman" w:cs="Times New Roman"/>
          <w:i/>
        </w:rPr>
        <w:t>Clinical Therapeutics</w:t>
      </w:r>
      <w:r w:rsidRPr="00F566F4">
        <w:rPr>
          <w:rFonts w:ascii="Times New Roman" w:hAnsi="Times New Roman" w:cs="Times New Roman"/>
        </w:rPr>
        <w:t xml:space="preserve">;33(1):74-109. </w:t>
      </w:r>
    </w:p>
    <w:p w:rsidR="00692A01" w:rsidRDefault="00692A01" w:rsidP="00692A01">
      <w:pPr>
        <w:pStyle w:val="EndNoteBibliography"/>
        <w:spacing w:after="0" w:line="360" w:lineRule="auto"/>
        <w:ind w:left="284" w:hanging="284"/>
        <w:rPr>
          <w:rFonts w:ascii="Times New Roman" w:hAnsi="Times New Roman" w:cs="Times New Roman"/>
        </w:rPr>
      </w:pPr>
      <w:r>
        <w:rPr>
          <w:rFonts w:ascii="Times New Roman" w:hAnsi="Times New Roman" w:cs="Times New Roman"/>
        </w:rPr>
        <w:t>32</w:t>
      </w:r>
      <w:r w:rsidRPr="00F566F4">
        <w:rPr>
          <w:rFonts w:ascii="Times New Roman" w:hAnsi="Times New Roman" w:cs="Times New Roman"/>
        </w:rPr>
        <w:t xml:space="preserve">. Norris SL, Engelgau MM, Venkat Narayan KM. Effectiveness of Self-Management Training in Type 2 Diabetes: A systematic review of randomized controlled trials. </w:t>
      </w:r>
      <w:r w:rsidRPr="00F566F4">
        <w:rPr>
          <w:rFonts w:ascii="Times New Roman" w:hAnsi="Times New Roman" w:cs="Times New Roman"/>
          <w:i/>
        </w:rPr>
        <w:t>Diabetes Care</w:t>
      </w:r>
      <w:r w:rsidRPr="00F566F4">
        <w:rPr>
          <w:rFonts w:ascii="Times New Roman" w:hAnsi="Times New Roman" w:cs="Times New Roman"/>
        </w:rPr>
        <w:t xml:space="preserve"> 2001;24(3):561-87. </w:t>
      </w:r>
    </w:p>
    <w:p w:rsidR="00692A01" w:rsidRPr="00576E63" w:rsidRDefault="00692A01" w:rsidP="00692A01">
      <w:pPr>
        <w:pStyle w:val="EndNoteBibliography"/>
        <w:spacing w:after="0" w:line="360" w:lineRule="auto"/>
        <w:ind w:left="284" w:hanging="284"/>
        <w:rPr>
          <w:rFonts w:ascii="Times New Roman" w:hAnsi="Times New Roman" w:cs="Times New Roman"/>
        </w:rPr>
      </w:pPr>
      <w:r>
        <w:rPr>
          <w:rFonts w:ascii="Times New Roman" w:hAnsi="Times New Roman" w:cs="Times New Roman"/>
        </w:rPr>
        <w:t>33.</w:t>
      </w:r>
      <w:r w:rsidRPr="00576E63">
        <w:rPr>
          <w:rFonts w:ascii="Times New Roman" w:hAnsi="Times New Roman" w:cs="Times New Roman"/>
        </w:rPr>
        <w:t xml:space="preserve">  Omar, M.S., et al., </w:t>
      </w:r>
      <w:r w:rsidRPr="00576E63">
        <w:rPr>
          <w:rFonts w:ascii="Times New Roman" w:hAnsi="Times New Roman" w:cs="Times New Roman"/>
          <w:i/>
        </w:rPr>
        <w:t>DiabCare survey of diabetes management and complications in the Gulf countries.</w:t>
      </w:r>
      <w:r w:rsidRPr="00576E63">
        <w:rPr>
          <w:rFonts w:ascii="Times New Roman" w:hAnsi="Times New Roman" w:cs="Times New Roman"/>
        </w:rPr>
        <w:t xml:space="preserve"> Indian journal of endocrinology and metabolism, 2016. </w:t>
      </w:r>
      <w:r w:rsidRPr="00576E63">
        <w:rPr>
          <w:rFonts w:ascii="Times New Roman" w:hAnsi="Times New Roman" w:cs="Times New Roman"/>
          <w:b/>
        </w:rPr>
        <w:t>20</w:t>
      </w:r>
      <w:r w:rsidRPr="00576E63">
        <w:rPr>
          <w:rFonts w:ascii="Times New Roman" w:hAnsi="Times New Roman" w:cs="Times New Roman"/>
        </w:rPr>
        <w:t>(2): p. 219-227.</w:t>
      </w:r>
    </w:p>
    <w:p w:rsidR="00692A01" w:rsidRDefault="00692A01" w:rsidP="00692A01">
      <w:pPr>
        <w:pStyle w:val="EndNoteBibliography"/>
        <w:spacing w:after="0" w:line="360" w:lineRule="auto"/>
        <w:ind w:left="284" w:hanging="284"/>
        <w:rPr>
          <w:rFonts w:ascii="Times New Roman" w:hAnsi="Times New Roman" w:cs="Times New Roman"/>
        </w:rPr>
      </w:pPr>
      <w:r>
        <w:rPr>
          <w:rFonts w:ascii="Times New Roman" w:hAnsi="Times New Roman" w:cs="Times New Roman"/>
        </w:rPr>
        <w:t>34</w:t>
      </w:r>
      <w:r w:rsidRPr="00F566F4">
        <w:rPr>
          <w:rFonts w:ascii="Times New Roman" w:hAnsi="Times New Roman" w:cs="Times New Roman"/>
        </w:rPr>
        <w:t xml:space="preserve">. Moradi-Lakeh M, Forouzanfar MH, El Bcheraoui C, et al. High Fasting Plasma Glucose, Diabetes, and Its Risk Factors in the Eastern Mediterranean Region, 1990-2013: Findings From the Global Burden of Disease Study 2013. </w:t>
      </w:r>
      <w:r w:rsidRPr="00F566F4">
        <w:rPr>
          <w:rFonts w:ascii="Times New Roman" w:hAnsi="Times New Roman" w:cs="Times New Roman"/>
          <w:i/>
        </w:rPr>
        <w:t>Diabetes Care</w:t>
      </w:r>
      <w:r w:rsidRPr="00F566F4">
        <w:rPr>
          <w:rFonts w:ascii="Times New Roman" w:hAnsi="Times New Roman" w:cs="Times New Roman"/>
        </w:rPr>
        <w:t xml:space="preserve"> 2017;40(1):22-29. </w:t>
      </w:r>
    </w:p>
    <w:p w:rsidR="00692A01" w:rsidRDefault="00692A01" w:rsidP="00692A01">
      <w:pPr>
        <w:pStyle w:val="EndNoteBibliography"/>
        <w:spacing w:after="0" w:line="360" w:lineRule="auto"/>
        <w:ind w:left="284" w:hanging="284"/>
        <w:rPr>
          <w:rFonts w:ascii="Times New Roman" w:hAnsi="Times New Roman" w:cs="Times New Roman"/>
        </w:rPr>
      </w:pPr>
      <w:r>
        <w:rPr>
          <w:rFonts w:ascii="Times New Roman" w:hAnsi="Times New Roman" w:cs="Times New Roman"/>
        </w:rPr>
        <w:t xml:space="preserve">35. Roth, Gregory A., et al. </w:t>
      </w:r>
      <w:r w:rsidRPr="00F013CC">
        <w:rPr>
          <w:rFonts w:ascii="Times New Roman" w:hAnsi="Times New Roman" w:cs="Times New Roman"/>
        </w:rPr>
        <w:t>Global, regional, and national age-sex-specific mortality for 282 causes of death in 195 countries and territories, 1980–2017: a systematic analysis for the Global Burden of Disease Study 2017. The Lancet 392.10159 (2018): 1736-1788.</w:t>
      </w:r>
    </w:p>
    <w:p w:rsidR="00692A01" w:rsidRDefault="00692A01" w:rsidP="00692A01">
      <w:pPr>
        <w:pStyle w:val="EndNoteBibliography"/>
        <w:spacing w:after="0" w:line="360" w:lineRule="auto"/>
        <w:ind w:left="284" w:hanging="284"/>
        <w:rPr>
          <w:rFonts w:ascii="Times New Roman" w:hAnsi="Times New Roman" w:cs="Times New Roman"/>
        </w:rPr>
      </w:pPr>
      <w:r>
        <w:rPr>
          <w:rFonts w:ascii="Times New Roman" w:hAnsi="Times New Roman" w:cs="Times New Roman"/>
        </w:rPr>
        <w:t>36</w:t>
      </w:r>
      <w:r w:rsidRPr="00F566F4">
        <w:rPr>
          <w:rFonts w:ascii="Times New Roman" w:hAnsi="Times New Roman" w:cs="Times New Roman"/>
        </w:rPr>
        <w:t xml:space="preserve">. Wagner EH, Grothaus LC, Sandhu N, et al. Chronic Care Clinics for Diabetes in Primary Care: A system-wide randomized trial. </w:t>
      </w:r>
      <w:r w:rsidRPr="00F566F4">
        <w:rPr>
          <w:rFonts w:ascii="Times New Roman" w:hAnsi="Times New Roman" w:cs="Times New Roman"/>
          <w:i/>
        </w:rPr>
        <w:t>Diabetes Care</w:t>
      </w:r>
      <w:r w:rsidRPr="00F566F4">
        <w:rPr>
          <w:rFonts w:ascii="Times New Roman" w:hAnsi="Times New Roman" w:cs="Times New Roman"/>
        </w:rPr>
        <w:t xml:space="preserve"> 2001;24(4):695-700. </w:t>
      </w:r>
    </w:p>
    <w:p w:rsidR="00692A01" w:rsidRPr="00F566F4" w:rsidRDefault="00692A01" w:rsidP="00692A01">
      <w:pPr>
        <w:pStyle w:val="EndNoteBibliography"/>
        <w:spacing w:after="0" w:line="360" w:lineRule="auto"/>
        <w:ind w:left="284" w:hanging="284"/>
        <w:rPr>
          <w:rFonts w:ascii="Times New Roman" w:hAnsi="Times New Roman" w:cs="Times New Roman"/>
        </w:rPr>
      </w:pPr>
      <w:r>
        <w:rPr>
          <w:rFonts w:ascii="Times New Roman" w:hAnsi="Times New Roman" w:cs="Times New Roman"/>
        </w:rPr>
        <w:t>37</w:t>
      </w:r>
      <w:r w:rsidRPr="00F566F4">
        <w:rPr>
          <w:rFonts w:ascii="Times New Roman" w:hAnsi="Times New Roman" w:cs="Times New Roman"/>
        </w:rPr>
        <w:t xml:space="preserve">. Tricco AC, Antony J, Ivers NM, et al. Effectiveness of quality improvement strategies for coordination of care to reduce use of health care services: a systematic review and meta-analysis. </w:t>
      </w:r>
      <w:r w:rsidRPr="00F566F4">
        <w:rPr>
          <w:rFonts w:ascii="Times New Roman" w:hAnsi="Times New Roman" w:cs="Times New Roman"/>
          <w:i/>
        </w:rPr>
        <w:t>CMAJ : Canadian Medical Association Journal</w:t>
      </w:r>
      <w:r w:rsidRPr="00F566F4">
        <w:rPr>
          <w:rFonts w:ascii="Times New Roman" w:hAnsi="Times New Roman" w:cs="Times New Roman"/>
        </w:rPr>
        <w:t xml:space="preserve"> 2014;186(15):E568-E78.</w:t>
      </w:r>
    </w:p>
    <w:p w:rsidR="00692A01" w:rsidRPr="00F566F4" w:rsidRDefault="00692A01" w:rsidP="00692A01">
      <w:pPr>
        <w:pStyle w:val="EndNoteBibliography"/>
        <w:spacing w:after="0" w:line="360" w:lineRule="auto"/>
        <w:ind w:left="284" w:hanging="284"/>
        <w:rPr>
          <w:rFonts w:ascii="Times New Roman" w:hAnsi="Times New Roman" w:cs="Times New Roman"/>
        </w:rPr>
      </w:pPr>
      <w:r>
        <w:rPr>
          <w:rFonts w:ascii="Times New Roman" w:hAnsi="Times New Roman" w:cs="Times New Roman"/>
        </w:rPr>
        <w:t>38</w:t>
      </w:r>
      <w:r w:rsidRPr="00F566F4">
        <w:rPr>
          <w:rFonts w:ascii="Times New Roman" w:hAnsi="Times New Roman" w:cs="Times New Roman"/>
        </w:rPr>
        <w:t xml:space="preserve">. Panagioti M, Richardson G, Small N, et al. Self-management support interventions to reduce health care utilisation without compromising outcomes: a systematic review and meta-analysis. </w:t>
      </w:r>
      <w:r w:rsidRPr="00F566F4">
        <w:rPr>
          <w:rFonts w:ascii="Times New Roman" w:hAnsi="Times New Roman" w:cs="Times New Roman"/>
          <w:i/>
        </w:rPr>
        <w:t>BMC Health Serv Res</w:t>
      </w:r>
      <w:r w:rsidRPr="00F566F4">
        <w:rPr>
          <w:rFonts w:ascii="Times New Roman" w:hAnsi="Times New Roman" w:cs="Times New Roman"/>
        </w:rPr>
        <w:t xml:space="preserve"> 2014;14:356. </w:t>
      </w:r>
    </w:p>
    <w:p w:rsidR="00692A01" w:rsidRPr="00F566F4" w:rsidRDefault="00692A01" w:rsidP="00692A01">
      <w:pPr>
        <w:pStyle w:val="EndNoteBibliography"/>
        <w:spacing w:after="0" w:line="360" w:lineRule="auto"/>
        <w:ind w:left="284" w:hanging="284"/>
        <w:rPr>
          <w:rFonts w:ascii="Times New Roman" w:hAnsi="Times New Roman" w:cs="Times New Roman"/>
        </w:rPr>
      </w:pPr>
      <w:r>
        <w:rPr>
          <w:rFonts w:ascii="Times New Roman" w:hAnsi="Times New Roman" w:cs="Times New Roman"/>
        </w:rPr>
        <w:t>39</w:t>
      </w:r>
      <w:r w:rsidRPr="00F566F4">
        <w:rPr>
          <w:rFonts w:ascii="Times New Roman" w:hAnsi="Times New Roman" w:cs="Times New Roman"/>
        </w:rPr>
        <w:t xml:space="preserve">. Mendis S. The policy agenda for prevention and control of non-communicable diseases. </w:t>
      </w:r>
      <w:r w:rsidRPr="00F566F4">
        <w:rPr>
          <w:rFonts w:ascii="Times New Roman" w:hAnsi="Times New Roman" w:cs="Times New Roman"/>
          <w:i/>
        </w:rPr>
        <w:t>British Medical Bulletin</w:t>
      </w:r>
      <w:r w:rsidRPr="00F566F4">
        <w:rPr>
          <w:rFonts w:ascii="Times New Roman" w:hAnsi="Times New Roman" w:cs="Times New Roman"/>
        </w:rPr>
        <w:t xml:space="preserve"> 2010;96(1):23-43. </w:t>
      </w:r>
    </w:p>
    <w:p w:rsidR="00692A01" w:rsidRPr="00F566F4" w:rsidRDefault="00692A01" w:rsidP="00692A01">
      <w:pPr>
        <w:pStyle w:val="EndNoteBibliography"/>
        <w:spacing w:after="0" w:line="360" w:lineRule="auto"/>
        <w:ind w:left="284" w:hanging="284"/>
        <w:rPr>
          <w:rFonts w:ascii="Times New Roman" w:hAnsi="Times New Roman" w:cs="Times New Roman"/>
        </w:rPr>
      </w:pPr>
      <w:r>
        <w:rPr>
          <w:rFonts w:ascii="Times New Roman" w:hAnsi="Times New Roman" w:cs="Times New Roman"/>
        </w:rPr>
        <w:t>40</w:t>
      </w:r>
      <w:r w:rsidRPr="00F566F4">
        <w:rPr>
          <w:rFonts w:ascii="Times New Roman" w:hAnsi="Times New Roman" w:cs="Times New Roman"/>
        </w:rPr>
        <w:t xml:space="preserve">. Narain JP. Integrating Services for Noncommunicable Diseases Prevention and Control: Use of Primary Health Care Approach. </w:t>
      </w:r>
      <w:r w:rsidRPr="00F566F4">
        <w:rPr>
          <w:rFonts w:ascii="Times New Roman" w:hAnsi="Times New Roman" w:cs="Times New Roman"/>
          <w:i/>
        </w:rPr>
        <w:t>Indian Journal of Community Medicine : Official Publication of Indian Association of Preventive &amp; Social Medicine</w:t>
      </w:r>
      <w:r w:rsidRPr="00F566F4">
        <w:rPr>
          <w:rFonts w:ascii="Times New Roman" w:hAnsi="Times New Roman" w:cs="Times New Roman"/>
        </w:rPr>
        <w:t xml:space="preserve"> 2011;36(Suppl1):S67-S71. </w:t>
      </w:r>
    </w:p>
    <w:p w:rsidR="00692A01" w:rsidRPr="00F566F4" w:rsidRDefault="00692A01" w:rsidP="00692A01">
      <w:pPr>
        <w:pStyle w:val="EndNoteBibliography"/>
        <w:spacing w:after="0" w:line="360" w:lineRule="auto"/>
        <w:ind w:left="284" w:hanging="284"/>
        <w:rPr>
          <w:rFonts w:ascii="Times New Roman" w:hAnsi="Times New Roman" w:cs="Times New Roman"/>
        </w:rPr>
      </w:pPr>
      <w:r>
        <w:rPr>
          <w:rFonts w:ascii="Times New Roman" w:hAnsi="Times New Roman" w:cs="Times New Roman"/>
        </w:rPr>
        <w:t>41</w:t>
      </w:r>
      <w:r w:rsidRPr="00F566F4">
        <w:rPr>
          <w:rFonts w:ascii="Times New Roman" w:hAnsi="Times New Roman" w:cs="Times New Roman"/>
        </w:rPr>
        <w:t xml:space="preserve">. Khoja T, Rawaf S, Qidwai W, et al. Health Care in Gulf Cooperation Council Countries: A Review of Challenges and Opportunities. </w:t>
      </w:r>
      <w:r w:rsidRPr="00F566F4">
        <w:rPr>
          <w:rFonts w:ascii="Times New Roman" w:hAnsi="Times New Roman" w:cs="Times New Roman"/>
          <w:i/>
        </w:rPr>
        <w:t>Cureus</w:t>
      </w:r>
      <w:r w:rsidRPr="00F566F4">
        <w:rPr>
          <w:rFonts w:ascii="Times New Roman" w:hAnsi="Times New Roman" w:cs="Times New Roman"/>
        </w:rPr>
        <w:t xml:space="preserve"> 2017;9(8):e1586.</w:t>
      </w:r>
    </w:p>
    <w:p w:rsidR="00692A01" w:rsidRPr="00C05E2B" w:rsidRDefault="00692A01" w:rsidP="00692A01">
      <w:pPr>
        <w:spacing w:line="360" w:lineRule="auto"/>
        <w:jc w:val="both"/>
        <w:rPr>
          <w:rFonts w:asciiTheme="majorBidi" w:hAnsiTheme="majorBidi" w:cstheme="majorBidi"/>
          <w:sz w:val="24"/>
          <w:szCs w:val="24"/>
        </w:rPr>
      </w:pPr>
    </w:p>
    <w:p w:rsidR="00692A01" w:rsidRDefault="00692A01" w:rsidP="00692A01">
      <w:pPr>
        <w:jc w:val="both"/>
        <w:rPr>
          <w:rFonts w:asciiTheme="majorBidi" w:hAnsiTheme="majorBidi" w:cstheme="majorBidi"/>
          <w:sz w:val="24"/>
          <w:szCs w:val="24"/>
        </w:rPr>
        <w:sectPr w:rsidR="00692A01" w:rsidSect="00E16494">
          <w:footerReference w:type="default" r:id="rId16"/>
          <w:pgSz w:w="11906" w:h="16838"/>
          <w:pgMar w:top="1440" w:right="1440" w:bottom="1440" w:left="1440" w:header="708" w:footer="708" w:gutter="0"/>
          <w:cols w:space="708"/>
          <w:docGrid w:linePitch="360"/>
        </w:sectPr>
      </w:pPr>
    </w:p>
    <w:p w:rsidR="00692A01" w:rsidRPr="00AD47FD" w:rsidRDefault="00692A01" w:rsidP="00692A01">
      <w:pPr>
        <w:spacing w:after="12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Table 1: Prevalence of s</w:t>
      </w:r>
      <w:r w:rsidRPr="00AD47FD">
        <w:rPr>
          <w:rFonts w:asciiTheme="majorBidi" w:hAnsiTheme="majorBidi" w:cstheme="majorBidi"/>
          <w:b/>
          <w:bCs/>
          <w:sz w:val="24"/>
          <w:szCs w:val="24"/>
        </w:rPr>
        <w:t>elf-reported diabetes by correlates (social, economic, demographic and behavioural risk factors)</w:t>
      </w:r>
    </w:p>
    <w:tbl>
      <w:tblPr>
        <w:tblW w:w="13952" w:type="dxa"/>
        <w:tblLook w:val="04A0" w:firstRow="1" w:lastRow="0" w:firstColumn="1" w:lastColumn="0" w:noHBand="0" w:noVBand="1"/>
      </w:tblPr>
      <w:tblGrid>
        <w:gridCol w:w="1436"/>
        <w:gridCol w:w="1801"/>
        <w:gridCol w:w="616"/>
        <w:gridCol w:w="2145"/>
        <w:gridCol w:w="616"/>
        <w:gridCol w:w="2021"/>
        <w:gridCol w:w="941"/>
        <w:gridCol w:w="1741"/>
        <w:gridCol w:w="616"/>
        <w:gridCol w:w="2029"/>
      </w:tblGrid>
      <w:tr w:rsidR="00692A01" w:rsidRPr="00AD47FD" w:rsidTr="006653EB">
        <w:trPr>
          <w:trHeight w:val="262"/>
        </w:trPr>
        <w:tc>
          <w:tcPr>
            <w:tcW w:w="1436" w:type="dxa"/>
            <w:tcBorders>
              <w:top w:val="single" w:sz="8" w:space="0" w:color="auto"/>
              <w:left w:val="single" w:sz="8" w:space="0" w:color="auto"/>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lang w:eastAsia="en-GB"/>
              </w:rPr>
            </w:pPr>
            <w:r w:rsidRPr="00AD47FD">
              <w:rPr>
                <w:rFonts w:asciiTheme="majorBidi" w:eastAsia="Times New Roman" w:hAnsiTheme="majorBidi" w:cstheme="majorBidi"/>
                <w:color w:val="000000"/>
                <w:lang w:eastAsia="en-GB"/>
              </w:rPr>
              <w:t> </w:t>
            </w:r>
          </w:p>
        </w:tc>
        <w:tc>
          <w:tcPr>
            <w:tcW w:w="1800" w:type="dxa"/>
            <w:tcBorders>
              <w:top w:val="single" w:sz="8" w:space="0" w:color="auto"/>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lang w:eastAsia="en-GB"/>
              </w:rPr>
            </w:pPr>
            <w:r w:rsidRPr="00AD47FD">
              <w:rPr>
                <w:rFonts w:asciiTheme="majorBidi" w:eastAsia="Times New Roman" w:hAnsiTheme="majorBidi" w:cstheme="majorBidi"/>
                <w:color w:val="000000"/>
                <w:lang w:eastAsia="en-GB"/>
              </w:rPr>
              <w:t> </w:t>
            </w:r>
          </w:p>
        </w:tc>
        <w:tc>
          <w:tcPr>
            <w:tcW w:w="2758" w:type="dxa"/>
            <w:gridSpan w:val="2"/>
            <w:tcBorders>
              <w:top w:val="single" w:sz="8" w:space="0" w:color="auto"/>
              <w:left w:val="nil"/>
              <w:bottom w:val="single" w:sz="8" w:space="0" w:color="auto"/>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b/>
                <w:bCs/>
                <w:color w:val="000000"/>
                <w:sz w:val="24"/>
                <w:szCs w:val="24"/>
                <w:lang w:eastAsia="en-GB"/>
              </w:rPr>
            </w:pPr>
            <w:r w:rsidRPr="00AD47FD">
              <w:rPr>
                <w:rFonts w:asciiTheme="majorBidi" w:eastAsia="Times New Roman" w:hAnsiTheme="majorBidi" w:cstheme="majorBidi"/>
                <w:b/>
                <w:bCs/>
                <w:color w:val="000000"/>
                <w:sz w:val="24"/>
                <w:szCs w:val="24"/>
                <w:lang w:eastAsia="en-GB"/>
              </w:rPr>
              <w:t>Kuwait</w:t>
            </w:r>
          </w:p>
        </w:tc>
        <w:tc>
          <w:tcPr>
            <w:tcW w:w="2634" w:type="dxa"/>
            <w:gridSpan w:val="2"/>
            <w:tcBorders>
              <w:top w:val="single" w:sz="8" w:space="0" w:color="auto"/>
              <w:left w:val="nil"/>
              <w:bottom w:val="single" w:sz="8" w:space="0" w:color="auto"/>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b/>
                <w:bCs/>
                <w:color w:val="000000"/>
                <w:sz w:val="24"/>
                <w:szCs w:val="24"/>
                <w:lang w:eastAsia="en-GB"/>
              </w:rPr>
            </w:pPr>
            <w:r w:rsidRPr="00AD47FD">
              <w:rPr>
                <w:rFonts w:asciiTheme="majorBidi" w:eastAsia="Times New Roman" w:hAnsiTheme="majorBidi" w:cstheme="majorBidi"/>
                <w:b/>
                <w:bCs/>
                <w:color w:val="000000"/>
                <w:sz w:val="24"/>
                <w:szCs w:val="24"/>
                <w:lang w:eastAsia="en-GB"/>
              </w:rPr>
              <w:t>Oman</w:t>
            </w:r>
          </w:p>
        </w:tc>
        <w:tc>
          <w:tcPr>
            <w:tcW w:w="2682" w:type="dxa"/>
            <w:gridSpan w:val="2"/>
            <w:tcBorders>
              <w:top w:val="single" w:sz="8" w:space="0" w:color="auto"/>
              <w:left w:val="nil"/>
              <w:bottom w:val="single" w:sz="8" w:space="0" w:color="auto"/>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b/>
                <w:bCs/>
                <w:color w:val="000000"/>
                <w:sz w:val="24"/>
                <w:szCs w:val="24"/>
                <w:lang w:eastAsia="en-GB"/>
              </w:rPr>
            </w:pPr>
            <w:r w:rsidRPr="00AD47FD">
              <w:rPr>
                <w:rFonts w:asciiTheme="majorBidi" w:eastAsia="Times New Roman" w:hAnsiTheme="majorBidi" w:cstheme="majorBidi"/>
                <w:b/>
                <w:bCs/>
                <w:color w:val="000000"/>
                <w:sz w:val="24"/>
                <w:szCs w:val="24"/>
                <w:lang w:eastAsia="en-GB"/>
              </w:rPr>
              <w:t>Saudi Arabia</w:t>
            </w:r>
          </w:p>
        </w:tc>
        <w:tc>
          <w:tcPr>
            <w:tcW w:w="2642" w:type="dxa"/>
            <w:gridSpan w:val="2"/>
            <w:tcBorders>
              <w:top w:val="single" w:sz="8" w:space="0" w:color="auto"/>
              <w:left w:val="nil"/>
              <w:bottom w:val="single" w:sz="8" w:space="0" w:color="auto"/>
              <w:right w:val="single" w:sz="8" w:space="0" w:color="000000"/>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b/>
                <w:bCs/>
                <w:color w:val="000000"/>
                <w:sz w:val="24"/>
                <w:szCs w:val="24"/>
                <w:lang w:eastAsia="en-GB"/>
              </w:rPr>
            </w:pPr>
            <w:r w:rsidRPr="00AD47FD">
              <w:rPr>
                <w:rFonts w:asciiTheme="majorBidi" w:eastAsia="Times New Roman" w:hAnsiTheme="majorBidi" w:cstheme="majorBidi"/>
                <w:b/>
                <w:bCs/>
                <w:color w:val="000000"/>
                <w:sz w:val="24"/>
                <w:szCs w:val="24"/>
                <w:lang w:eastAsia="en-GB"/>
              </w:rPr>
              <w:t>UAE</w:t>
            </w:r>
          </w:p>
        </w:tc>
      </w:tr>
      <w:tr w:rsidR="00692A01" w:rsidRPr="00AD47FD" w:rsidTr="006653EB">
        <w:trPr>
          <w:trHeight w:val="418"/>
        </w:trPr>
        <w:tc>
          <w:tcPr>
            <w:tcW w:w="3237" w:type="dxa"/>
            <w:gridSpan w:val="2"/>
            <w:tcBorders>
              <w:top w:val="single" w:sz="8" w:space="0" w:color="auto"/>
              <w:left w:val="single" w:sz="8" w:space="0" w:color="auto"/>
              <w:bottom w:val="single" w:sz="8" w:space="0" w:color="auto"/>
              <w:right w:val="nil"/>
            </w:tcBorders>
            <w:shd w:val="clear" w:color="auto" w:fill="auto"/>
            <w:noWrap/>
            <w:vAlign w:val="center"/>
            <w:hideMark/>
          </w:tcPr>
          <w:p w:rsidR="00692A01" w:rsidRPr="00AD47FD" w:rsidRDefault="00692A01" w:rsidP="006653EB">
            <w:pPr>
              <w:spacing w:after="0" w:line="240" w:lineRule="auto"/>
              <w:jc w:val="center"/>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 </w:t>
            </w:r>
          </w:p>
        </w:tc>
        <w:tc>
          <w:tcPr>
            <w:tcW w:w="612" w:type="dxa"/>
            <w:tcBorders>
              <w:top w:val="nil"/>
              <w:left w:val="nil"/>
              <w:bottom w:val="single" w:sz="8" w:space="0" w:color="auto"/>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n</w:t>
            </w:r>
          </w:p>
        </w:tc>
        <w:tc>
          <w:tcPr>
            <w:tcW w:w="2145"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Prevalence, % (CI)</w:t>
            </w:r>
          </w:p>
        </w:tc>
        <w:tc>
          <w:tcPr>
            <w:tcW w:w="612" w:type="dxa"/>
            <w:tcBorders>
              <w:top w:val="nil"/>
              <w:left w:val="nil"/>
              <w:bottom w:val="single" w:sz="8" w:space="0" w:color="auto"/>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n</w:t>
            </w:r>
          </w:p>
        </w:tc>
        <w:tc>
          <w:tcPr>
            <w:tcW w:w="2021"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Prevalence, % (CI)</w:t>
            </w:r>
          </w:p>
        </w:tc>
        <w:tc>
          <w:tcPr>
            <w:tcW w:w="941" w:type="dxa"/>
            <w:tcBorders>
              <w:top w:val="nil"/>
              <w:left w:val="nil"/>
              <w:bottom w:val="single" w:sz="8" w:space="0" w:color="auto"/>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n</w:t>
            </w:r>
          </w:p>
        </w:tc>
        <w:tc>
          <w:tcPr>
            <w:tcW w:w="1741"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Prevalence, % (CI)</w:t>
            </w:r>
          </w:p>
        </w:tc>
        <w:tc>
          <w:tcPr>
            <w:tcW w:w="612" w:type="dxa"/>
            <w:tcBorders>
              <w:top w:val="nil"/>
              <w:left w:val="nil"/>
              <w:bottom w:val="single" w:sz="8" w:space="0" w:color="auto"/>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n</w:t>
            </w:r>
          </w:p>
        </w:tc>
        <w:tc>
          <w:tcPr>
            <w:tcW w:w="2029" w:type="dxa"/>
            <w:tcBorders>
              <w:top w:val="nil"/>
              <w:left w:val="nil"/>
              <w:bottom w:val="single" w:sz="8" w:space="0" w:color="auto"/>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Prevalence, % (CI)</w:t>
            </w:r>
          </w:p>
        </w:tc>
      </w:tr>
      <w:tr w:rsidR="00692A01" w:rsidRPr="00AD47FD" w:rsidTr="006653EB">
        <w:trPr>
          <w:trHeight w:val="621"/>
        </w:trPr>
        <w:tc>
          <w:tcPr>
            <w:tcW w:w="3237" w:type="dxa"/>
            <w:gridSpan w:val="2"/>
            <w:tcBorders>
              <w:top w:val="single" w:sz="8" w:space="0" w:color="auto"/>
              <w:left w:val="single" w:sz="8" w:space="0" w:color="auto"/>
              <w:bottom w:val="single" w:sz="8" w:space="0" w:color="auto"/>
              <w:right w:val="nil"/>
            </w:tcBorders>
            <w:shd w:val="clear" w:color="auto" w:fill="auto"/>
            <w:vAlign w:val="center"/>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Diabetes, standardised %</w:t>
            </w:r>
          </w:p>
        </w:tc>
        <w:tc>
          <w:tcPr>
            <w:tcW w:w="612"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3828</w:t>
            </w:r>
          </w:p>
        </w:tc>
        <w:tc>
          <w:tcPr>
            <w:tcW w:w="2145"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15.3 (13.9 – 16.8)</w:t>
            </w:r>
          </w:p>
        </w:tc>
        <w:tc>
          <w:tcPr>
            <w:tcW w:w="612" w:type="dxa"/>
            <w:tcBorders>
              <w:top w:val="nil"/>
              <w:left w:val="nil"/>
              <w:bottom w:val="single" w:sz="8" w:space="0" w:color="auto"/>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4717</w:t>
            </w:r>
          </w:p>
        </w:tc>
        <w:tc>
          <w:tcPr>
            <w:tcW w:w="2021" w:type="dxa"/>
            <w:tcBorders>
              <w:top w:val="nil"/>
              <w:left w:val="nil"/>
              <w:bottom w:val="single" w:sz="8" w:space="0" w:color="auto"/>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8.5 (7.4 – 9.</w:t>
            </w:r>
            <w:r>
              <w:rPr>
                <w:rFonts w:asciiTheme="majorBidi" w:eastAsia="Times New Roman" w:hAnsiTheme="majorBidi" w:cstheme="majorBidi"/>
                <w:color w:val="000000"/>
                <w:sz w:val="20"/>
                <w:szCs w:val="20"/>
                <w:lang w:eastAsia="en-GB"/>
              </w:rPr>
              <w:t>8</w:t>
            </w:r>
            <w:r w:rsidRPr="00AD47FD">
              <w:rPr>
                <w:rFonts w:asciiTheme="majorBidi" w:eastAsia="Times New Roman" w:hAnsiTheme="majorBidi" w:cstheme="majorBidi"/>
                <w:color w:val="000000"/>
                <w:sz w:val="20"/>
                <w:szCs w:val="20"/>
                <w:lang w:eastAsia="en-GB"/>
              </w:rPr>
              <w:t>)</w:t>
            </w:r>
          </w:p>
        </w:tc>
        <w:tc>
          <w:tcPr>
            <w:tcW w:w="941" w:type="dxa"/>
            <w:tcBorders>
              <w:top w:val="nil"/>
              <w:left w:val="nil"/>
              <w:bottom w:val="single" w:sz="8" w:space="0" w:color="auto"/>
              <w:right w:val="nil"/>
            </w:tcBorders>
            <w:shd w:val="clear" w:color="000000" w:fill="F2F2F2"/>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8629</w:t>
            </w:r>
          </w:p>
        </w:tc>
        <w:tc>
          <w:tcPr>
            <w:tcW w:w="1741"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10.5 (9.6 – 11.4)</w:t>
            </w:r>
          </w:p>
        </w:tc>
        <w:tc>
          <w:tcPr>
            <w:tcW w:w="612" w:type="dxa"/>
            <w:tcBorders>
              <w:top w:val="nil"/>
              <w:left w:val="nil"/>
              <w:bottom w:val="single" w:sz="8" w:space="0" w:color="auto"/>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2541</w:t>
            </w:r>
          </w:p>
        </w:tc>
        <w:tc>
          <w:tcPr>
            <w:tcW w:w="2029" w:type="dxa"/>
            <w:tcBorders>
              <w:top w:val="nil"/>
              <w:left w:val="nil"/>
              <w:bottom w:val="single" w:sz="8" w:space="0" w:color="auto"/>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13.2 (11.4 – 15.2)</w:t>
            </w:r>
          </w:p>
        </w:tc>
      </w:tr>
      <w:tr w:rsidR="00692A01" w:rsidRPr="00AD47FD" w:rsidTr="006653EB">
        <w:trPr>
          <w:trHeight w:val="238"/>
        </w:trPr>
        <w:tc>
          <w:tcPr>
            <w:tcW w:w="1436" w:type="dxa"/>
            <w:tcBorders>
              <w:top w:val="nil"/>
              <w:left w:val="single" w:sz="8" w:space="0" w:color="auto"/>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Age</w:t>
            </w:r>
          </w:p>
        </w:tc>
        <w:tc>
          <w:tcPr>
            <w:tcW w:w="1800" w:type="dxa"/>
            <w:tcBorders>
              <w:top w:val="nil"/>
              <w:left w:val="single" w:sz="4" w:space="0" w:color="auto"/>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18-29</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1173</w:t>
            </w:r>
          </w:p>
        </w:tc>
        <w:tc>
          <w:tcPr>
            <w:tcW w:w="2145"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2.4 (1.5 - 3.7)</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1756</w:t>
            </w:r>
          </w:p>
        </w:tc>
        <w:tc>
          <w:tcPr>
            <w:tcW w:w="2021" w:type="dxa"/>
            <w:tcBorders>
              <w:top w:val="nil"/>
              <w:left w:val="nil"/>
              <w:bottom w:val="nil"/>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0.5 (0.2 - 1.6)</w:t>
            </w:r>
          </w:p>
        </w:tc>
        <w:tc>
          <w:tcPr>
            <w:tcW w:w="941" w:type="dxa"/>
            <w:tcBorders>
              <w:top w:val="nil"/>
              <w:left w:val="nil"/>
              <w:bottom w:val="nil"/>
              <w:right w:val="nil"/>
            </w:tcBorders>
            <w:shd w:val="clear" w:color="000000" w:fill="F2F2F2"/>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2604</w:t>
            </w:r>
          </w:p>
        </w:tc>
        <w:tc>
          <w:tcPr>
            <w:tcW w:w="1741"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0.7 (0.4 - 1.2)</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680</w:t>
            </w:r>
          </w:p>
        </w:tc>
        <w:tc>
          <w:tcPr>
            <w:tcW w:w="2029" w:type="dxa"/>
            <w:tcBorders>
              <w:top w:val="nil"/>
              <w:left w:val="nil"/>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1.4 (0.7 - 2.8)</w:t>
            </w:r>
          </w:p>
        </w:tc>
      </w:tr>
      <w:tr w:rsidR="00692A01" w:rsidRPr="00AD47FD" w:rsidTr="006653EB">
        <w:trPr>
          <w:trHeight w:val="238"/>
        </w:trPr>
        <w:tc>
          <w:tcPr>
            <w:tcW w:w="1436" w:type="dxa"/>
            <w:tcBorders>
              <w:top w:val="nil"/>
              <w:left w:val="single" w:sz="8" w:space="0" w:color="auto"/>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 </w:t>
            </w:r>
          </w:p>
        </w:tc>
        <w:tc>
          <w:tcPr>
            <w:tcW w:w="1800" w:type="dxa"/>
            <w:tcBorders>
              <w:top w:val="nil"/>
              <w:left w:val="single" w:sz="4" w:space="0" w:color="auto"/>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30-39</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975</w:t>
            </w:r>
          </w:p>
        </w:tc>
        <w:tc>
          <w:tcPr>
            <w:tcW w:w="2145"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3.8 (2.6 - 5.5)</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1243</w:t>
            </w:r>
          </w:p>
        </w:tc>
        <w:tc>
          <w:tcPr>
            <w:tcW w:w="2021" w:type="dxa"/>
            <w:tcBorders>
              <w:top w:val="nil"/>
              <w:left w:val="nil"/>
              <w:bottom w:val="nil"/>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1.8 (1.0 - 3.2)</w:t>
            </w:r>
          </w:p>
        </w:tc>
        <w:tc>
          <w:tcPr>
            <w:tcW w:w="941" w:type="dxa"/>
            <w:tcBorders>
              <w:top w:val="nil"/>
              <w:left w:val="nil"/>
              <w:bottom w:val="nil"/>
              <w:right w:val="nil"/>
            </w:tcBorders>
            <w:shd w:val="clear" w:color="000000" w:fill="F2F2F2"/>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2481</w:t>
            </w:r>
          </w:p>
        </w:tc>
        <w:tc>
          <w:tcPr>
            <w:tcW w:w="1741"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2.8 (2.1 - 3.7)</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834</w:t>
            </w:r>
          </w:p>
        </w:tc>
        <w:tc>
          <w:tcPr>
            <w:tcW w:w="2029" w:type="dxa"/>
            <w:tcBorders>
              <w:top w:val="nil"/>
              <w:left w:val="nil"/>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4.5 (3.1 - 6.6)</w:t>
            </w:r>
          </w:p>
        </w:tc>
      </w:tr>
      <w:tr w:rsidR="00692A01" w:rsidRPr="00AD47FD" w:rsidTr="006653EB">
        <w:trPr>
          <w:trHeight w:val="406"/>
        </w:trPr>
        <w:tc>
          <w:tcPr>
            <w:tcW w:w="1436" w:type="dxa"/>
            <w:tcBorders>
              <w:top w:val="nil"/>
              <w:left w:val="single" w:sz="8" w:space="0" w:color="auto"/>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 </w:t>
            </w:r>
          </w:p>
        </w:tc>
        <w:tc>
          <w:tcPr>
            <w:tcW w:w="1800" w:type="dxa"/>
            <w:tcBorders>
              <w:top w:val="nil"/>
              <w:left w:val="single" w:sz="4" w:space="0" w:color="auto"/>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40-49</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772</w:t>
            </w:r>
          </w:p>
        </w:tc>
        <w:tc>
          <w:tcPr>
            <w:tcW w:w="2145"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11.6 (9.4 - 14.3)</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751</w:t>
            </w:r>
          </w:p>
        </w:tc>
        <w:tc>
          <w:tcPr>
            <w:tcW w:w="2021" w:type="dxa"/>
            <w:tcBorders>
              <w:top w:val="nil"/>
              <w:left w:val="nil"/>
              <w:bottom w:val="nil"/>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8.1 (5.5 - 11.7)</w:t>
            </w:r>
          </w:p>
        </w:tc>
        <w:tc>
          <w:tcPr>
            <w:tcW w:w="941" w:type="dxa"/>
            <w:tcBorders>
              <w:top w:val="nil"/>
              <w:left w:val="nil"/>
              <w:bottom w:val="nil"/>
              <w:right w:val="nil"/>
            </w:tcBorders>
            <w:shd w:val="clear" w:color="000000" w:fill="F2F2F2"/>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1875</w:t>
            </w:r>
          </w:p>
        </w:tc>
        <w:tc>
          <w:tcPr>
            <w:tcW w:w="1741"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7.7 (6.4 - 9.1)</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583</w:t>
            </w:r>
          </w:p>
        </w:tc>
        <w:tc>
          <w:tcPr>
            <w:tcW w:w="2029" w:type="dxa"/>
            <w:tcBorders>
              <w:top w:val="nil"/>
              <w:left w:val="nil"/>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7.5 (5.3 - 10.5)</w:t>
            </w:r>
          </w:p>
        </w:tc>
      </w:tr>
      <w:tr w:rsidR="00692A01" w:rsidRPr="00AD47FD" w:rsidTr="006653EB">
        <w:trPr>
          <w:trHeight w:val="238"/>
        </w:trPr>
        <w:tc>
          <w:tcPr>
            <w:tcW w:w="1436" w:type="dxa"/>
            <w:tcBorders>
              <w:top w:val="nil"/>
              <w:left w:val="single" w:sz="8" w:space="0" w:color="auto"/>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 </w:t>
            </w:r>
          </w:p>
        </w:tc>
        <w:tc>
          <w:tcPr>
            <w:tcW w:w="1800" w:type="dxa"/>
            <w:tcBorders>
              <w:top w:val="nil"/>
              <w:left w:val="single" w:sz="4" w:space="0" w:color="auto"/>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50-59</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535</w:t>
            </w:r>
          </w:p>
        </w:tc>
        <w:tc>
          <w:tcPr>
            <w:tcW w:w="2145"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26.2 (21.8 - 31.1)</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503</w:t>
            </w:r>
          </w:p>
        </w:tc>
        <w:tc>
          <w:tcPr>
            <w:tcW w:w="2021" w:type="dxa"/>
            <w:tcBorders>
              <w:top w:val="nil"/>
              <w:left w:val="nil"/>
              <w:bottom w:val="nil"/>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21.4 (16.6 - 27.2)</w:t>
            </w:r>
          </w:p>
        </w:tc>
        <w:tc>
          <w:tcPr>
            <w:tcW w:w="941" w:type="dxa"/>
            <w:tcBorders>
              <w:top w:val="nil"/>
              <w:left w:val="nil"/>
              <w:bottom w:val="nil"/>
              <w:right w:val="nil"/>
            </w:tcBorders>
            <w:shd w:val="clear" w:color="000000" w:fill="F2F2F2"/>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969</w:t>
            </w:r>
          </w:p>
        </w:tc>
        <w:tc>
          <w:tcPr>
            <w:tcW w:w="1741"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18.7 (16.0 - 21.7)</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324</w:t>
            </w:r>
          </w:p>
        </w:tc>
        <w:tc>
          <w:tcPr>
            <w:tcW w:w="2029" w:type="dxa"/>
            <w:tcBorders>
              <w:top w:val="nil"/>
              <w:left w:val="nil"/>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24.2 (18.4 - 31.0)</w:t>
            </w:r>
          </w:p>
        </w:tc>
      </w:tr>
      <w:tr w:rsidR="00692A01" w:rsidRPr="00AD47FD" w:rsidTr="006653EB">
        <w:trPr>
          <w:trHeight w:val="250"/>
        </w:trPr>
        <w:tc>
          <w:tcPr>
            <w:tcW w:w="1436" w:type="dxa"/>
            <w:tcBorders>
              <w:top w:val="nil"/>
              <w:left w:val="single" w:sz="8" w:space="0" w:color="auto"/>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 </w:t>
            </w:r>
          </w:p>
        </w:tc>
        <w:tc>
          <w:tcPr>
            <w:tcW w:w="1800" w:type="dxa"/>
            <w:tcBorders>
              <w:top w:val="nil"/>
              <w:left w:val="single" w:sz="4" w:space="0" w:color="auto"/>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60+</w:t>
            </w:r>
          </w:p>
        </w:tc>
        <w:tc>
          <w:tcPr>
            <w:tcW w:w="612" w:type="dxa"/>
            <w:tcBorders>
              <w:top w:val="nil"/>
              <w:left w:val="nil"/>
              <w:bottom w:val="single" w:sz="8" w:space="0" w:color="auto"/>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374</w:t>
            </w:r>
          </w:p>
        </w:tc>
        <w:tc>
          <w:tcPr>
            <w:tcW w:w="2145"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40.8 (34.9 - 47.0)</w:t>
            </w:r>
          </w:p>
        </w:tc>
        <w:tc>
          <w:tcPr>
            <w:tcW w:w="612" w:type="dxa"/>
            <w:tcBorders>
              <w:top w:val="nil"/>
              <w:left w:val="nil"/>
              <w:bottom w:val="single" w:sz="8" w:space="0" w:color="auto"/>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464</w:t>
            </w:r>
          </w:p>
        </w:tc>
        <w:tc>
          <w:tcPr>
            <w:tcW w:w="2021" w:type="dxa"/>
            <w:tcBorders>
              <w:top w:val="nil"/>
              <w:left w:val="nil"/>
              <w:bottom w:val="single" w:sz="8" w:space="0" w:color="auto"/>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18.3 (13.6 - 24.1)</w:t>
            </w:r>
          </w:p>
        </w:tc>
        <w:tc>
          <w:tcPr>
            <w:tcW w:w="941" w:type="dxa"/>
            <w:tcBorders>
              <w:top w:val="nil"/>
              <w:left w:val="nil"/>
              <w:bottom w:val="single" w:sz="8" w:space="0" w:color="auto"/>
              <w:right w:val="nil"/>
            </w:tcBorders>
            <w:shd w:val="clear" w:color="000000" w:fill="F2F2F2"/>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701</w:t>
            </w:r>
          </w:p>
        </w:tc>
        <w:tc>
          <w:tcPr>
            <w:tcW w:w="1741"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28.9 (25.4 - 32.7)</w:t>
            </w:r>
          </w:p>
        </w:tc>
        <w:tc>
          <w:tcPr>
            <w:tcW w:w="612" w:type="dxa"/>
            <w:tcBorders>
              <w:top w:val="nil"/>
              <w:left w:val="nil"/>
              <w:bottom w:val="single" w:sz="8" w:space="0" w:color="auto"/>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158</w:t>
            </w:r>
          </w:p>
        </w:tc>
        <w:tc>
          <w:tcPr>
            <w:tcW w:w="2029" w:type="dxa"/>
            <w:tcBorders>
              <w:top w:val="nil"/>
              <w:left w:val="nil"/>
              <w:bottom w:val="single" w:sz="8" w:space="0" w:color="auto"/>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38.1 (28.4 - 48.8)</w:t>
            </w:r>
          </w:p>
        </w:tc>
      </w:tr>
      <w:tr w:rsidR="00692A01" w:rsidRPr="00AD47FD" w:rsidTr="006653EB">
        <w:trPr>
          <w:trHeight w:val="238"/>
        </w:trPr>
        <w:tc>
          <w:tcPr>
            <w:tcW w:w="1436" w:type="dxa"/>
            <w:tcBorders>
              <w:top w:val="nil"/>
              <w:left w:val="single" w:sz="8" w:space="0" w:color="auto"/>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BMI</w:t>
            </w:r>
          </w:p>
        </w:tc>
        <w:tc>
          <w:tcPr>
            <w:tcW w:w="1800" w:type="dxa"/>
            <w:tcBorders>
              <w:top w:val="nil"/>
              <w:left w:val="single" w:sz="4" w:space="0" w:color="auto"/>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&lt;25</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876</w:t>
            </w:r>
          </w:p>
        </w:tc>
        <w:tc>
          <w:tcPr>
            <w:tcW w:w="2145"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5.1 (3.7 - 7.0)</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2178</w:t>
            </w:r>
          </w:p>
        </w:tc>
        <w:tc>
          <w:tcPr>
            <w:tcW w:w="2021" w:type="dxa"/>
            <w:tcBorders>
              <w:top w:val="nil"/>
              <w:left w:val="nil"/>
              <w:bottom w:val="nil"/>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4.1 (3.0 - 5.5)</w:t>
            </w:r>
          </w:p>
        </w:tc>
        <w:tc>
          <w:tcPr>
            <w:tcW w:w="941" w:type="dxa"/>
            <w:tcBorders>
              <w:top w:val="nil"/>
              <w:left w:val="nil"/>
              <w:bottom w:val="nil"/>
              <w:right w:val="nil"/>
            </w:tcBorders>
            <w:shd w:val="clear" w:color="000000" w:fill="F2F2F2"/>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3076</w:t>
            </w:r>
          </w:p>
        </w:tc>
        <w:tc>
          <w:tcPr>
            <w:tcW w:w="1741"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3.8 (3.1 - 4.7)</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386</w:t>
            </w:r>
          </w:p>
        </w:tc>
        <w:tc>
          <w:tcPr>
            <w:tcW w:w="2029" w:type="dxa"/>
            <w:tcBorders>
              <w:top w:val="nil"/>
              <w:left w:val="nil"/>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6.6 (3.9 - 10.9)</w:t>
            </w:r>
          </w:p>
        </w:tc>
      </w:tr>
      <w:tr w:rsidR="00692A01" w:rsidRPr="00AD47FD" w:rsidTr="006653EB">
        <w:trPr>
          <w:trHeight w:val="238"/>
        </w:trPr>
        <w:tc>
          <w:tcPr>
            <w:tcW w:w="1436" w:type="dxa"/>
            <w:tcBorders>
              <w:top w:val="nil"/>
              <w:left w:val="single" w:sz="8" w:space="0" w:color="auto"/>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 </w:t>
            </w:r>
          </w:p>
        </w:tc>
        <w:tc>
          <w:tcPr>
            <w:tcW w:w="1800" w:type="dxa"/>
            <w:tcBorders>
              <w:top w:val="nil"/>
              <w:left w:val="single" w:sz="4" w:space="0" w:color="auto"/>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25-30</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1270</w:t>
            </w:r>
          </w:p>
        </w:tc>
        <w:tc>
          <w:tcPr>
            <w:tcW w:w="2145"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9.2 (7.5 - 11.3)</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1382</w:t>
            </w:r>
          </w:p>
        </w:tc>
        <w:tc>
          <w:tcPr>
            <w:tcW w:w="2021" w:type="dxa"/>
            <w:tcBorders>
              <w:top w:val="nil"/>
              <w:left w:val="nil"/>
              <w:bottom w:val="nil"/>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6.7 (4.8 - 9.1)</w:t>
            </w:r>
          </w:p>
        </w:tc>
        <w:tc>
          <w:tcPr>
            <w:tcW w:w="941" w:type="dxa"/>
            <w:tcBorders>
              <w:top w:val="nil"/>
              <w:left w:val="nil"/>
              <w:bottom w:val="nil"/>
              <w:right w:val="nil"/>
            </w:tcBorders>
            <w:shd w:val="clear" w:color="000000" w:fill="F2F2F2"/>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3111</w:t>
            </w:r>
          </w:p>
        </w:tc>
        <w:tc>
          <w:tcPr>
            <w:tcW w:w="1741"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7.4 (6.5 - 8.6)</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484</w:t>
            </w:r>
          </w:p>
        </w:tc>
        <w:tc>
          <w:tcPr>
            <w:tcW w:w="2029" w:type="dxa"/>
            <w:tcBorders>
              <w:top w:val="nil"/>
              <w:left w:val="nil"/>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10.5 (7.6 - 14.2)</w:t>
            </w:r>
          </w:p>
        </w:tc>
      </w:tr>
      <w:tr w:rsidR="00692A01" w:rsidRPr="00AD47FD" w:rsidTr="006653EB">
        <w:trPr>
          <w:trHeight w:val="250"/>
        </w:trPr>
        <w:tc>
          <w:tcPr>
            <w:tcW w:w="1436" w:type="dxa"/>
            <w:tcBorders>
              <w:top w:val="nil"/>
              <w:left w:val="single" w:sz="8" w:space="0" w:color="auto"/>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 </w:t>
            </w:r>
          </w:p>
        </w:tc>
        <w:tc>
          <w:tcPr>
            <w:tcW w:w="1800" w:type="dxa"/>
            <w:tcBorders>
              <w:top w:val="nil"/>
              <w:left w:val="single" w:sz="4" w:space="0" w:color="auto"/>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30+</w:t>
            </w:r>
          </w:p>
        </w:tc>
        <w:tc>
          <w:tcPr>
            <w:tcW w:w="612" w:type="dxa"/>
            <w:tcBorders>
              <w:top w:val="nil"/>
              <w:left w:val="nil"/>
              <w:bottom w:val="single" w:sz="8" w:space="0" w:color="auto"/>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1168</w:t>
            </w:r>
          </w:p>
        </w:tc>
        <w:tc>
          <w:tcPr>
            <w:tcW w:w="2145"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18 (15.5 - 20.8)</w:t>
            </w:r>
          </w:p>
        </w:tc>
        <w:tc>
          <w:tcPr>
            <w:tcW w:w="612" w:type="dxa"/>
            <w:tcBorders>
              <w:top w:val="nil"/>
              <w:left w:val="nil"/>
              <w:bottom w:val="single" w:sz="8" w:space="0" w:color="auto"/>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1007</w:t>
            </w:r>
          </w:p>
        </w:tc>
        <w:tc>
          <w:tcPr>
            <w:tcW w:w="2021" w:type="dxa"/>
            <w:tcBorders>
              <w:top w:val="nil"/>
              <w:left w:val="nil"/>
              <w:bottom w:val="single" w:sz="8" w:space="0" w:color="auto"/>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9.3 (7.0 - 12.2)</w:t>
            </w:r>
          </w:p>
        </w:tc>
        <w:tc>
          <w:tcPr>
            <w:tcW w:w="941" w:type="dxa"/>
            <w:tcBorders>
              <w:top w:val="nil"/>
              <w:left w:val="nil"/>
              <w:bottom w:val="single" w:sz="8" w:space="0" w:color="auto"/>
              <w:right w:val="nil"/>
            </w:tcBorders>
            <w:shd w:val="clear" w:color="000000" w:fill="F2F2F2"/>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2295</w:t>
            </w:r>
          </w:p>
        </w:tc>
        <w:tc>
          <w:tcPr>
            <w:tcW w:w="1741"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10.3 (9.0 - 11.7)</w:t>
            </w:r>
          </w:p>
        </w:tc>
        <w:tc>
          <w:tcPr>
            <w:tcW w:w="612" w:type="dxa"/>
            <w:tcBorders>
              <w:top w:val="nil"/>
              <w:left w:val="nil"/>
              <w:bottom w:val="single" w:sz="8" w:space="0" w:color="auto"/>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400</w:t>
            </w:r>
          </w:p>
        </w:tc>
        <w:tc>
          <w:tcPr>
            <w:tcW w:w="2029" w:type="dxa"/>
            <w:tcBorders>
              <w:top w:val="nil"/>
              <w:left w:val="nil"/>
              <w:bottom w:val="single" w:sz="8" w:space="0" w:color="auto"/>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14.4 (10.5 - 19.3)</w:t>
            </w:r>
          </w:p>
        </w:tc>
      </w:tr>
      <w:tr w:rsidR="00692A01" w:rsidRPr="00AD47FD" w:rsidTr="006653EB">
        <w:trPr>
          <w:trHeight w:val="238"/>
        </w:trPr>
        <w:tc>
          <w:tcPr>
            <w:tcW w:w="1436" w:type="dxa"/>
            <w:tcBorders>
              <w:top w:val="nil"/>
              <w:left w:val="single" w:sz="8" w:space="0" w:color="auto"/>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Sex</w:t>
            </w:r>
          </w:p>
        </w:tc>
        <w:tc>
          <w:tcPr>
            <w:tcW w:w="1800" w:type="dxa"/>
            <w:tcBorders>
              <w:top w:val="nil"/>
              <w:left w:val="single" w:sz="4" w:space="0" w:color="auto"/>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Male</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1743</w:t>
            </w:r>
          </w:p>
        </w:tc>
        <w:tc>
          <w:tcPr>
            <w:tcW w:w="2145"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10.2 (8.6 - 12.1)</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2451</w:t>
            </w:r>
          </w:p>
        </w:tc>
        <w:tc>
          <w:tcPr>
            <w:tcW w:w="2021" w:type="dxa"/>
            <w:tcBorders>
              <w:top w:val="nil"/>
              <w:left w:val="nil"/>
              <w:bottom w:val="nil"/>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6.5 (5.1 - 8.3)</w:t>
            </w:r>
          </w:p>
        </w:tc>
        <w:tc>
          <w:tcPr>
            <w:tcW w:w="941" w:type="dxa"/>
            <w:tcBorders>
              <w:top w:val="nil"/>
              <w:left w:val="nil"/>
              <w:bottom w:val="nil"/>
              <w:right w:val="nil"/>
            </w:tcBorders>
            <w:shd w:val="clear" w:color="000000" w:fill="F2F2F2"/>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4923</w:t>
            </w:r>
          </w:p>
        </w:tc>
        <w:tc>
          <w:tcPr>
            <w:tcW w:w="1741"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7 (6.3 - 7.9)</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1207</w:t>
            </w:r>
          </w:p>
        </w:tc>
        <w:tc>
          <w:tcPr>
            <w:tcW w:w="2029" w:type="dxa"/>
            <w:tcBorders>
              <w:top w:val="nil"/>
              <w:left w:val="nil"/>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9 (7.2 - 11.2)</w:t>
            </w:r>
          </w:p>
        </w:tc>
      </w:tr>
      <w:tr w:rsidR="00692A01" w:rsidRPr="00AD47FD" w:rsidTr="006653EB">
        <w:trPr>
          <w:trHeight w:val="250"/>
        </w:trPr>
        <w:tc>
          <w:tcPr>
            <w:tcW w:w="1436" w:type="dxa"/>
            <w:tcBorders>
              <w:top w:val="nil"/>
              <w:left w:val="single" w:sz="8" w:space="0" w:color="auto"/>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 </w:t>
            </w:r>
          </w:p>
        </w:tc>
        <w:tc>
          <w:tcPr>
            <w:tcW w:w="1800" w:type="dxa"/>
            <w:tcBorders>
              <w:top w:val="nil"/>
              <w:left w:val="single" w:sz="4" w:space="0" w:color="auto"/>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Female</w:t>
            </w:r>
          </w:p>
        </w:tc>
        <w:tc>
          <w:tcPr>
            <w:tcW w:w="612" w:type="dxa"/>
            <w:tcBorders>
              <w:top w:val="nil"/>
              <w:left w:val="nil"/>
              <w:bottom w:val="single" w:sz="8" w:space="0" w:color="auto"/>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2085</w:t>
            </w:r>
          </w:p>
        </w:tc>
        <w:tc>
          <w:tcPr>
            <w:tcW w:w="2145"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13</w:t>
            </w:r>
            <w:r>
              <w:rPr>
                <w:rFonts w:asciiTheme="majorBidi" w:eastAsia="Times New Roman" w:hAnsiTheme="majorBidi" w:cstheme="majorBidi"/>
                <w:color w:val="000000"/>
                <w:sz w:val="20"/>
                <w:szCs w:val="20"/>
                <w:lang w:eastAsia="en-GB"/>
              </w:rPr>
              <w:t>.0</w:t>
            </w:r>
            <w:r w:rsidRPr="00AD47FD">
              <w:rPr>
                <w:rFonts w:asciiTheme="majorBidi" w:eastAsia="Times New Roman" w:hAnsiTheme="majorBidi" w:cstheme="majorBidi"/>
                <w:color w:val="000000"/>
                <w:sz w:val="20"/>
                <w:szCs w:val="20"/>
                <w:lang w:eastAsia="en-GB"/>
              </w:rPr>
              <w:t xml:space="preserve"> (11.4 - 14.8)</w:t>
            </w:r>
          </w:p>
        </w:tc>
        <w:tc>
          <w:tcPr>
            <w:tcW w:w="612" w:type="dxa"/>
            <w:tcBorders>
              <w:top w:val="nil"/>
              <w:left w:val="nil"/>
              <w:bottom w:val="single" w:sz="8" w:space="0" w:color="auto"/>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2266</w:t>
            </w:r>
          </w:p>
        </w:tc>
        <w:tc>
          <w:tcPr>
            <w:tcW w:w="2021" w:type="dxa"/>
            <w:tcBorders>
              <w:top w:val="nil"/>
              <w:left w:val="nil"/>
              <w:bottom w:val="single" w:sz="8" w:space="0" w:color="auto"/>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6.3 (5.0 - 7.6)</w:t>
            </w:r>
          </w:p>
        </w:tc>
        <w:tc>
          <w:tcPr>
            <w:tcW w:w="941" w:type="dxa"/>
            <w:tcBorders>
              <w:top w:val="nil"/>
              <w:left w:val="nil"/>
              <w:bottom w:val="single" w:sz="8" w:space="0" w:color="auto"/>
              <w:right w:val="nil"/>
            </w:tcBorders>
            <w:shd w:val="clear" w:color="000000" w:fill="F2F2F2"/>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3706</w:t>
            </w:r>
          </w:p>
        </w:tc>
        <w:tc>
          <w:tcPr>
            <w:tcW w:w="1741"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7.2 (6.3 - 8.3)</w:t>
            </w:r>
          </w:p>
        </w:tc>
        <w:tc>
          <w:tcPr>
            <w:tcW w:w="612" w:type="dxa"/>
            <w:tcBorders>
              <w:top w:val="nil"/>
              <w:left w:val="nil"/>
              <w:bottom w:val="single" w:sz="8" w:space="0" w:color="auto"/>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1372</w:t>
            </w:r>
          </w:p>
        </w:tc>
        <w:tc>
          <w:tcPr>
            <w:tcW w:w="2029" w:type="dxa"/>
            <w:tcBorders>
              <w:top w:val="nil"/>
              <w:left w:val="nil"/>
              <w:bottom w:val="single" w:sz="8" w:space="0" w:color="auto"/>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8.8 (7.0 - 11.0)</w:t>
            </w:r>
          </w:p>
        </w:tc>
      </w:tr>
      <w:tr w:rsidR="00692A01" w:rsidRPr="00AD47FD" w:rsidTr="006653EB">
        <w:trPr>
          <w:trHeight w:val="238"/>
        </w:trPr>
        <w:tc>
          <w:tcPr>
            <w:tcW w:w="1436" w:type="dxa"/>
            <w:tcBorders>
              <w:top w:val="nil"/>
              <w:left w:val="single" w:sz="8" w:space="0" w:color="auto"/>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Nationality</w:t>
            </w:r>
          </w:p>
        </w:tc>
        <w:tc>
          <w:tcPr>
            <w:tcW w:w="1800" w:type="dxa"/>
            <w:tcBorders>
              <w:top w:val="nil"/>
              <w:left w:val="single" w:sz="4" w:space="0" w:color="auto"/>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National</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2518</w:t>
            </w:r>
          </w:p>
        </w:tc>
        <w:tc>
          <w:tcPr>
            <w:tcW w:w="2145"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14</w:t>
            </w:r>
            <w:r>
              <w:rPr>
                <w:rFonts w:asciiTheme="majorBidi" w:eastAsia="Times New Roman" w:hAnsiTheme="majorBidi" w:cstheme="majorBidi"/>
                <w:color w:val="000000"/>
                <w:sz w:val="20"/>
                <w:szCs w:val="20"/>
                <w:lang w:eastAsia="en-GB"/>
              </w:rPr>
              <w:t>.0</w:t>
            </w:r>
            <w:r w:rsidRPr="00AD47FD">
              <w:rPr>
                <w:rFonts w:asciiTheme="majorBidi" w:eastAsia="Times New Roman" w:hAnsiTheme="majorBidi" w:cstheme="majorBidi"/>
                <w:color w:val="000000"/>
                <w:sz w:val="20"/>
                <w:szCs w:val="20"/>
                <w:lang w:eastAsia="en-GB"/>
              </w:rPr>
              <w:t xml:space="preserve"> (12.5 - 15.7)</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3771</w:t>
            </w:r>
          </w:p>
        </w:tc>
        <w:tc>
          <w:tcPr>
            <w:tcW w:w="2021" w:type="dxa"/>
            <w:tcBorders>
              <w:top w:val="nil"/>
              <w:left w:val="nil"/>
              <w:bottom w:val="nil"/>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6.3 (5.3 - 7.5)</w:t>
            </w:r>
          </w:p>
        </w:tc>
        <w:tc>
          <w:tcPr>
            <w:tcW w:w="941" w:type="dxa"/>
            <w:tcBorders>
              <w:top w:val="nil"/>
              <w:left w:val="nil"/>
              <w:bottom w:val="nil"/>
              <w:right w:val="nil"/>
            </w:tcBorders>
            <w:shd w:val="clear" w:color="000000" w:fill="F2F2F2"/>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5609</w:t>
            </w:r>
          </w:p>
        </w:tc>
        <w:tc>
          <w:tcPr>
            <w:tcW w:w="1741"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8.5 (7.8 - 9.4)</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1208</w:t>
            </w:r>
          </w:p>
        </w:tc>
        <w:tc>
          <w:tcPr>
            <w:tcW w:w="2029" w:type="dxa"/>
            <w:tcBorders>
              <w:top w:val="nil"/>
              <w:left w:val="nil"/>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12.9 (10.7 - 15.5)</w:t>
            </w:r>
          </w:p>
        </w:tc>
      </w:tr>
      <w:tr w:rsidR="00692A01" w:rsidRPr="00AD47FD" w:rsidTr="006653EB">
        <w:trPr>
          <w:trHeight w:val="250"/>
        </w:trPr>
        <w:tc>
          <w:tcPr>
            <w:tcW w:w="1436" w:type="dxa"/>
            <w:tcBorders>
              <w:top w:val="nil"/>
              <w:left w:val="single" w:sz="8" w:space="0" w:color="auto"/>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 </w:t>
            </w:r>
          </w:p>
        </w:tc>
        <w:tc>
          <w:tcPr>
            <w:tcW w:w="1800" w:type="dxa"/>
            <w:tcBorders>
              <w:top w:val="nil"/>
              <w:left w:val="single" w:sz="4" w:space="0" w:color="auto"/>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Non-national</w:t>
            </w:r>
          </w:p>
        </w:tc>
        <w:tc>
          <w:tcPr>
            <w:tcW w:w="612" w:type="dxa"/>
            <w:tcBorders>
              <w:top w:val="nil"/>
              <w:left w:val="nil"/>
              <w:bottom w:val="single" w:sz="8" w:space="0" w:color="auto"/>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1310</w:t>
            </w:r>
          </w:p>
        </w:tc>
        <w:tc>
          <w:tcPr>
            <w:tcW w:w="2145"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7.2 (5.7 - 9.2)</w:t>
            </w:r>
          </w:p>
        </w:tc>
        <w:tc>
          <w:tcPr>
            <w:tcW w:w="612" w:type="dxa"/>
            <w:tcBorders>
              <w:top w:val="nil"/>
              <w:left w:val="nil"/>
              <w:bottom w:val="single" w:sz="8" w:space="0" w:color="auto"/>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946</w:t>
            </w:r>
          </w:p>
        </w:tc>
        <w:tc>
          <w:tcPr>
            <w:tcW w:w="2021" w:type="dxa"/>
            <w:tcBorders>
              <w:top w:val="nil"/>
              <w:left w:val="nil"/>
              <w:bottom w:val="single" w:sz="8" w:space="0" w:color="auto"/>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6.7 (4.6 - 9.6)</w:t>
            </w:r>
          </w:p>
        </w:tc>
        <w:tc>
          <w:tcPr>
            <w:tcW w:w="941" w:type="dxa"/>
            <w:tcBorders>
              <w:top w:val="nil"/>
              <w:left w:val="nil"/>
              <w:bottom w:val="single" w:sz="8" w:space="0" w:color="auto"/>
              <w:right w:val="nil"/>
            </w:tcBorders>
            <w:shd w:val="clear" w:color="000000" w:fill="F2F2F2"/>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3020</w:t>
            </w:r>
          </w:p>
        </w:tc>
        <w:tc>
          <w:tcPr>
            <w:tcW w:w="1741"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4.5 (3.7 - 5.4)</w:t>
            </w:r>
          </w:p>
        </w:tc>
        <w:tc>
          <w:tcPr>
            <w:tcW w:w="612" w:type="dxa"/>
            <w:tcBorders>
              <w:top w:val="nil"/>
              <w:left w:val="nil"/>
              <w:bottom w:val="single" w:sz="8" w:space="0" w:color="auto"/>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1371</w:t>
            </w:r>
          </w:p>
        </w:tc>
        <w:tc>
          <w:tcPr>
            <w:tcW w:w="2029" w:type="dxa"/>
            <w:tcBorders>
              <w:top w:val="nil"/>
              <w:left w:val="nil"/>
              <w:bottom w:val="single" w:sz="8" w:space="0" w:color="auto"/>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5.4 (4.0 - 7.2)</w:t>
            </w:r>
          </w:p>
        </w:tc>
      </w:tr>
      <w:tr w:rsidR="00692A01" w:rsidRPr="00AD47FD" w:rsidTr="006653EB">
        <w:trPr>
          <w:trHeight w:val="238"/>
        </w:trPr>
        <w:tc>
          <w:tcPr>
            <w:tcW w:w="1436" w:type="dxa"/>
            <w:tcBorders>
              <w:top w:val="nil"/>
              <w:left w:val="single" w:sz="8" w:space="0" w:color="auto"/>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Wealth</w:t>
            </w:r>
          </w:p>
        </w:tc>
        <w:tc>
          <w:tcPr>
            <w:tcW w:w="1800" w:type="dxa"/>
            <w:tcBorders>
              <w:top w:val="nil"/>
              <w:left w:val="single" w:sz="4" w:space="0" w:color="auto"/>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Poorest</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1183</w:t>
            </w:r>
          </w:p>
        </w:tc>
        <w:tc>
          <w:tcPr>
            <w:tcW w:w="2145"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9.4 (7.1 - 10.9)</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1813</w:t>
            </w:r>
          </w:p>
        </w:tc>
        <w:tc>
          <w:tcPr>
            <w:tcW w:w="2021" w:type="dxa"/>
            <w:tcBorders>
              <w:top w:val="nil"/>
              <w:left w:val="nil"/>
              <w:bottom w:val="nil"/>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5.2 (3.7 - 7.4)</w:t>
            </w:r>
          </w:p>
        </w:tc>
        <w:tc>
          <w:tcPr>
            <w:tcW w:w="941" w:type="dxa"/>
            <w:tcBorders>
              <w:top w:val="nil"/>
              <w:left w:val="nil"/>
              <w:bottom w:val="nil"/>
              <w:right w:val="nil"/>
            </w:tcBorders>
            <w:shd w:val="clear" w:color="000000" w:fill="F2F2F2"/>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3446</w:t>
            </w:r>
          </w:p>
        </w:tc>
        <w:tc>
          <w:tcPr>
            <w:tcW w:w="1741"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5.6 (4.8 - 6.6)</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795</w:t>
            </w:r>
          </w:p>
        </w:tc>
        <w:tc>
          <w:tcPr>
            <w:tcW w:w="2029" w:type="dxa"/>
            <w:tcBorders>
              <w:top w:val="nil"/>
              <w:left w:val="nil"/>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6.4 (4.3 - 9.2)</w:t>
            </w:r>
          </w:p>
        </w:tc>
      </w:tr>
      <w:tr w:rsidR="00692A01" w:rsidRPr="00AD47FD" w:rsidTr="006653EB">
        <w:trPr>
          <w:trHeight w:val="238"/>
        </w:trPr>
        <w:tc>
          <w:tcPr>
            <w:tcW w:w="1436" w:type="dxa"/>
            <w:tcBorders>
              <w:top w:val="nil"/>
              <w:left w:val="single" w:sz="8" w:space="0" w:color="auto"/>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 </w:t>
            </w:r>
          </w:p>
        </w:tc>
        <w:tc>
          <w:tcPr>
            <w:tcW w:w="1800" w:type="dxa"/>
            <w:tcBorders>
              <w:top w:val="nil"/>
              <w:left w:val="single" w:sz="4" w:space="0" w:color="auto"/>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Average</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1159</w:t>
            </w:r>
          </w:p>
        </w:tc>
        <w:tc>
          <w:tcPr>
            <w:tcW w:w="2145"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11.6 (19.9 - 14.4)</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1830</w:t>
            </w:r>
          </w:p>
        </w:tc>
        <w:tc>
          <w:tcPr>
            <w:tcW w:w="2021" w:type="dxa"/>
            <w:tcBorders>
              <w:top w:val="nil"/>
              <w:left w:val="nil"/>
              <w:bottom w:val="nil"/>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6.2 (4.6 - 8.1)</w:t>
            </w:r>
          </w:p>
        </w:tc>
        <w:tc>
          <w:tcPr>
            <w:tcW w:w="941" w:type="dxa"/>
            <w:tcBorders>
              <w:top w:val="nil"/>
              <w:left w:val="nil"/>
              <w:bottom w:val="nil"/>
              <w:right w:val="nil"/>
            </w:tcBorders>
            <w:shd w:val="clear" w:color="000000" w:fill="F2F2F2"/>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3468</w:t>
            </w:r>
          </w:p>
        </w:tc>
        <w:tc>
          <w:tcPr>
            <w:tcW w:w="1741"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8.2 (7.2 - 9.2)</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934</w:t>
            </w:r>
          </w:p>
        </w:tc>
        <w:tc>
          <w:tcPr>
            <w:tcW w:w="2029" w:type="dxa"/>
            <w:tcBorders>
              <w:top w:val="nil"/>
              <w:left w:val="nil"/>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6.8 (5.1 - 8.9)</w:t>
            </w:r>
          </w:p>
        </w:tc>
      </w:tr>
      <w:tr w:rsidR="00692A01" w:rsidRPr="00AD47FD" w:rsidTr="006653EB">
        <w:trPr>
          <w:trHeight w:val="250"/>
        </w:trPr>
        <w:tc>
          <w:tcPr>
            <w:tcW w:w="1436" w:type="dxa"/>
            <w:tcBorders>
              <w:top w:val="nil"/>
              <w:left w:val="single" w:sz="8" w:space="0" w:color="auto"/>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 </w:t>
            </w:r>
          </w:p>
        </w:tc>
        <w:tc>
          <w:tcPr>
            <w:tcW w:w="1800" w:type="dxa"/>
            <w:tcBorders>
              <w:top w:val="nil"/>
              <w:left w:val="single" w:sz="4" w:space="0" w:color="auto"/>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Richest</w:t>
            </w:r>
          </w:p>
        </w:tc>
        <w:tc>
          <w:tcPr>
            <w:tcW w:w="612" w:type="dxa"/>
            <w:tcBorders>
              <w:top w:val="nil"/>
              <w:left w:val="nil"/>
              <w:bottom w:val="single" w:sz="8" w:space="0" w:color="auto"/>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1487</w:t>
            </w:r>
          </w:p>
        </w:tc>
        <w:tc>
          <w:tcPr>
            <w:tcW w:w="2145"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13.1 (11.8 - 16.1)</w:t>
            </w:r>
          </w:p>
        </w:tc>
        <w:tc>
          <w:tcPr>
            <w:tcW w:w="612" w:type="dxa"/>
            <w:tcBorders>
              <w:top w:val="nil"/>
              <w:left w:val="nil"/>
              <w:bottom w:val="single" w:sz="8" w:space="0" w:color="auto"/>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1822</w:t>
            </w:r>
          </w:p>
        </w:tc>
        <w:tc>
          <w:tcPr>
            <w:tcW w:w="2021" w:type="dxa"/>
            <w:tcBorders>
              <w:top w:val="nil"/>
              <w:left w:val="nil"/>
              <w:bottom w:val="single" w:sz="8" w:space="0" w:color="auto"/>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7.1 (5.6 - 9.1)</w:t>
            </w:r>
          </w:p>
        </w:tc>
        <w:tc>
          <w:tcPr>
            <w:tcW w:w="941" w:type="dxa"/>
            <w:tcBorders>
              <w:top w:val="nil"/>
              <w:left w:val="nil"/>
              <w:bottom w:val="single" w:sz="8" w:space="0" w:color="auto"/>
              <w:right w:val="nil"/>
            </w:tcBorders>
            <w:shd w:val="clear" w:color="000000" w:fill="F2F2F2"/>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1716</w:t>
            </w:r>
          </w:p>
        </w:tc>
        <w:tc>
          <w:tcPr>
            <w:tcW w:w="1741"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8.0 (6.7 - 9.6)</w:t>
            </w:r>
          </w:p>
        </w:tc>
        <w:tc>
          <w:tcPr>
            <w:tcW w:w="612" w:type="dxa"/>
            <w:tcBorders>
              <w:top w:val="nil"/>
              <w:left w:val="nil"/>
              <w:bottom w:val="single" w:sz="8" w:space="0" w:color="auto"/>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851</w:t>
            </w:r>
          </w:p>
        </w:tc>
        <w:tc>
          <w:tcPr>
            <w:tcW w:w="2029" w:type="dxa"/>
            <w:tcBorders>
              <w:top w:val="nil"/>
              <w:left w:val="nil"/>
              <w:bottom w:val="single" w:sz="8" w:space="0" w:color="auto"/>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13.6 (10.9 - 16.8)</w:t>
            </w:r>
          </w:p>
        </w:tc>
      </w:tr>
      <w:tr w:rsidR="00692A01" w:rsidRPr="00AD47FD" w:rsidTr="006653EB">
        <w:trPr>
          <w:trHeight w:val="238"/>
        </w:trPr>
        <w:tc>
          <w:tcPr>
            <w:tcW w:w="1436" w:type="dxa"/>
            <w:tcBorders>
              <w:top w:val="nil"/>
              <w:left w:val="single" w:sz="8" w:space="0" w:color="auto"/>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Education</w:t>
            </w:r>
          </w:p>
        </w:tc>
        <w:tc>
          <w:tcPr>
            <w:tcW w:w="1800" w:type="dxa"/>
            <w:tcBorders>
              <w:top w:val="nil"/>
              <w:left w:val="single" w:sz="4" w:space="0" w:color="auto"/>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Primary or less</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525</w:t>
            </w:r>
          </w:p>
        </w:tc>
        <w:tc>
          <w:tcPr>
            <w:tcW w:w="2145"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31.5 (26.8 - 36.9)</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2214</w:t>
            </w:r>
          </w:p>
        </w:tc>
        <w:tc>
          <w:tcPr>
            <w:tcW w:w="2021" w:type="dxa"/>
            <w:tcBorders>
              <w:top w:val="nil"/>
              <w:left w:val="nil"/>
              <w:bottom w:val="nil"/>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10.7 (8.9 - 12.8)</w:t>
            </w:r>
          </w:p>
        </w:tc>
        <w:tc>
          <w:tcPr>
            <w:tcW w:w="941" w:type="dxa"/>
            <w:tcBorders>
              <w:top w:val="nil"/>
              <w:left w:val="nil"/>
              <w:bottom w:val="nil"/>
              <w:right w:val="nil"/>
            </w:tcBorders>
            <w:shd w:val="clear" w:color="000000" w:fill="F2F2F2"/>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3320</w:t>
            </w:r>
          </w:p>
        </w:tc>
        <w:tc>
          <w:tcPr>
            <w:tcW w:w="1741"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11.6 (10.4 - 12.9)</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473</w:t>
            </w:r>
          </w:p>
        </w:tc>
        <w:tc>
          <w:tcPr>
            <w:tcW w:w="2029" w:type="dxa"/>
            <w:tcBorders>
              <w:top w:val="nil"/>
              <w:left w:val="nil"/>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25.1 (20.4 - 30.4)</w:t>
            </w:r>
          </w:p>
        </w:tc>
      </w:tr>
      <w:tr w:rsidR="00692A01" w:rsidRPr="00AD47FD" w:rsidTr="006653EB">
        <w:trPr>
          <w:trHeight w:val="238"/>
        </w:trPr>
        <w:tc>
          <w:tcPr>
            <w:tcW w:w="1436" w:type="dxa"/>
            <w:tcBorders>
              <w:top w:val="nil"/>
              <w:left w:val="single" w:sz="8" w:space="0" w:color="auto"/>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 </w:t>
            </w:r>
          </w:p>
        </w:tc>
        <w:tc>
          <w:tcPr>
            <w:tcW w:w="1800" w:type="dxa"/>
            <w:tcBorders>
              <w:top w:val="nil"/>
              <w:left w:val="single" w:sz="4" w:space="0" w:color="auto"/>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Secondary</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1942</w:t>
            </w:r>
          </w:p>
        </w:tc>
        <w:tc>
          <w:tcPr>
            <w:tcW w:w="2145"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9.7 (8.1 - 11.4)</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1825</w:t>
            </w:r>
          </w:p>
        </w:tc>
        <w:tc>
          <w:tcPr>
            <w:tcW w:w="2021" w:type="dxa"/>
            <w:tcBorders>
              <w:top w:val="nil"/>
              <w:left w:val="nil"/>
              <w:bottom w:val="nil"/>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2.2 (1.4 - 3.3)</w:t>
            </w:r>
          </w:p>
        </w:tc>
        <w:tc>
          <w:tcPr>
            <w:tcW w:w="941" w:type="dxa"/>
            <w:tcBorders>
              <w:top w:val="nil"/>
              <w:left w:val="nil"/>
              <w:bottom w:val="nil"/>
              <w:right w:val="nil"/>
            </w:tcBorders>
            <w:shd w:val="clear" w:color="000000" w:fill="F2F2F2"/>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3338</w:t>
            </w:r>
          </w:p>
        </w:tc>
        <w:tc>
          <w:tcPr>
            <w:tcW w:w="1741"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4.2 (3.5 - 5.0)</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852</w:t>
            </w:r>
          </w:p>
        </w:tc>
        <w:tc>
          <w:tcPr>
            <w:tcW w:w="2029" w:type="dxa"/>
            <w:tcBorders>
              <w:top w:val="nil"/>
              <w:left w:val="nil"/>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6.3 (4.6 - 8.5)</w:t>
            </w:r>
          </w:p>
        </w:tc>
      </w:tr>
      <w:tr w:rsidR="00692A01" w:rsidRPr="00AD47FD" w:rsidTr="006653EB">
        <w:trPr>
          <w:trHeight w:val="418"/>
        </w:trPr>
        <w:tc>
          <w:tcPr>
            <w:tcW w:w="1436" w:type="dxa"/>
            <w:tcBorders>
              <w:top w:val="nil"/>
              <w:left w:val="single" w:sz="8" w:space="0" w:color="auto"/>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 </w:t>
            </w:r>
          </w:p>
        </w:tc>
        <w:tc>
          <w:tcPr>
            <w:tcW w:w="1800" w:type="dxa"/>
            <w:tcBorders>
              <w:top w:val="nil"/>
              <w:left w:val="single" w:sz="4" w:space="0" w:color="auto"/>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Higher than secondary</w:t>
            </w:r>
          </w:p>
        </w:tc>
        <w:tc>
          <w:tcPr>
            <w:tcW w:w="612" w:type="dxa"/>
            <w:tcBorders>
              <w:top w:val="nil"/>
              <w:left w:val="nil"/>
              <w:bottom w:val="single" w:sz="8" w:space="0" w:color="auto"/>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1361</w:t>
            </w:r>
          </w:p>
        </w:tc>
        <w:tc>
          <w:tcPr>
            <w:tcW w:w="2145"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7</w:t>
            </w:r>
            <w:r>
              <w:rPr>
                <w:rFonts w:asciiTheme="majorBidi" w:eastAsia="Times New Roman" w:hAnsiTheme="majorBidi" w:cstheme="majorBidi"/>
                <w:color w:val="000000"/>
                <w:sz w:val="20"/>
                <w:szCs w:val="20"/>
                <w:lang w:eastAsia="en-GB"/>
              </w:rPr>
              <w:t>.0</w:t>
            </w:r>
            <w:r w:rsidRPr="00AD47FD">
              <w:rPr>
                <w:rFonts w:asciiTheme="majorBidi" w:eastAsia="Times New Roman" w:hAnsiTheme="majorBidi" w:cstheme="majorBidi"/>
                <w:color w:val="000000"/>
                <w:sz w:val="20"/>
                <w:szCs w:val="20"/>
                <w:lang w:eastAsia="en-GB"/>
              </w:rPr>
              <w:t xml:space="preserve"> (5.7 - 8.6)</w:t>
            </w:r>
          </w:p>
        </w:tc>
        <w:tc>
          <w:tcPr>
            <w:tcW w:w="612" w:type="dxa"/>
            <w:tcBorders>
              <w:top w:val="nil"/>
              <w:left w:val="nil"/>
              <w:bottom w:val="single" w:sz="8" w:space="0" w:color="auto"/>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678</w:t>
            </w:r>
          </w:p>
        </w:tc>
        <w:tc>
          <w:tcPr>
            <w:tcW w:w="2021" w:type="dxa"/>
            <w:tcBorders>
              <w:top w:val="nil"/>
              <w:left w:val="nil"/>
              <w:bottom w:val="single" w:sz="8" w:space="0" w:color="auto"/>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6.3 (4.0 - 9.8)</w:t>
            </w:r>
          </w:p>
        </w:tc>
        <w:tc>
          <w:tcPr>
            <w:tcW w:w="941" w:type="dxa"/>
            <w:tcBorders>
              <w:top w:val="nil"/>
              <w:left w:val="nil"/>
              <w:bottom w:val="single" w:sz="8" w:space="0" w:color="auto"/>
              <w:right w:val="nil"/>
            </w:tcBorders>
            <w:shd w:val="clear" w:color="000000" w:fill="F2F2F2"/>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1971</w:t>
            </w:r>
          </w:p>
        </w:tc>
        <w:tc>
          <w:tcPr>
            <w:tcW w:w="1741"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4.5 (3.5 - 5.7)</w:t>
            </w:r>
          </w:p>
        </w:tc>
        <w:tc>
          <w:tcPr>
            <w:tcW w:w="612" w:type="dxa"/>
            <w:tcBorders>
              <w:top w:val="nil"/>
              <w:left w:val="nil"/>
              <w:bottom w:val="single" w:sz="8" w:space="0" w:color="auto"/>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1255</w:t>
            </w:r>
          </w:p>
        </w:tc>
        <w:tc>
          <w:tcPr>
            <w:tcW w:w="2029" w:type="dxa"/>
            <w:tcBorders>
              <w:top w:val="nil"/>
              <w:left w:val="nil"/>
              <w:bottom w:val="single" w:sz="8" w:space="0" w:color="auto"/>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4.7 (3.3 - 6.5)</w:t>
            </w:r>
          </w:p>
        </w:tc>
      </w:tr>
      <w:tr w:rsidR="00692A01" w:rsidRPr="00AD47FD" w:rsidTr="006653EB">
        <w:trPr>
          <w:trHeight w:val="406"/>
        </w:trPr>
        <w:tc>
          <w:tcPr>
            <w:tcW w:w="1436" w:type="dxa"/>
            <w:tcBorders>
              <w:top w:val="nil"/>
              <w:left w:val="single" w:sz="8" w:space="0" w:color="auto"/>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Marital status</w:t>
            </w:r>
          </w:p>
        </w:tc>
        <w:tc>
          <w:tcPr>
            <w:tcW w:w="1800" w:type="dxa"/>
            <w:tcBorders>
              <w:top w:val="nil"/>
              <w:left w:val="single" w:sz="4" w:space="0" w:color="auto"/>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Currently married</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2714</w:t>
            </w:r>
          </w:p>
        </w:tc>
        <w:tc>
          <w:tcPr>
            <w:tcW w:w="2145"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12.4 (11.0- 14.0)</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3080</w:t>
            </w:r>
          </w:p>
        </w:tc>
        <w:tc>
          <w:tcPr>
            <w:tcW w:w="2021" w:type="dxa"/>
            <w:tcBorders>
              <w:top w:val="nil"/>
              <w:left w:val="nil"/>
              <w:bottom w:val="nil"/>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5.4 (4.0 - 7.2)</w:t>
            </w:r>
          </w:p>
        </w:tc>
        <w:tc>
          <w:tcPr>
            <w:tcW w:w="941" w:type="dxa"/>
            <w:tcBorders>
              <w:top w:val="nil"/>
              <w:left w:val="nil"/>
              <w:bottom w:val="nil"/>
              <w:right w:val="nil"/>
            </w:tcBorders>
            <w:shd w:val="clear" w:color="000000" w:fill="F2F2F2"/>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6261</w:t>
            </w:r>
          </w:p>
        </w:tc>
        <w:tc>
          <w:tcPr>
            <w:tcW w:w="1741"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4.7 (3.8 - 5.7)</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2025</w:t>
            </w:r>
          </w:p>
        </w:tc>
        <w:tc>
          <w:tcPr>
            <w:tcW w:w="2029" w:type="dxa"/>
            <w:tcBorders>
              <w:top w:val="nil"/>
              <w:left w:val="nil"/>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8.6 (7.2 - 10.3)</w:t>
            </w:r>
          </w:p>
        </w:tc>
      </w:tr>
      <w:tr w:rsidR="00692A01" w:rsidRPr="00AD47FD" w:rsidTr="006653EB">
        <w:trPr>
          <w:trHeight w:val="418"/>
        </w:trPr>
        <w:tc>
          <w:tcPr>
            <w:tcW w:w="1436" w:type="dxa"/>
            <w:tcBorders>
              <w:top w:val="nil"/>
              <w:left w:val="single" w:sz="8" w:space="0" w:color="auto"/>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 </w:t>
            </w:r>
          </w:p>
        </w:tc>
        <w:tc>
          <w:tcPr>
            <w:tcW w:w="1800" w:type="dxa"/>
            <w:tcBorders>
              <w:top w:val="nil"/>
              <w:left w:val="single" w:sz="4" w:space="0" w:color="auto"/>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Not currently married</w:t>
            </w:r>
          </w:p>
        </w:tc>
        <w:tc>
          <w:tcPr>
            <w:tcW w:w="612" w:type="dxa"/>
            <w:tcBorders>
              <w:top w:val="nil"/>
              <w:left w:val="nil"/>
              <w:bottom w:val="single" w:sz="8" w:space="0" w:color="auto"/>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1114</w:t>
            </w:r>
          </w:p>
        </w:tc>
        <w:tc>
          <w:tcPr>
            <w:tcW w:w="2145"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10.1 (8.2 - 12.3)</w:t>
            </w:r>
          </w:p>
        </w:tc>
        <w:tc>
          <w:tcPr>
            <w:tcW w:w="612" w:type="dxa"/>
            <w:tcBorders>
              <w:top w:val="nil"/>
              <w:left w:val="nil"/>
              <w:bottom w:val="single" w:sz="8" w:space="0" w:color="auto"/>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1637</w:t>
            </w:r>
          </w:p>
        </w:tc>
        <w:tc>
          <w:tcPr>
            <w:tcW w:w="2021" w:type="dxa"/>
            <w:tcBorders>
              <w:top w:val="nil"/>
              <w:left w:val="nil"/>
              <w:bottom w:val="single" w:sz="8" w:space="0" w:color="auto"/>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6.9 (5.7 - 8.5)</w:t>
            </w:r>
          </w:p>
        </w:tc>
        <w:tc>
          <w:tcPr>
            <w:tcW w:w="941" w:type="dxa"/>
            <w:tcBorders>
              <w:top w:val="nil"/>
              <w:left w:val="nil"/>
              <w:bottom w:val="single" w:sz="8" w:space="0" w:color="auto"/>
              <w:right w:val="nil"/>
            </w:tcBorders>
            <w:shd w:val="clear" w:color="000000" w:fill="F2F2F2"/>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2368</w:t>
            </w:r>
          </w:p>
        </w:tc>
        <w:tc>
          <w:tcPr>
            <w:tcW w:w="1741"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8.0 (7.3 - 8.9)</w:t>
            </w:r>
          </w:p>
        </w:tc>
        <w:tc>
          <w:tcPr>
            <w:tcW w:w="612" w:type="dxa"/>
            <w:tcBorders>
              <w:top w:val="nil"/>
              <w:left w:val="nil"/>
              <w:bottom w:val="single" w:sz="8" w:space="0" w:color="auto"/>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554</w:t>
            </w:r>
          </w:p>
        </w:tc>
        <w:tc>
          <w:tcPr>
            <w:tcW w:w="2029" w:type="dxa"/>
            <w:tcBorders>
              <w:top w:val="nil"/>
              <w:left w:val="nil"/>
              <w:bottom w:val="single" w:sz="8" w:space="0" w:color="auto"/>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9.8 (6.9- 13.8)</w:t>
            </w:r>
          </w:p>
        </w:tc>
      </w:tr>
      <w:tr w:rsidR="00692A01" w:rsidRPr="00AD47FD" w:rsidTr="006653EB">
        <w:trPr>
          <w:trHeight w:val="238"/>
        </w:trPr>
        <w:tc>
          <w:tcPr>
            <w:tcW w:w="1436" w:type="dxa"/>
            <w:tcBorders>
              <w:top w:val="nil"/>
              <w:left w:val="single" w:sz="8" w:space="0" w:color="auto"/>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Residence</w:t>
            </w:r>
          </w:p>
        </w:tc>
        <w:tc>
          <w:tcPr>
            <w:tcW w:w="1800" w:type="dxa"/>
            <w:tcBorders>
              <w:top w:val="nil"/>
              <w:left w:val="single" w:sz="4" w:space="0" w:color="auto"/>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Urban</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 </w:t>
            </w:r>
          </w:p>
        </w:tc>
        <w:tc>
          <w:tcPr>
            <w:tcW w:w="2145"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N/A</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2739</w:t>
            </w:r>
          </w:p>
        </w:tc>
        <w:tc>
          <w:tcPr>
            <w:tcW w:w="2021" w:type="dxa"/>
            <w:tcBorders>
              <w:top w:val="nil"/>
              <w:left w:val="nil"/>
              <w:bottom w:val="nil"/>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7</w:t>
            </w:r>
            <w:r>
              <w:rPr>
                <w:rFonts w:asciiTheme="majorBidi" w:eastAsia="Times New Roman" w:hAnsiTheme="majorBidi" w:cstheme="majorBidi"/>
                <w:color w:val="000000"/>
                <w:sz w:val="20"/>
                <w:szCs w:val="20"/>
                <w:lang w:eastAsia="en-GB"/>
              </w:rPr>
              <w:t>.0</w:t>
            </w:r>
            <w:r w:rsidRPr="00AD47FD">
              <w:rPr>
                <w:rFonts w:asciiTheme="majorBidi" w:eastAsia="Times New Roman" w:hAnsiTheme="majorBidi" w:cstheme="majorBidi"/>
                <w:color w:val="000000"/>
                <w:sz w:val="20"/>
                <w:szCs w:val="20"/>
                <w:lang w:eastAsia="en-GB"/>
              </w:rPr>
              <w:t xml:space="preserve"> (5.8 - 8.5)</w:t>
            </w:r>
          </w:p>
        </w:tc>
        <w:tc>
          <w:tcPr>
            <w:tcW w:w="941" w:type="dxa"/>
            <w:tcBorders>
              <w:top w:val="nil"/>
              <w:left w:val="nil"/>
              <w:bottom w:val="nil"/>
              <w:right w:val="nil"/>
            </w:tcBorders>
            <w:shd w:val="clear" w:color="000000" w:fill="F2F2F2"/>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7031</w:t>
            </w:r>
          </w:p>
        </w:tc>
        <w:tc>
          <w:tcPr>
            <w:tcW w:w="1741"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7.0 (6.4 - 7.7)</w:t>
            </w:r>
          </w:p>
        </w:tc>
        <w:tc>
          <w:tcPr>
            <w:tcW w:w="612" w:type="dxa"/>
            <w:tcBorders>
              <w:top w:val="nil"/>
              <w:left w:val="nil"/>
              <w:bottom w:val="nil"/>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1251</w:t>
            </w:r>
          </w:p>
        </w:tc>
        <w:tc>
          <w:tcPr>
            <w:tcW w:w="2029" w:type="dxa"/>
            <w:tcBorders>
              <w:top w:val="nil"/>
              <w:left w:val="nil"/>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7.2 (5.5 - 9.4)</w:t>
            </w:r>
          </w:p>
        </w:tc>
      </w:tr>
      <w:tr w:rsidR="00692A01" w:rsidRPr="00AD47FD" w:rsidTr="006653EB">
        <w:trPr>
          <w:trHeight w:val="250"/>
        </w:trPr>
        <w:tc>
          <w:tcPr>
            <w:tcW w:w="1436" w:type="dxa"/>
            <w:tcBorders>
              <w:top w:val="nil"/>
              <w:left w:val="single" w:sz="8" w:space="0" w:color="auto"/>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 </w:t>
            </w:r>
          </w:p>
        </w:tc>
        <w:tc>
          <w:tcPr>
            <w:tcW w:w="1800" w:type="dxa"/>
            <w:tcBorders>
              <w:top w:val="nil"/>
              <w:left w:val="single" w:sz="4" w:space="0" w:color="auto"/>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Rural</w:t>
            </w:r>
          </w:p>
        </w:tc>
        <w:tc>
          <w:tcPr>
            <w:tcW w:w="612" w:type="dxa"/>
            <w:tcBorders>
              <w:top w:val="nil"/>
              <w:left w:val="nil"/>
              <w:bottom w:val="single" w:sz="8" w:space="0" w:color="auto"/>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 </w:t>
            </w:r>
          </w:p>
        </w:tc>
        <w:tc>
          <w:tcPr>
            <w:tcW w:w="2145"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N/A</w:t>
            </w:r>
          </w:p>
        </w:tc>
        <w:tc>
          <w:tcPr>
            <w:tcW w:w="612" w:type="dxa"/>
            <w:tcBorders>
              <w:top w:val="nil"/>
              <w:left w:val="nil"/>
              <w:bottom w:val="single" w:sz="8" w:space="0" w:color="auto"/>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1978</w:t>
            </w:r>
          </w:p>
        </w:tc>
        <w:tc>
          <w:tcPr>
            <w:tcW w:w="2021" w:type="dxa"/>
            <w:tcBorders>
              <w:top w:val="nil"/>
              <w:left w:val="nil"/>
              <w:bottom w:val="single" w:sz="8" w:space="0" w:color="auto"/>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4.4 (3.5 - 5.6)</w:t>
            </w:r>
          </w:p>
        </w:tc>
        <w:tc>
          <w:tcPr>
            <w:tcW w:w="941" w:type="dxa"/>
            <w:tcBorders>
              <w:top w:val="nil"/>
              <w:left w:val="nil"/>
              <w:bottom w:val="single" w:sz="8" w:space="0" w:color="auto"/>
              <w:right w:val="nil"/>
            </w:tcBorders>
            <w:shd w:val="clear" w:color="000000" w:fill="F2F2F2"/>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1598</w:t>
            </w:r>
          </w:p>
        </w:tc>
        <w:tc>
          <w:tcPr>
            <w:tcW w:w="1741"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7.5 (6.0 - 9.2)</w:t>
            </w:r>
          </w:p>
        </w:tc>
        <w:tc>
          <w:tcPr>
            <w:tcW w:w="612" w:type="dxa"/>
            <w:tcBorders>
              <w:top w:val="nil"/>
              <w:left w:val="nil"/>
              <w:bottom w:val="single" w:sz="8" w:space="0" w:color="auto"/>
              <w:right w:val="nil"/>
            </w:tcBorders>
            <w:shd w:val="clear" w:color="000000" w:fill="F2F2F2"/>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1328</w:t>
            </w:r>
          </w:p>
        </w:tc>
        <w:tc>
          <w:tcPr>
            <w:tcW w:w="2029" w:type="dxa"/>
            <w:tcBorders>
              <w:top w:val="nil"/>
              <w:left w:val="nil"/>
              <w:bottom w:val="single" w:sz="8" w:space="0" w:color="auto"/>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10.5 (8.7 - 12.8)</w:t>
            </w:r>
          </w:p>
        </w:tc>
      </w:tr>
    </w:tbl>
    <w:p w:rsidR="00692A01" w:rsidRPr="00AD47FD" w:rsidRDefault="00692A01" w:rsidP="00692A01">
      <w:pPr>
        <w:jc w:val="both"/>
        <w:rPr>
          <w:rFonts w:asciiTheme="majorBidi" w:eastAsia="Times New Roman" w:hAnsiTheme="majorBidi" w:cstheme="majorBidi"/>
          <w:color w:val="000000"/>
          <w:sz w:val="20"/>
          <w:szCs w:val="20"/>
          <w:lang w:eastAsia="en-GB"/>
        </w:rPr>
      </w:pPr>
    </w:p>
    <w:p w:rsidR="00692A01" w:rsidRPr="00AD47FD" w:rsidRDefault="00692A01" w:rsidP="00692A01">
      <w:pPr>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 xml:space="preserve">Footnote: Residence status not included in the Kuwait dataset. Diabetes prevalence was adjusted for age and sex according to the WHO Population Statistics. </w:t>
      </w:r>
    </w:p>
    <w:p w:rsidR="00692A01" w:rsidRPr="00AD47FD" w:rsidRDefault="00692A01" w:rsidP="00692A01">
      <w:pPr>
        <w:rPr>
          <w:rFonts w:asciiTheme="majorBidi" w:hAnsiTheme="majorBidi" w:cstheme="majorBidi"/>
          <w:b/>
          <w:bCs/>
          <w:sz w:val="24"/>
          <w:szCs w:val="24"/>
        </w:rPr>
      </w:pPr>
      <w:r w:rsidRPr="00AD47FD">
        <w:rPr>
          <w:rFonts w:asciiTheme="majorBidi" w:hAnsiTheme="majorBidi" w:cstheme="majorBidi"/>
          <w:b/>
          <w:bCs/>
          <w:sz w:val="24"/>
          <w:szCs w:val="24"/>
        </w:rPr>
        <w:lastRenderedPageBreak/>
        <w:t>Table 2: Effect of correlates on self-reported diabetes: Odds ratio in multivariable analysis</w:t>
      </w:r>
    </w:p>
    <w:tbl>
      <w:tblPr>
        <w:tblW w:w="12039" w:type="dxa"/>
        <w:tblLook w:val="04A0" w:firstRow="1" w:lastRow="0" w:firstColumn="1" w:lastColumn="0" w:noHBand="0" w:noVBand="1"/>
      </w:tblPr>
      <w:tblGrid>
        <w:gridCol w:w="1940"/>
        <w:gridCol w:w="1841"/>
        <w:gridCol w:w="2021"/>
        <w:gridCol w:w="2126"/>
        <w:gridCol w:w="2127"/>
        <w:gridCol w:w="1984"/>
      </w:tblGrid>
      <w:tr w:rsidR="00692A01" w:rsidRPr="00AD47FD" w:rsidTr="006653EB">
        <w:trPr>
          <w:trHeight w:val="283"/>
        </w:trPr>
        <w:tc>
          <w:tcPr>
            <w:tcW w:w="3781"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 Category</w:t>
            </w:r>
          </w:p>
        </w:tc>
        <w:tc>
          <w:tcPr>
            <w:tcW w:w="2021"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Kuwait</w:t>
            </w:r>
          </w:p>
        </w:tc>
        <w:tc>
          <w:tcPr>
            <w:tcW w:w="212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Oman</w:t>
            </w:r>
          </w:p>
        </w:tc>
        <w:tc>
          <w:tcPr>
            <w:tcW w:w="2127"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Saudi</w:t>
            </w:r>
          </w:p>
        </w:tc>
        <w:tc>
          <w:tcPr>
            <w:tcW w:w="1984"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UAE</w:t>
            </w:r>
          </w:p>
        </w:tc>
      </w:tr>
      <w:tr w:rsidR="00692A01" w:rsidRPr="00AD47FD" w:rsidTr="006653EB">
        <w:trPr>
          <w:trHeight w:val="300"/>
        </w:trPr>
        <w:tc>
          <w:tcPr>
            <w:tcW w:w="19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b/>
                <w:bCs/>
                <w:color w:val="000000"/>
                <w:sz w:val="20"/>
                <w:szCs w:val="20"/>
                <w:lang w:eastAsia="en-GB"/>
              </w:rPr>
              <w:t xml:space="preserve">Age (OR) </w:t>
            </w:r>
            <w:r w:rsidRPr="00AD47FD">
              <w:rPr>
                <w:rFonts w:asciiTheme="majorBidi" w:eastAsia="Times New Roman" w:hAnsiTheme="majorBidi" w:cstheme="majorBidi"/>
                <w:color w:val="000000"/>
                <w:sz w:val="20"/>
                <w:szCs w:val="20"/>
                <w:lang w:eastAsia="en-GB"/>
              </w:rPr>
              <w:t>18-29 as reference</w:t>
            </w:r>
          </w:p>
        </w:tc>
        <w:tc>
          <w:tcPr>
            <w:tcW w:w="1841" w:type="dxa"/>
            <w:tcBorders>
              <w:top w:val="single" w:sz="8" w:space="0" w:color="auto"/>
              <w:left w:val="single" w:sz="4" w:space="0" w:color="auto"/>
              <w:bottom w:val="nil"/>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30-39</w:t>
            </w:r>
          </w:p>
        </w:tc>
        <w:tc>
          <w:tcPr>
            <w:tcW w:w="2021" w:type="dxa"/>
            <w:tcBorders>
              <w:top w:val="nil"/>
              <w:left w:val="single" w:sz="4" w:space="0" w:color="auto"/>
              <w:bottom w:val="nil"/>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1.8 (1.0 - 3.4)</w:t>
            </w:r>
          </w:p>
        </w:tc>
        <w:tc>
          <w:tcPr>
            <w:tcW w:w="2126" w:type="dxa"/>
            <w:tcBorders>
              <w:top w:val="nil"/>
              <w:left w:val="single" w:sz="4" w:space="0" w:color="auto"/>
              <w:bottom w:val="nil"/>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 xml:space="preserve">3.9 (0.9 - 15.8) </w:t>
            </w:r>
          </w:p>
        </w:tc>
        <w:tc>
          <w:tcPr>
            <w:tcW w:w="2127" w:type="dxa"/>
            <w:tcBorders>
              <w:top w:val="nil"/>
              <w:left w:val="single" w:sz="4" w:space="0" w:color="auto"/>
              <w:bottom w:val="nil"/>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4.4 (2.3 - 8.4)***</w:t>
            </w:r>
          </w:p>
        </w:tc>
        <w:tc>
          <w:tcPr>
            <w:tcW w:w="1984" w:type="dxa"/>
            <w:tcBorders>
              <w:top w:val="nil"/>
              <w:left w:val="single" w:sz="4" w:space="0" w:color="auto"/>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4.6 (1.7 - 11.9)***</w:t>
            </w:r>
          </w:p>
        </w:tc>
      </w:tr>
      <w:tr w:rsidR="00692A01" w:rsidRPr="00AD47FD" w:rsidTr="006653EB">
        <w:trPr>
          <w:trHeight w:val="300"/>
        </w:trPr>
        <w:tc>
          <w:tcPr>
            <w:tcW w:w="1940" w:type="dxa"/>
            <w:vMerge/>
            <w:tcBorders>
              <w:top w:val="nil"/>
              <w:left w:val="single" w:sz="8" w:space="0" w:color="auto"/>
              <w:bottom w:val="single" w:sz="8" w:space="0" w:color="000000"/>
              <w:right w:val="single" w:sz="4" w:space="0" w:color="auto"/>
            </w:tcBorders>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p>
        </w:tc>
        <w:tc>
          <w:tcPr>
            <w:tcW w:w="1841" w:type="dxa"/>
            <w:tcBorders>
              <w:top w:val="nil"/>
              <w:left w:val="single" w:sz="4" w:space="0" w:color="auto"/>
              <w:bottom w:val="nil"/>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40-49</w:t>
            </w:r>
          </w:p>
        </w:tc>
        <w:tc>
          <w:tcPr>
            <w:tcW w:w="2021" w:type="dxa"/>
            <w:tcBorders>
              <w:top w:val="nil"/>
              <w:left w:val="single" w:sz="4" w:space="0" w:color="auto"/>
              <w:bottom w:val="nil"/>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6.3 (3.7 - 10.6)***</w:t>
            </w:r>
          </w:p>
        </w:tc>
        <w:tc>
          <w:tcPr>
            <w:tcW w:w="2126" w:type="dxa"/>
            <w:tcBorders>
              <w:top w:val="nil"/>
              <w:left w:val="single" w:sz="4" w:space="0" w:color="auto"/>
              <w:bottom w:val="nil"/>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18.0 (4.7 - 69.8)***</w:t>
            </w:r>
          </w:p>
        </w:tc>
        <w:tc>
          <w:tcPr>
            <w:tcW w:w="2127" w:type="dxa"/>
            <w:tcBorders>
              <w:top w:val="nil"/>
              <w:left w:val="single" w:sz="4" w:space="0" w:color="auto"/>
              <w:bottom w:val="nil"/>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13.1 (6.9 - 24.8)***</w:t>
            </w:r>
          </w:p>
        </w:tc>
        <w:tc>
          <w:tcPr>
            <w:tcW w:w="1984" w:type="dxa"/>
            <w:tcBorders>
              <w:top w:val="nil"/>
              <w:left w:val="single" w:sz="4" w:space="0" w:color="auto"/>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7.9 (3.4 - 18.3)***</w:t>
            </w:r>
          </w:p>
        </w:tc>
      </w:tr>
      <w:tr w:rsidR="00692A01" w:rsidRPr="00AD47FD" w:rsidTr="006653EB">
        <w:trPr>
          <w:trHeight w:val="300"/>
        </w:trPr>
        <w:tc>
          <w:tcPr>
            <w:tcW w:w="1940" w:type="dxa"/>
            <w:vMerge/>
            <w:tcBorders>
              <w:top w:val="nil"/>
              <w:left w:val="single" w:sz="8" w:space="0" w:color="auto"/>
              <w:bottom w:val="single" w:sz="8" w:space="0" w:color="000000"/>
              <w:right w:val="single" w:sz="4" w:space="0" w:color="auto"/>
            </w:tcBorders>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p>
        </w:tc>
        <w:tc>
          <w:tcPr>
            <w:tcW w:w="1841" w:type="dxa"/>
            <w:tcBorders>
              <w:top w:val="nil"/>
              <w:left w:val="single" w:sz="4" w:space="0" w:color="auto"/>
              <w:bottom w:val="nil"/>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50-59</w:t>
            </w:r>
          </w:p>
        </w:tc>
        <w:tc>
          <w:tcPr>
            <w:tcW w:w="2021" w:type="dxa"/>
            <w:tcBorders>
              <w:top w:val="nil"/>
              <w:left w:val="single" w:sz="4" w:space="0" w:color="auto"/>
              <w:bottom w:val="nil"/>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15.8 (9.4 - 26.7)***</w:t>
            </w:r>
          </w:p>
        </w:tc>
        <w:tc>
          <w:tcPr>
            <w:tcW w:w="2126" w:type="dxa"/>
            <w:tcBorders>
              <w:top w:val="nil"/>
              <w:left w:val="single" w:sz="4" w:space="0" w:color="auto"/>
              <w:bottom w:val="nil"/>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56.2  (15.3 - 206.3)*</w:t>
            </w:r>
          </w:p>
        </w:tc>
        <w:tc>
          <w:tcPr>
            <w:tcW w:w="2127" w:type="dxa"/>
            <w:tcBorders>
              <w:top w:val="nil"/>
              <w:left w:val="single" w:sz="4" w:space="0" w:color="auto"/>
              <w:bottom w:val="nil"/>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36.2 (19.3 - 68.0)***</w:t>
            </w:r>
          </w:p>
        </w:tc>
        <w:tc>
          <w:tcPr>
            <w:tcW w:w="1984" w:type="dxa"/>
            <w:tcBorders>
              <w:top w:val="nil"/>
              <w:left w:val="single" w:sz="4" w:space="0" w:color="auto"/>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28.0 (11.8 - 66.4)***</w:t>
            </w:r>
          </w:p>
        </w:tc>
      </w:tr>
      <w:tr w:rsidR="00692A01" w:rsidRPr="00AD47FD" w:rsidTr="006653EB">
        <w:trPr>
          <w:trHeight w:val="315"/>
        </w:trPr>
        <w:tc>
          <w:tcPr>
            <w:tcW w:w="1940" w:type="dxa"/>
            <w:vMerge/>
            <w:tcBorders>
              <w:top w:val="nil"/>
              <w:left w:val="single" w:sz="8" w:space="0" w:color="auto"/>
              <w:bottom w:val="single" w:sz="8" w:space="0" w:color="000000"/>
              <w:right w:val="single" w:sz="4" w:space="0" w:color="auto"/>
            </w:tcBorders>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p>
        </w:tc>
        <w:tc>
          <w:tcPr>
            <w:tcW w:w="1841" w:type="dxa"/>
            <w:tcBorders>
              <w:top w:val="nil"/>
              <w:left w:val="single" w:sz="4" w:space="0" w:color="auto"/>
              <w:bottom w:val="single" w:sz="8" w:space="0" w:color="auto"/>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60+</w:t>
            </w:r>
          </w:p>
        </w:tc>
        <w:tc>
          <w:tcPr>
            <w:tcW w:w="2021" w:type="dxa"/>
            <w:tcBorders>
              <w:top w:val="nil"/>
              <w:left w:val="single" w:sz="4" w:space="0" w:color="auto"/>
              <w:bottom w:val="single" w:sz="8" w:space="0" w:color="auto"/>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28.8 (17.1 - 48.5)***</w:t>
            </w:r>
          </w:p>
        </w:tc>
        <w:tc>
          <w:tcPr>
            <w:tcW w:w="2126" w:type="dxa"/>
            <w:tcBorders>
              <w:top w:val="nil"/>
              <w:left w:val="single" w:sz="4" w:space="0" w:color="auto"/>
              <w:bottom w:val="single" w:sz="8" w:space="0" w:color="auto"/>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47.4 (13.7 - 163.4)***</w:t>
            </w:r>
          </w:p>
        </w:tc>
        <w:tc>
          <w:tcPr>
            <w:tcW w:w="2127" w:type="dxa"/>
            <w:tcBorders>
              <w:top w:val="nil"/>
              <w:left w:val="single" w:sz="4" w:space="0" w:color="auto"/>
              <w:bottom w:val="single" w:sz="8" w:space="0" w:color="auto"/>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58.3 (31.4 - 108.1)***</w:t>
            </w:r>
          </w:p>
        </w:tc>
        <w:tc>
          <w:tcPr>
            <w:tcW w:w="1984" w:type="dxa"/>
            <w:tcBorders>
              <w:top w:val="nil"/>
              <w:left w:val="single" w:sz="4" w:space="0" w:color="auto"/>
              <w:bottom w:val="single" w:sz="8" w:space="0" w:color="auto"/>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43.3(18.7 - 100.3)***</w:t>
            </w:r>
          </w:p>
        </w:tc>
      </w:tr>
      <w:tr w:rsidR="00692A01" w:rsidRPr="00AD47FD" w:rsidTr="006653EB">
        <w:trPr>
          <w:trHeight w:val="480"/>
        </w:trPr>
        <w:tc>
          <w:tcPr>
            <w:tcW w:w="1940" w:type="dxa"/>
            <w:vMerge w:val="restart"/>
            <w:tcBorders>
              <w:top w:val="nil"/>
              <w:left w:val="single" w:sz="8" w:space="0" w:color="auto"/>
              <w:bottom w:val="single" w:sz="8" w:space="0" w:color="000000"/>
              <w:right w:val="single" w:sz="4" w:space="0" w:color="auto"/>
            </w:tcBorders>
            <w:shd w:val="clear" w:color="auto" w:fill="auto"/>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b/>
                <w:bCs/>
                <w:color w:val="000000"/>
                <w:sz w:val="20"/>
                <w:szCs w:val="20"/>
                <w:lang w:eastAsia="en-GB"/>
              </w:rPr>
              <w:t>BMI (OR)</w:t>
            </w:r>
            <w:r w:rsidRPr="00AD47FD">
              <w:rPr>
                <w:rFonts w:asciiTheme="majorBidi" w:eastAsia="Times New Roman" w:hAnsiTheme="majorBidi" w:cstheme="majorBidi"/>
                <w:color w:val="000000"/>
                <w:sz w:val="20"/>
                <w:szCs w:val="20"/>
                <w:lang w:eastAsia="en-GB"/>
              </w:rPr>
              <w:br/>
              <w:t>&lt;25 as reference</w:t>
            </w:r>
          </w:p>
        </w:tc>
        <w:tc>
          <w:tcPr>
            <w:tcW w:w="1841" w:type="dxa"/>
            <w:tcBorders>
              <w:top w:val="nil"/>
              <w:left w:val="single" w:sz="4" w:space="0" w:color="auto"/>
              <w:bottom w:val="nil"/>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25-30</w:t>
            </w:r>
          </w:p>
        </w:tc>
        <w:tc>
          <w:tcPr>
            <w:tcW w:w="2021" w:type="dxa"/>
            <w:tcBorders>
              <w:top w:val="nil"/>
              <w:left w:val="single" w:sz="4" w:space="0" w:color="auto"/>
              <w:bottom w:val="nil"/>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1.8 (1.2 - 2.7)**</w:t>
            </w:r>
          </w:p>
        </w:tc>
        <w:tc>
          <w:tcPr>
            <w:tcW w:w="2126" w:type="dxa"/>
            <w:tcBorders>
              <w:top w:val="nil"/>
              <w:left w:val="single" w:sz="4" w:space="0" w:color="auto"/>
              <w:bottom w:val="nil"/>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1.5  (1.0 - 2.5)</w:t>
            </w:r>
          </w:p>
        </w:tc>
        <w:tc>
          <w:tcPr>
            <w:tcW w:w="2127" w:type="dxa"/>
            <w:tcBorders>
              <w:top w:val="nil"/>
              <w:left w:val="single" w:sz="4" w:space="0" w:color="auto"/>
              <w:bottom w:val="nil"/>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1.9 (1.4 - 2.5)***</w:t>
            </w:r>
          </w:p>
        </w:tc>
        <w:tc>
          <w:tcPr>
            <w:tcW w:w="1984" w:type="dxa"/>
            <w:tcBorders>
              <w:top w:val="nil"/>
              <w:left w:val="single" w:sz="4" w:space="0" w:color="auto"/>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1.6 (0.8 - 3.2)</w:t>
            </w:r>
          </w:p>
        </w:tc>
      </w:tr>
      <w:tr w:rsidR="00692A01" w:rsidRPr="00AD47FD" w:rsidTr="006653EB">
        <w:trPr>
          <w:trHeight w:val="315"/>
        </w:trPr>
        <w:tc>
          <w:tcPr>
            <w:tcW w:w="1940" w:type="dxa"/>
            <w:vMerge/>
            <w:tcBorders>
              <w:top w:val="nil"/>
              <w:left w:val="single" w:sz="8" w:space="0" w:color="auto"/>
              <w:bottom w:val="single" w:sz="8" w:space="0" w:color="000000"/>
              <w:right w:val="single" w:sz="4" w:space="0" w:color="auto"/>
            </w:tcBorders>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p>
        </w:tc>
        <w:tc>
          <w:tcPr>
            <w:tcW w:w="1841" w:type="dxa"/>
            <w:tcBorders>
              <w:top w:val="nil"/>
              <w:left w:val="single" w:sz="4" w:space="0" w:color="auto"/>
              <w:bottom w:val="single" w:sz="8" w:space="0" w:color="auto"/>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30+</w:t>
            </w:r>
          </w:p>
        </w:tc>
        <w:tc>
          <w:tcPr>
            <w:tcW w:w="2021" w:type="dxa"/>
            <w:tcBorders>
              <w:top w:val="nil"/>
              <w:left w:val="single" w:sz="4" w:space="0" w:color="auto"/>
              <w:bottom w:val="single" w:sz="8" w:space="0" w:color="auto"/>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3.7 (2.5 - 5.5)*</w:t>
            </w:r>
          </w:p>
        </w:tc>
        <w:tc>
          <w:tcPr>
            <w:tcW w:w="2126" w:type="dxa"/>
            <w:tcBorders>
              <w:top w:val="nil"/>
              <w:left w:val="single" w:sz="4" w:space="0" w:color="auto"/>
              <w:bottom w:val="single" w:sz="8" w:space="0" w:color="auto"/>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2.3  (1.4 - 3.5)***</w:t>
            </w:r>
          </w:p>
        </w:tc>
        <w:tc>
          <w:tcPr>
            <w:tcW w:w="2127" w:type="dxa"/>
            <w:tcBorders>
              <w:top w:val="nil"/>
              <w:left w:val="single" w:sz="4" w:space="0" w:color="auto"/>
              <w:bottom w:val="single" w:sz="8" w:space="0" w:color="auto"/>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2.5 (1.9 - 3.3)***</w:t>
            </w:r>
          </w:p>
        </w:tc>
        <w:tc>
          <w:tcPr>
            <w:tcW w:w="1984" w:type="dxa"/>
            <w:tcBorders>
              <w:top w:val="nil"/>
              <w:left w:val="single" w:sz="4" w:space="0" w:color="auto"/>
              <w:bottom w:val="single" w:sz="8" w:space="0" w:color="auto"/>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2.0 (1.0 - 3.9)*</w:t>
            </w:r>
          </w:p>
        </w:tc>
      </w:tr>
      <w:tr w:rsidR="00692A01" w:rsidRPr="00AD47FD" w:rsidTr="006653EB">
        <w:trPr>
          <w:trHeight w:val="555"/>
        </w:trPr>
        <w:tc>
          <w:tcPr>
            <w:tcW w:w="1940" w:type="dxa"/>
            <w:tcBorders>
              <w:top w:val="nil"/>
              <w:left w:val="single" w:sz="8" w:space="0" w:color="auto"/>
              <w:bottom w:val="single" w:sz="8" w:space="0" w:color="000000"/>
              <w:right w:val="single" w:sz="4" w:space="0" w:color="auto"/>
            </w:tcBorders>
            <w:shd w:val="clear" w:color="auto" w:fill="auto"/>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b/>
                <w:bCs/>
                <w:color w:val="000000"/>
                <w:sz w:val="20"/>
                <w:szCs w:val="20"/>
                <w:lang w:eastAsia="en-GB"/>
              </w:rPr>
              <w:t>Sex (OR)</w:t>
            </w:r>
            <w:r w:rsidRPr="00AD47FD">
              <w:rPr>
                <w:rFonts w:asciiTheme="majorBidi" w:eastAsia="Times New Roman" w:hAnsiTheme="majorBidi" w:cstheme="majorBidi"/>
                <w:color w:val="000000"/>
                <w:sz w:val="20"/>
                <w:szCs w:val="20"/>
                <w:lang w:eastAsia="en-GB"/>
              </w:rPr>
              <w:br/>
              <w:t>Male as reference</w:t>
            </w:r>
          </w:p>
        </w:tc>
        <w:tc>
          <w:tcPr>
            <w:tcW w:w="1841" w:type="dxa"/>
            <w:tcBorders>
              <w:top w:val="nil"/>
              <w:left w:val="single" w:sz="4" w:space="0" w:color="auto"/>
              <w:bottom w:val="single" w:sz="8" w:space="0" w:color="auto"/>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Female</w:t>
            </w:r>
          </w:p>
        </w:tc>
        <w:tc>
          <w:tcPr>
            <w:tcW w:w="2021" w:type="dxa"/>
            <w:tcBorders>
              <w:top w:val="nil"/>
              <w:left w:val="single" w:sz="4" w:space="0" w:color="auto"/>
              <w:bottom w:val="single" w:sz="8" w:space="0" w:color="auto"/>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1.2 (0.9 - 1.5)</w:t>
            </w:r>
          </w:p>
        </w:tc>
        <w:tc>
          <w:tcPr>
            <w:tcW w:w="2126" w:type="dxa"/>
            <w:tcBorders>
              <w:top w:val="nil"/>
              <w:left w:val="single" w:sz="4" w:space="0" w:color="auto"/>
              <w:bottom w:val="single" w:sz="8" w:space="0" w:color="auto"/>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0.9 (0.7 - 1.3)</w:t>
            </w:r>
          </w:p>
        </w:tc>
        <w:tc>
          <w:tcPr>
            <w:tcW w:w="2127" w:type="dxa"/>
            <w:tcBorders>
              <w:top w:val="nil"/>
              <w:left w:val="single" w:sz="4" w:space="0" w:color="auto"/>
              <w:bottom w:val="single" w:sz="8" w:space="0" w:color="auto"/>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0.9 (0.7 - 1.1)</w:t>
            </w:r>
          </w:p>
        </w:tc>
        <w:tc>
          <w:tcPr>
            <w:tcW w:w="1984" w:type="dxa"/>
            <w:tcBorders>
              <w:top w:val="nil"/>
              <w:left w:val="single" w:sz="4" w:space="0" w:color="auto"/>
              <w:bottom w:val="single" w:sz="8" w:space="0" w:color="auto"/>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1.0 (0.7 - 1.5)</w:t>
            </w:r>
          </w:p>
        </w:tc>
      </w:tr>
      <w:tr w:rsidR="00692A01" w:rsidRPr="00AD47FD" w:rsidTr="006653EB">
        <w:trPr>
          <w:trHeight w:val="510"/>
        </w:trPr>
        <w:tc>
          <w:tcPr>
            <w:tcW w:w="19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b/>
                <w:bCs/>
                <w:color w:val="000000"/>
                <w:sz w:val="20"/>
                <w:szCs w:val="20"/>
                <w:lang w:eastAsia="en-GB"/>
              </w:rPr>
              <w:t>Wealth (OR)</w:t>
            </w:r>
            <w:r w:rsidRPr="00AD47FD">
              <w:rPr>
                <w:rFonts w:asciiTheme="majorBidi" w:eastAsia="Times New Roman" w:hAnsiTheme="majorBidi" w:cstheme="majorBidi"/>
                <w:color w:val="000000"/>
                <w:sz w:val="20"/>
                <w:szCs w:val="20"/>
                <w:lang w:eastAsia="en-GB"/>
              </w:rPr>
              <w:br/>
              <w:t>Poorest</w:t>
            </w:r>
          </w:p>
        </w:tc>
        <w:tc>
          <w:tcPr>
            <w:tcW w:w="1841" w:type="dxa"/>
            <w:tcBorders>
              <w:top w:val="nil"/>
              <w:left w:val="single" w:sz="4" w:space="0" w:color="auto"/>
              <w:bottom w:val="nil"/>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Average</w:t>
            </w:r>
          </w:p>
        </w:tc>
        <w:tc>
          <w:tcPr>
            <w:tcW w:w="2021" w:type="dxa"/>
            <w:tcBorders>
              <w:top w:val="nil"/>
              <w:left w:val="single" w:sz="4" w:space="0" w:color="auto"/>
              <w:bottom w:val="nil"/>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0.9 (0.6 - 1.4)</w:t>
            </w:r>
          </w:p>
        </w:tc>
        <w:tc>
          <w:tcPr>
            <w:tcW w:w="2126" w:type="dxa"/>
            <w:tcBorders>
              <w:top w:val="nil"/>
              <w:left w:val="single" w:sz="4" w:space="0" w:color="auto"/>
              <w:bottom w:val="nil"/>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1.1 (0.7 - 1.8)</w:t>
            </w:r>
          </w:p>
        </w:tc>
        <w:tc>
          <w:tcPr>
            <w:tcW w:w="2127" w:type="dxa"/>
            <w:tcBorders>
              <w:top w:val="nil"/>
              <w:left w:val="single" w:sz="4" w:space="0" w:color="auto"/>
              <w:bottom w:val="nil"/>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1.2 (1.0 - 1.5)*</w:t>
            </w:r>
          </w:p>
        </w:tc>
        <w:tc>
          <w:tcPr>
            <w:tcW w:w="1984" w:type="dxa"/>
            <w:tcBorders>
              <w:top w:val="nil"/>
              <w:left w:val="single" w:sz="4" w:space="0" w:color="auto"/>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0.9 (0.5 - 1.5)</w:t>
            </w:r>
          </w:p>
        </w:tc>
      </w:tr>
      <w:tr w:rsidR="00692A01" w:rsidRPr="00AD47FD" w:rsidTr="006653EB">
        <w:trPr>
          <w:trHeight w:val="315"/>
        </w:trPr>
        <w:tc>
          <w:tcPr>
            <w:tcW w:w="1940" w:type="dxa"/>
            <w:vMerge/>
            <w:tcBorders>
              <w:top w:val="single" w:sz="8" w:space="0" w:color="auto"/>
              <w:left w:val="single" w:sz="8" w:space="0" w:color="auto"/>
              <w:bottom w:val="single" w:sz="8" w:space="0" w:color="000000"/>
              <w:right w:val="single" w:sz="4" w:space="0" w:color="auto"/>
            </w:tcBorders>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p>
        </w:tc>
        <w:tc>
          <w:tcPr>
            <w:tcW w:w="1841" w:type="dxa"/>
            <w:tcBorders>
              <w:top w:val="nil"/>
              <w:left w:val="single" w:sz="4" w:space="0" w:color="auto"/>
              <w:bottom w:val="single" w:sz="8" w:space="0" w:color="auto"/>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Richest</w:t>
            </w:r>
          </w:p>
        </w:tc>
        <w:tc>
          <w:tcPr>
            <w:tcW w:w="2021" w:type="dxa"/>
            <w:tcBorders>
              <w:top w:val="nil"/>
              <w:left w:val="single" w:sz="4" w:space="0" w:color="auto"/>
              <w:bottom w:val="single" w:sz="8" w:space="0" w:color="auto"/>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0.9 (0.6 - 1.4)</w:t>
            </w:r>
          </w:p>
        </w:tc>
        <w:tc>
          <w:tcPr>
            <w:tcW w:w="2126" w:type="dxa"/>
            <w:tcBorders>
              <w:top w:val="nil"/>
              <w:left w:val="single" w:sz="4" w:space="0" w:color="auto"/>
              <w:bottom w:val="single" w:sz="8" w:space="0" w:color="auto"/>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1.2 (0.7 - 2.0)</w:t>
            </w:r>
          </w:p>
        </w:tc>
        <w:tc>
          <w:tcPr>
            <w:tcW w:w="2127" w:type="dxa"/>
            <w:tcBorders>
              <w:top w:val="nil"/>
              <w:left w:val="single" w:sz="4" w:space="0" w:color="auto"/>
              <w:bottom w:val="single" w:sz="8" w:space="0" w:color="auto"/>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1.2 (0.9 - 1.5)</w:t>
            </w:r>
          </w:p>
        </w:tc>
        <w:tc>
          <w:tcPr>
            <w:tcW w:w="1984" w:type="dxa"/>
            <w:tcBorders>
              <w:top w:val="nil"/>
              <w:left w:val="single" w:sz="4" w:space="0" w:color="auto"/>
              <w:bottom w:val="single" w:sz="8" w:space="0" w:color="auto"/>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1.4 (0.8 - 2.3)</w:t>
            </w:r>
          </w:p>
        </w:tc>
      </w:tr>
      <w:tr w:rsidR="00692A01" w:rsidRPr="00AD47FD" w:rsidTr="006653EB">
        <w:trPr>
          <w:trHeight w:val="66"/>
        </w:trPr>
        <w:tc>
          <w:tcPr>
            <w:tcW w:w="1940" w:type="dxa"/>
            <w:vMerge w:val="restart"/>
            <w:tcBorders>
              <w:top w:val="nil"/>
              <w:left w:val="single" w:sz="8" w:space="0" w:color="auto"/>
              <w:bottom w:val="single" w:sz="8" w:space="0" w:color="000000"/>
              <w:right w:val="single" w:sz="4" w:space="0" w:color="auto"/>
            </w:tcBorders>
            <w:shd w:val="clear" w:color="auto" w:fill="auto"/>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b/>
                <w:bCs/>
                <w:color w:val="000000"/>
                <w:sz w:val="20"/>
                <w:szCs w:val="20"/>
                <w:lang w:eastAsia="en-GB"/>
              </w:rPr>
              <w:t>Education (OR)</w:t>
            </w:r>
            <w:r w:rsidRPr="00AD47FD">
              <w:rPr>
                <w:rFonts w:asciiTheme="majorBidi" w:eastAsia="Times New Roman" w:hAnsiTheme="majorBidi" w:cstheme="majorBidi"/>
                <w:color w:val="000000"/>
                <w:sz w:val="20"/>
                <w:szCs w:val="20"/>
                <w:lang w:eastAsia="en-GB"/>
              </w:rPr>
              <w:br/>
              <w:t>Primary education  as reference</w:t>
            </w:r>
          </w:p>
        </w:tc>
        <w:tc>
          <w:tcPr>
            <w:tcW w:w="1841" w:type="dxa"/>
            <w:tcBorders>
              <w:top w:val="nil"/>
              <w:left w:val="single" w:sz="4" w:space="0" w:color="auto"/>
              <w:bottom w:val="nil"/>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Secondary</w:t>
            </w:r>
          </w:p>
        </w:tc>
        <w:tc>
          <w:tcPr>
            <w:tcW w:w="2021" w:type="dxa"/>
            <w:tcBorders>
              <w:top w:val="nil"/>
              <w:left w:val="single" w:sz="4" w:space="0" w:color="auto"/>
              <w:bottom w:val="nil"/>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0.2 (0.2 - 0.3)***</w:t>
            </w:r>
          </w:p>
        </w:tc>
        <w:tc>
          <w:tcPr>
            <w:tcW w:w="2126" w:type="dxa"/>
            <w:tcBorders>
              <w:top w:val="nil"/>
              <w:left w:val="single" w:sz="4" w:space="0" w:color="auto"/>
              <w:bottom w:val="nil"/>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0.2 (0.1 - 0.3)***</w:t>
            </w:r>
          </w:p>
        </w:tc>
        <w:tc>
          <w:tcPr>
            <w:tcW w:w="2127" w:type="dxa"/>
            <w:tcBorders>
              <w:top w:val="nil"/>
              <w:left w:val="single" w:sz="4" w:space="0" w:color="auto"/>
              <w:bottom w:val="nil"/>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0.3 (0.3 - 0.4)***</w:t>
            </w:r>
          </w:p>
        </w:tc>
        <w:tc>
          <w:tcPr>
            <w:tcW w:w="1984" w:type="dxa"/>
            <w:tcBorders>
              <w:top w:val="nil"/>
              <w:left w:val="single" w:sz="4" w:space="0" w:color="auto"/>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0.2 (0.1 - 0.3)***</w:t>
            </w:r>
          </w:p>
        </w:tc>
      </w:tr>
      <w:tr w:rsidR="00692A01" w:rsidRPr="00AD47FD" w:rsidTr="006653EB">
        <w:trPr>
          <w:trHeight w:val="525"/>
        </w:trPr>
        <w:tc>
          <w:tcPr>
            <w:tcW w:w="1940" w:type="dxa"/>
            <w:vMerge/>
            <w:tcBorders>
              <w:top w:val="nil"/>
              <w:left w:val="single" w:sz="8" w:space="0" w:color="auto"/>
              <w:bottom w:val="single" w:sz="8" w:space="0" w:color="000000"/>
              <w:right w:val="single" w:sz="4" w:space="0" w:color="auto"/>
            </w:tcBorders>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p>
        </w:tc>
        <w:tc>
          <w:tcPr>
            <w:tcW w:w="1841" w:type="dxa"/>
            <w:tcBorders>
              <w:top w:val="nil"/>
              <w:left w:val="single" w:sz="4" w:space="0" w:color="auto"/>
              <w:bottom w:val="single" w:sz="8" w:space="0" w:color="auto"/>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Higher than secondary</w:t>
            </w:r>
          </w:p>
        </w:tc>
        <w:tc>
          <w:tcPr>
            <w:tcW w:w="2021" w:type="dxa"/>
            <w:tcBorders>
              <w:top w:val="nil"/>
              <w:left w:val="single" w:sz="4" w:space="0" w:color="auto"/>
              <w:bottom w:val="single" w:sz="8" w:space="0" w:color="auto"/>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0.2 (0.1 - 0.2)***</w:t>
            </w:r>
          </w:p>
        </w:tc>
        <w:tc>
          <w:tcPr>
            <w:tcW w:w="2126" w:type="dxa"/>
            <w:tcBorders>
              <w:top w:val="nil"/>
              <w:left w:val="single" w:sz="4" w:space="0" w:color="auto"/>
              <w:bottom w:val="single" w:sz="8" w:space="0" w:color="auto"/>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0.4 (0.3 - 0.7)**</w:t>
            </w:r>
          </w:p>
        </w:tc>
        <w:tc>
          <w:tcPr>
            <w:tcW w:w="2127" w:type="dxa"/>
            <w:tcBorders>
              <w:top w:val="nil"/>
              <w:left w:val="single" w:sz="4" w:space="0" w:color="auto"/>
              <w:bottom w:val="single" w:sz="8" w:space="0" w:color="auto"/>
              <w:right w:val="single" w:sz="4"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0.3 (0.3 - 0.5)***</w:t>
            </w:r>
          </w:p>
        </w:tc>
        <w:tc>
          <w:tcPr>
            <w:tcW w:w="1984" w:type="dxa"/>
            <w:tcBorders>
              <w:top w:val="nil"/>
              <w:left w:val="single" w:sz="4" w:space="0" w:color="auto"/>
              <w:bottom w:val="single" w:sz="8" w:space="0" w:color="auto"/>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0.2 (0.1 - 0.3)***</w:t>
            </w:r>
          </w:p>
        </w:tc>
      </w:tr>
    </w:tbl>
    <w:p w:rsidR="00692A01" w:rsidRPr="00AD47FD" w:rsidRDefault="00692A01" w:rsidP="00692A01">
      <w:pPr>
        <w:spacing w:after="0" w:line="240" w:lineRule="auto"/>
        <w:rPr>
          <w:rFonts w:asciiTheme="majorBidi" w:eastAsia="Times New Roman" w:hAnsiTheme="majorBidi" w:cstheme="majorBidi"/>
          <w:b/>
          <w:bCs/>
          <w:color w:val="000000"/>
          <w:sz w:val="20"/>
          <w:szCs w:val="20"/>
          <w:lang w:eastAsia="en-GB"/>
        </w:rPr>
      </w:pPr>
    </w:p>
    <w:p w:rsidR="00692A01" w:rsidRPr="00AD47FD" w:rsidRDefault="00692A01" w:rsidP="00692A01">
      <w:pPr>
        <w:spacing w:after="0" w:line="240" w:lineRule="auto"/>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Footnote: All models adjusted for nationality, residence (governorate in Kuwait), and marital status.</w:t>
      </w:r>
    </w:p>
    <w:p w:rsidR="00692A01" w:rsidRPr="00AD47FD" w:rsidRDefault="00692A01" w:rsidP="00692A01">
      <w:pPr>
        <w:spacing w:after="0" w:line="240" w:lineRule="auto"/>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 xml:space="preserve"> * = p&lt;0.05; ** = P&lt;0.01; *** = P&lt;0.001; NS = Not Significant</w:t>
      </w:r>
    </w:p>
    <w:p w:rsidR="00692A01" w:rsidRPr="00AD47FD" w:rsidRDefault="00692A01" w:rsidP="00692A01">
      <w:pPr>
        <w:spacing w:after="0" w:line="240" w:lineRule="auto"/>
        <w:rPr>
          <w:rFonts w:asciiTheme="majorBidi" w:eastAsia="Times New Roman" w:hAnsiTheme="majorBidi" w:cstheme="majorBidi"/>
          <w:b/>
          <w:bCs/>
          <w:color w:val="000000"/>
          <w:sz w:val="20"/>
          <w:szCs w:val="20"/>
          <w:lang w:eastAsia="en-GB"/>
        </w:rPr>
      </w:pPr>
    </w:p>
    <w:p w:rsidR="00692A01" w:rsidRDefault="00692A01" w:rsidP="00692A01">
      <w:pPr>
        <w:rPr>
          <w:rFonts w:asciiTheme="majorBidi" w:eastAsia="Times New Roman" w:hAnsiTheme="majorBidi" w:cstheme="majorBidi"/>
          <w:b/>
          <w:bCs/>
          <w:color w:val="000000"/>
          <w:sz w:val="20"/>
          <w:szCs w:val="20"/>
          <w:lang w:eastAsia="en-GB"/>
        </w:rPr>
        <w:sectPr w:rsidR="00692A01" w:rsidSect="001E6222">
          <w:pgSz w:w="16838" w:h="11906" w:orient="landscape"/>
          <w:pgMar w:top="1440" w:right="1440" w:bottom="1440" w:left="1440" w:header="709" w:footer="709" w:gutter="0"/>
          <w:cols w:space="708"/>
          <w:docGrid w:linePitch="360"/>
        </w:sectPr>
      </w:pPr>
    </w:p>
    <w:p w:rsidR="00692A01" w:rsidRPr="00AD47FD" w:rsidRDefault="00692A01" w:rsidP="00692A01">
      <w:pPr>
        <w:rPr>
          <w:rFonts w:asciiTheme="majorBidi" w:eastAsia="Times New Roman" w:hAnsiTheme="majorBidi" w:cstheme="majorBidi"/>
          <w:b/>
          <w:bCs/>
          <w:color w:val="000000"/>
          <w:sz w:val="20"/>
          <w:szCs w:val="20"/>
          <w:lang w:eastAsia="en-GB"/>
        </w:rPr>
      </w:pPr>
    </w:p>
    <w:p w:rsidR="00692A01" w:rsidRPr="00F013CC" w:rsidRDefault="00692A01" w:rsidP="00692A01">
      <w:pPr>
        <w:spacing w:after="0" w:line="240" w:lineRule="auto"/>
        <w:rPr>
          <w:rFonts w:asciiTheme="majorBidi" w:eastAsia="Times New Roman" w:hAnsiTheme="majorBidi" w:cstheme="majorBidi"/>
          <w:b/>
          <w:bCs/>
          <w:color w:val="000000"/>
          <w:sz w:val="24"/>
          <w:szCs w:val="20"/>
          <w:lang w:eastAsia="en-GB"/>
        </w:rPr>
      </w:pPr>
      <w:r w:rsidRPr="00F013CC">
        <w:rPr>
          <w:rFonts w:asciiTheme="majorBidi" w:eastAsia="Times New Roman" w:hAnsiTheme="majorBidi" w:cstheme="majorBidi"/>
          <w:b/>
          <w:bCs/>
          <w:color w:val="000000"/>
          <w:sz w:val="24"/>
          <w:szCs w:val="20"/>
          <w:lang w:eastAsia="en-GB"/>
        </w:rPr>
        <w:t>Table 3: Treatment of self-reported diabetes by correlates, shown as percentages</w:t>
      </w:r>
    </w:p>
    <w:p w:rsidR="00692A01" w:rsidRPr="00AD47FD" w:rsidRDefault="00692A01" w:rsidP="00692A01">
      <w:pPr>
        <w:spacing w:after="0" w:line="240" w:lineRule="auto"/>
        <w:rPr>
          <w:rFonts w:asciiTheme="majorBidi" w:eastAsia="Times New Roman" w:hAnsiTheme="majorBidi" w:cstheme="majorBidi"/>
          <w:b/>
          <w:bCs/>
          <w:color w:val="000000"/>
          <w:sz w:val="20"/>
          <w:szCs w:val="20"/>
          <w:lang w:eastAsia="en-GB"/>
        </w:rPr>
      </w:pPr>
    </w:p>
    <w:tbl>
      <w:tblPr>
        <w:tblW w:w="7787" w:type="dxa"/>
        <w:tblLook w:val="04A0" w:firstRow="1" w:lastRow="0" w:firstColumn="1" w:lastColumn="0" w:noHBand="0" w:noVBand="1"/>
      </w:tblPr>
      <w:tblGrid>
        <w:gridCol w:w="1520"/>
        <w:gridCol w:w="1447"/>
        <w:gridCol w:w="1276"/>
        <w:gridCol w:w="1276"/>
        <w:gridCol w:w="1134"/>
        <w:gridCol w:w="1134"/>
      </w:tblGrid>
      <w:tr w:rsidR="00692A01" w:rsidRPr="00AD47FD" w:rsidTr="006653EB">
        <w:trPr>
          <w:trHeight w:val="525"/>
        </w:trPr>
        <w:tc>
          <w:tcPr>
            <w:tcW w:w="1520" w:type="dxa"/>
            <w:tcBorders>
              <w:top w:val="single" w:sz="8" w:space="0" w:color="auto"/>
              <w:left w:val="single" w:sz="8" w:space="0" w:color="auto"/>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Category</w:t>
            </w:r>
          </w:p>
        </w:tc>
        <w:tc>
          <w:tcPr>
            <w:tcW w:w="1447" w:type="dxa"/>
            <w:tcBorders>
              <w:top w:val="single" w:sz="8" w:space="0" w:color="auto"/>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p>
        </w:tc>
        <w:tc>
          <w:tcPr>
            <w:tcW w:w="1276" w:type="dxa"/>
            <w:tcBorders>
              <w:top w:val="single" w:sz="8" w:space="0" w:color="auto"/>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Kuwait</w:t>
            </w:r>
          </w:p>
        </w:tc>
        <w:tc>
          <w:tcPr>
            <w:tcW w:w="1276" w:type="dxa"/>
            <w:tcBorders>
              <w:top w:val="single" w:sz="8" w:space="0" w:color="auto"/>
              <w:left w:val="nil"/>
              <w:bottom w:val="single" w:sz="8" w:space="0" w:color="auto"/>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 xml:space="preserve">Oman </w:t>
            </w:r>
          </w:p>
        </w:tc>
        <w:tc>
          <w:tcPr>
            <w:tcW w:w="1134" w:type="dxa"/>
            <w:tcBorders>
              <w:top w:val="single" w:sz="8" w:space="0" w:color="auto"/>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Saudi Arabia</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t>UAE</w:t>
            </w:r>
          </w:p>
        </w:tc>
      </w:tr>
      <w:tr w:rsidR="00692A01" w:rsidRPr="00AD47FD" w:rsidTr="006653EB">
        <w:trPr>
          <w:trHeight w:val="300"/>
        </w:trPr>
        <w:tc>
          <w:tcPr>
            <w:tcW w:w="1520" w:type="dxa"/>
            <w:vMerge w:val="restart"/>
            <w:tcBorders>
              <w:top w:val="nil"/>
              <w:left w:val="single" w:sz="8" w:space="0" w:color="auto"/>
              <w:bottom w:val="single" w:sz="8" w:space="0" w:color="000000"/>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Age</w:t>
            </w:r>
          </w:p>
        </w:tc>
        <w:tc>
          <w:tcPr>
            <w:tcW w:w="1447"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p>
        </w:tc>
        <w:tc>
          <w:tcPr>
            <w:tcW w:w="1276"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i/>
                <w:iCs/>
                <w:color w:val="000000"/>
                <w:sz w:val="20"/>
                <w:szCs w:val="20"/>
                <w:lang w:eastAsia="en-GB"/>
              </w:rPr>
            </w:pPr>
            <w:r w:rsidRPr="00AD47FD">
              <w:rPr>
                <w:rFonts w:asciiTheme="majorBidi" w:eastAsia="Times New Roman" w:hAnsiTheme="majorBidi" w:cstheme="majorBidi"/>
                <w:b/>
                <w:bCs/>
                <w:i/>
                <w:iCs/>
                <w:color w:val="000000"/>
                <w:sz w:val="20"/>
                <w:szCs w:val="20"/>
                <w:lang w:eastAsia="en-GB"/>
              </w:rPr>
              <w:t>*</w:t>
            </w:r>
          </w:p>
        </w:tc>
        <w:tc>
          <w:tcPr>
            <w:tcW w:w="1276" w:type="dxa"/>
            <w:tcBorders>
              <w:top w:val="nil"/>
              <w:left w:val="nil"/>
              <w:bottom w:val="nil"/>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b/>
                <w:bCs/>
                <w:i/>
                <w:iCs/>
                <w:color w:val="000000"/>
                <w:sz w:val="20"/>
                <w:szCs w:val="20"/>
                <w:lang w:eastAsia="en-GB"/>
              </w:rPr>
            </w:pPr>
            <w:r w:rsidRPr="00AD47FD">
              <w:rPr>
                <w:rFonts w:asciiTheme="majorBidi" w:eastAsia="Times New Roman" w:hAnsiTheme="majorBidi" w:cstheme="majorBidi"/>
                <w:b/>
                <w:bCs/>
                <w:i/>
                <w:iCs/>
                <w:color w:val="000000"/>
                <w:sz w:val="20"/>
                <w:szCs w:val="20"/>
                <w:lang w:eastAsia="en-GB"/>
              </w:rPr>
              <w:t>*</w:t>
            </w:r>
          </w:p>
        </w:tc>
        <w:tc>
          <w:tcPr>
            <w:tcW w:w="1134"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i/>
                <w:iCs/>
                <w:color w:val="000000"/>
                <w:sz w:val="20"/>
                <w:szCs w:val="20"/>
                <w:lang w:eastAsia="en-GB"/>
              </w:rPr>
            </w:pPr>
            <w:r w:rsidRPr="00AD47FD">
              <w:rPr>
                <w:rFonts w:asciiTheme="majorBidi" w:eastAsia="Times New Roman" w:hAnsiTheme="majorBidi" w:cstheme="majorBidi"/>
                <w:b/>
                <w:bCs/>
                <w:i/>
                <w:iCs/>
                <w:color w:val="000000"/>
                <w:sz w:val="20"/>
                <w:szCs w:val="20"/>
                <w:lang w:eastAsia="en-GB"/>
              </w:rPr>
              <w:t>*</w:t>
            </w:r>
          </w:p>
        </w:tc>
        <w:tc>
          <w:tcPr>
            <w:tcW w:w="1134" w:type="dxa"/>
            <w:tcBorders>
              <w:top w:val="nil"/>
              <w:left w:val="nil"/>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b/>
                <w:bCs/>
                <w:i/>
                <w:iCs/>
                <w:color w:val="000000"/>
                <w:sz w:val="20"/>
                <w:szCs w:val="20"/>
                <w:lang w:eastAsia="en-GB"/>
              </w:rPr>
            </w:pPr>
            <w:r w:rsidRPr="00AD47FD">
              <w:rPr>
                <w:rFonts w:asciiTheme="majorBidi" w:eastAsia="Times New Roman" w:hAnsiTheme="majorBidi" w:cstheme="majorBidi"/>
                <w:b/>
                <w:bCs/>
                <w:i/>
                <w:iCs/>
                <w:color w:val="000000"/>
                <w:sz w:val="20"/>
                <w:szCs w:val="20"/>
                <w:lang w:eastAsia="en-GB"/>
              </w:rPr>
              <w:t>*</w:t>
            </w:r>
          </w:p>
        </w:tc>
      </w:tr>
      <w:tr w:rsidR="00692A01" w:rsidRPr="00AD47FD" w:rsidTr="006653EB">
        <w:trPr>
          <w:trHeight w:val="300"/>
        </w:trPr>
        <w:tc>
          <w:tcPr>
            <w:tcW w:w="1520" w:type="dxa"/>
            <w:vMerge/>
            <w:tcBorders>
              <w:top w:val="nil"/>
              <w:left w:val="single" w:sz="8" w:space="0" w:color="auto"/>
              <w:bottom w:val="single" w:sz="8" w:space="0" w:color="000000"/>
              <w:right w:val="nil"/>
            </w:tcBorders>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p>
        </w:tc>
        <w:tc>
          <w:tcPr>
            <w:tcW w:w="1447"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18-29</w:t>
            </w:r>
          </w:p>
        </w:tc>
        <w:tc>
          <w:tcPr>
            <w:tcW w:w="1276"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89.7 (24)</w:t>
            </w:r>
          </w:p>
        </w:tc>
        <w:tc>
          <w:tcPr>
            <w:tcW w:w="1276" w:type="dxa"/>
            <w:tcBorders>
              <w:top w:val="nil"/>
              <w:left w:val="nil"/>
              <w:bottom w:val="nil"/>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98.2 (7)</w:t>
            </w:r>
          </w:p>
        </w:tc>
        <w:tc>
          <w:tcPr>
            <w:tcW w:w="1134"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61.1 (13)</w:t>
            </w:r>
          </w:p>
        </w:tc>
        <w:tc>
          <w:tcPr>
            <w:tcW w:w="1134" w:type="dxa"/>
            <w:tcBorders>
              <w:top w:val="nil"/>
              <w:left w:val="nil"/>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55.5 (12)</w:t>
            </w:r>
          </w:p>
        </w:tc>
      </w:tr>
      <w:tr w:rsidR="00692A01" w:rsidRPr="00AD47FD" w:rsidTr="006653EB">
        <w:trPr>
          <w:trHeight w:val="300"/>
        </w:trPr>
        <w:tc>
          <w:tcPr>
            <w:tcW w:w="1520" w:type="dxa"/>
            <w:vMerge/>
            <w:tcBorders>
              <w:top w:val="nil"/>
              <w:left w:val="single" w:sz="8" w:space="0" w:color="auto"/>
              <w:bottom w:val="single" w:sz="8" w:space="0" w:color="000000"/>
              <w:right w:val="nil"/>
            </w:tcBorders>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p>
        </w:tc>
        <w:tc>
          <w:tcPr>
            <w:tcW w:w="1447"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30-39</w:t>
            </w:r>
          </w:p>
        </w:tc>
        <w:tc>
          <w:tcPr>
            <w:tcW w:w="1276"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69.8 (40)</w:t>
            </w:r>
          </w:p>
        </w:tc>
        <w:tc>
          <w:tcPr>
            <w:tcW w:w="1276" w:type="dxa"/>
            <w:tcBorders>
              <w:top w:val="nil"/>
              <w:left w:val="nil"/>
              <w:bottom w:val="nil"/>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78.5 (23)</w:t>
            </w:r>
          </w:p>
        </w:tc>
        <w:tc>
          <w:tcPr>
            <w:tcW w:w="1134"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85.5 (65)</w:t>
            </w:r>
          </w:p>
        </w:tc>
        <w:tc>
          <w:tcPr>
            <w:tcW w:w="1134" w:type="dxa"/>
            <w:tcBorders>
              <w:top w:val="nil"/>
              <w:left w:val="nil"/>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57.4 (37)</w:t>
            </w:r>
          </w:p>
        </w:tc>
      </w:tr>
      <w:tr w:rsidR="00692A01" w:rsidRPr="00AD47FD" w:rsidTr="006653EB">
        <w:trPr>
          <w:trHeight w:val="300"/>
        </w:trPr>
        <w:tc>
          <w:tcPr>
            <w:tcW w:w="1520" w:type="dxa"/>
            <w:vMerge/>
            <w:tcBorders>
              <w:top w:val="nil"/>
              <w:left w:val="single" w:sz="8" w:space="0" w:color="auto"/>
              <w:bottom w:val="single" w:sz="8" w:space="0" w:color="000000"/>
              <w:right w:val="nil"/>
            </w:tcBorders>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p>
        </w:tc>
        <w:tc>
          <w:tcPr>
            <w:tcW w:w="1447"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40-49</w:t>
            </w:r>
          </w:p>
        </w:tc>
        <w:tc>
          <w:tcPr>
            <w:tcW w:w="1276"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81 (96)</w:t>
            </w:r>
          </w:p>
        </w:tc>
        <w:tc>
          <w:tcPr>
            <w:tcW w:w="1276" w:type="dxa"/>
            <w:tcBorders>
              <w:top w:val="nil"/>
              <w:left w:val="nil"/>
              <w:bottom w:val="nil"/>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66.8 (59)</w:t>
            </w:r>
          </w:p>
        </w:tc>
        <w:tc>
          <w:tcPr>
            <w:tcW w:w="1134"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89.8 (149)</w:t>
            </w:r>
          </w:p>
        </w:tc>
        <w:tc>
          <w:tcPr>
            <w:tcW w:w="1134" w:type="dxa"/>
            <w:tcBorders>
              <w:top w:val="nil"/>
              <w:left w:val="nil"/>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76.6 (50)</w:t>
            </w:r>
          </w:p>
        </w:tc>
      </w:tr>
      <w:tr w:rsidR="00692A01" w:rsidRPr="00AD47FD" w:rsidTr="006653EB">
        <w:trPr>
          <w:trHeight w:val="300"/>
        </w:trPr>
        <w:tc>
          <w:tcPr>
            <w:tcW w:w="1520" w:type="dxa"/>
            <w:vMerge/>
            <w:tcBorders>
              <w:top w:val="nil"/>
              <w:left w:val="single" w:sz="8" w:space="0" w:color="auto"/>
              <w:bottom w:val="single" w:sz="8" w:space="0" w:color="000000"/>
              <w:right w:val="nil"/>
            </w:tcBorders>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p>
        </w:tc>
        <w:tc>
          <w:tcPr>
            <w:tcW w:w="1447"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50-59</w:t>
            </w:r>
          </w:p>
        </w:tc>
        <w:tc>
          <w:tcPr>
            <w:tcW w:w="1276"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91.5 (119)</w:t>
            </w:r>
          </w:p>
        </w:tc>
        <w:tc>
          <w:tcPr>
            <w:tcW w:w="1276" w:type="dxa"/>
            <w:tcBorders>
              <w:top w:val="nil"/>
              <w:left w:val="nil"/>
              <w:bottom w:val="nil"/>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91.2 (97)</w:t>
            </w:r>
          </w:p>
        </w:tc>
        <w:tc>
          <w:tcPr>
            <w:tcW w:w="1134"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89 (181)</w:t>
            </w:r>
          </w:p>
        </w:tc>
        <w:tc>
          <w:tcPr>
            <w:tcW w:w="1134" w:type="dxa"/>
            <w:tcBorders>
              <w:top w:val="nil"/>
              <w:left w:val="nil"/>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88.6 (77)</w:t>
            </w:r>
          </w:p>
        </w:tc>
      </w:tr>
      <w:tr w:rsidR="00692A01" w:rsidRPr="00AD47FD" w:rsidTr="006653EB">
        <w:trPr>
          <w:trHeight w:val="315"/>
        </w:trPr>
        <w:tc>
          <w:tcPr>
            <w:tcW w:w="1520" w:type="dxa"/>
            <w:vMerge/>
            <w:tcBorders>
              <w:top w:val="nil"/>
              <w:left w:val="single" w:sz="8" w:space="0" w:color="auto"/>
              <w:bottom w:val="single" w:sz="8" w:space="0" w:color="000000"/>
              <w:right w:val="nil"/>
            </w:tcBorders>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p>
        </w:tc>
        <w:tc>
          <w:tcPr>
            <w:tcW w:w="1447"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60+</w:t>
            </w:r>
          </w:p>
        </w:tc>
        <w:tc>
          <w:tcPr>
            <w:tcW w:w="1276"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92.2 (143)</w:t>
            </w:r>
          </w:p>
        </w:tc>
        <w:tc>
          <w:tcPr>
            <w:tcW w:w="1276" w:type="dxa"/>
            <w:tcBorders>
              <w:top w:val="nil"/>
              <w:left w:val="nil"/>
              <w:bottom w:val="single" w:sz="8" w:space="0" w:color="auto"/>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84.8 (69)</w:t>
            </w:r>
          </w:p>
        </w:tc>
        <w:tc>
          <w:tcPr>
            <w:tcW w:w="1134"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90.8 (208)</w:t>
            </w:r>
          </w:p>
        </w:tc>
        <w:tc>
          <w:tcPr>
            <w:tcW w:w="1134" w:type="dxa"/>
            <w:tcBorders>
              <w:top w:val="nil"/>
              <w:left w:val="nil"/>
              <w:bottom w:val="single" w:sz="8" w:space="0" w:color="auto"/>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83.3 (54)</w:t>
            </w:r>
          </w:p>
        </w:tc>
      </w:tr>
      <w:tr w:rsidR="00692A01" w:rsidRPr="00AD47FD" w:rsidTr="006653EB">
        <w:trPr>
          <w:trHeight w:val="300"/>
        </w:trPr>
        <w:tc>
          <w:tcPr>
            <w:tcW w:w="1520" w:type="dxa"/>
            <w:vMerge w:val="restart"/>
            <w:tcBorders>
              <w:top w:val="nil"/>
              <w:left w:val="single" w:sz="8" w:space="0" w:color="auto"/>
              <w:bottom w:val="single" w:sz="8" w:space="0" w:color="000000"/>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BMI</w:t>
            </w:r>
          </w:p>
        </w:tc>
        <w:tc>
          <w:tcPr>
            <w:tcW w:w="1447"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p>
        </w:tc>
        <w:tc>
          <w:tcPr>
            <w:tcW w:w="1276"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i/>
                <w:iCs/>
                <w:color w:val="000000"/>
                <w:sz w:val="20"/>
                <w:szCs w:val="20"/>
                <w:lang w:eastAsia="en-GB"/>
              </w:rPr>
            </w:pPr>
            <w:r w:rsidRPr="00AD47FD">
              <w:rPr>
                <w:rFonts w:asciiTheme="majorBidi" w:eastAsia="Times New Roman" w:hAnsiTheme="majorBidi" w:cstheme="majorBidi"/>
                <w:i/>
                <w:iCs/>
                <w:color w:val="000000"/>
                <w:sz w:val="20"/>
                <w:szCs w:val="20"/>
                <w:lang w:eastAsia="en-GB"/>
              </w:rPr>
              <w:t>NS</w:t>
            </w:r>
          </w:p>
        </w:tc>
        <w:tc>
          <w:tcPr>
            <w:tcW w:w="1276" w:type="dxa"/>
            <w:tcBorders>
              <w:top w:val="nil"/>
              <w:left w:val="nil"/>
              <w:bottom w:val="nil"/>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i/>
                <w:iCs/>
                <w:color w:val="000000"/>
                <w:sz w:val="20"/>
                <w:szCs w:val="20"/>
                <w:lang w:eastAsia="en-GB"/>
              </w:rPr>
            </w:pPr>
            <w:r w:rsidRPr="00AD47FD">
              <w:rPr>
                <w:rFonts w:asciiTheme="majorBidi" w:eastAsia="Times New Roman" w:hAnsiTheme="majorBidi" w:cstheme="majorBidi"/>
                <w:i/>
                <w:iCs/>
                <w:color w:val="000000"/>
                <w:sz w:val="20"/>
                <w:szCs w:val="20"/>
                <w:lang w:eastAsia="en-GB"/>
              </w:rPr>
              <w:t>NS</w:t>
            </w:r>
          </w:p>
        </w:tc>
        <w:tc>
          <w:tcPr>
            <w:tcW w:w="1134"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i/>
                <w:iCs/>
                <w:color w:val="000000"/>
                <w:sz w:val="20"/>
                <w:szCs w:val="20"/>
                <w:lang w:eastAsia="en-GB"/>
              </w:rPr>
            </w:pPr>
            <w:r w:rsidRPr="00AD47FD">
              <w:rPr>
                <w:rFonts w:asciiTheme="majorBidi" w:eastAsia="Times New Roman" w:hAnsiTheme="majorBidi" w:cstheme="majorBidi"/>
                <w:i/>
                <w:iCs/>
                <w:color w:val="000000"/>
                <w:sz w:val="20"/>
                <w:szCs w:val="20"/>
                <w:lang w:eastAsia="en-GB"/>
              </w:rPr>
              <w:t>NS</w:t>
            </w:r>
          </w:p>
        </w:tc>
        <w:tc>
          <w:tcPr>
            <w:tcW w:w="1134" w:type="dxa"/>
            <w:tcBorders>
              <w:top w:val="nil"/>
              <w:left w:val="nil"/>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i/>
                <w:iCs/>
                <w:color w:val="000000"/>
                <w:sz w:val="20"/>
                <w:szCs w:val="20"/>
                <w:lang w:eastAsia="en-GB"/>
              </w:rPr>
            </w:pPr>
            <w:r w:rsidRPr="00AD47FD">
              <w:rPr>
                <w:rFonts w:asciiTheme="majorBidi" w:eastAsia="Times New Roman" w:hAnsiTheme="majorBidi" w:cstheme="majorBidi"/>
                <w:i/>
                <w:iCs/>
                <w:color w:val="000000"/>
                <w:sz w:val="20"/>
                <w:szCs w:val="20"/>
                <w:lang w:eastAsia="en-GB"/>
              </w:rPr>
              <w:t>NS</w:t>
            </w:r>
          </w:p>
        </w:tc>
      </w:tr>
      <w:tr w:rsidR="00692A01" w:rsidRPr="00AD47FD" w:rsidTr="006653EB">
        <w:trPr>
          <w:trHeight w:val="300"/>
        </w:trPr>
        <w:tc>
          <w:tcPr>
            <w:tcW w:w="1520" w:type="dxa"/>
            <w:vMerge/>
            <w:tcBorders>
              <w:top w:val="nil"/>
              <w:left w:val="single" w:sz="8" w:space="0" w:color="auto"/>
              <w:bottom w:val="single" w:sz="8" w:space="0" w:color="000000"/>
              <w:right w:val="nil"/>
            </w:tcBorders>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p>
        </w:tc>
        <w:tc>
          <w:tcPr>
            <w:tcW w:w="1447"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&lt;25</w:t>
            </w:r>
          </w:p>
        </w:tc>
        <w:tc>
          <w:tcPr>
            <w:tcW w:w="1276"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76.7 (42)</w:t>
            </w:r>
          </w:p>
        </w:tc>
        <w:tc>
          <w:tcPr>
            <w:tcW w:w="1276" w:type="dxa"/>
            <w:tcBorders>
              <w:top w:val="nil"/>
              <w:left w:val="nil"/>
              <w:bottom w:val="nil"/>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84.7 (74)</w:t>
            </w:r>
          </w:p>
        </w:tc>
        <w:tc>
          <w:tcPr>
            <w:tcW w:w="1134"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92.8 (120)</w:t>
            </w:r>
          </w:p>
        </w:tc>
        <w:tc>
          <w:tcPr>
            <w:tcW w:w="1134" w:type="dxa"/>
            <w:tcBorders>
              <w:top w:val="nil"/>
              <w:left w:val="nil"/>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73.9 (28)</w:t>
            </w:r>
          </w:p>
        </w:tc>
      </w:tr>
      <w:tr w:rsidR="00692A01" w:rsidRPr="00AD47FD" w:rsidTr="006653EB">
        <w:trPr>
          <w:trHeight w:val="300"/>
        </w:trPr>
        <w:tc>
          <w:tcPr>
            <w:tcW w:w="1520" w:type="dxa"/>
            <w:vMerge/>
            <w:tcBorders>
              <w:top w:val="nil"/>
              <w:left w:val="single" w:sz="8" w:space="0" w:color="auto"/>
              <w:bottom w:val="single" w:sz="8" w:space="0" w:color="000000"/>
              <w:right w:val="nil"/>
            </w:tcBorders>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p>
        </w:tc>
        <w:tc>
          <w:tcPr>
            <w:tcW w:w="1447"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25-30</w:t>
            </w:r>
          </w:p>
        </w:tc>
        <w:tc>
          <w:tcPr>
            <w:tcW w:w="1276"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87.6 (110</w:t>
            </w:r>
          </w:p>
        </w:tc>
        <w:tc>
          <w:tcPr>
            <w:tcW w:w="1276" w:type="dxa"/>
            <w:tcBorders>
              <w:top w:val="nil"/>
              <w:left w:val="nil"/>
              <w:bottom w:val="nil"/>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85.9 (78)</w:t>
            </w:r>
          </w:p>
        </w:tc>
        <w:tc>
          <w:tcPr>
            <w:tcW w:w="1134"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86 (223)</w:t>
            </w:r>
          </w:p>
        </w:tc>
        <w:tc>
          <w:tcPr>
            <w:tcW w:w="1134" w:type="dxa"/>
            <w:tcBorders>
              <w:top w:val="nil"/>
              <w:left w:val="nil"/>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87.7 (53)</w:t>
            </w:r>
          </w:p>
        </w:tc>
      </w:tr>
      <w:tr w:rsidR="00692A01" w:rsidRPr="00AD47FD" w:rsidTr="006653EB">
        <w:trPr>
          <w:trHeight w:val="315"/>
        </w:trPr>
        <w:tc>
          <w:tcPr>
            <w:tcW w:w="1520" w:type="dxa"/>
            <w:vMerge/>
            <w:tcBorders>
              <w:top w:val="nil"/>
              <w:left w:val="single" w:sz="8" w:space="0" w:color="auto"/>
              <w:bottom w:val="single" w:sz="8" w:space="0" w:color="000000"/>
              <w:right w:val="nil"/>
            </w:tcBorders>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p>
        </w:tc>
        <w:tc>
          <w:tcPr>
            <w:tcW w:w="1447"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30+</w:t>
            </w:r>
          </w:p>
        </w:tc>
        <w:tc>
          <w:tcPr>
            <w:tcW w:w="1276"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89.3 (200)</w:t>
            </w:r>
          </w:p>
        </w:tc>
        <w:tc>
          <w:tcPr>
            <w:tcW w:w="1276" w:type="dxa"/>
            <w:tcBorders>
              <w:top w:val="nil"/>
              <w:left w:val="nil"/>
              <w:bottom w:val="single" w:sz="8" w:space="0" w:color="auto"/>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80.6 (88)</w:t>
            </w:r>
          </w:p>
        </w:tc>
        <w:tc>
          <w:tcPr>
            <w:tcW w:w="1134"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89 (243)</w:t>
            </w:r>
          </w:p>
        </w:tc>
        <w:tc>
          <w:tcPr>
            <w:tcW w:w="1134" w:type="dxa"/>
            <w:tcBorders>
              <w:top w:val="nil"/>
              <w:left w:val="nil"/>
              <w:bottom w:val="single" w:sz="8" w:space="0" w:color="auto"/>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82.2 (51)</w:t>
            </w:r>
          </w:p>
        </w:tc>
      </w:tr>
      <w:tr w:rsidR="00692A01" w:rsidRPr="00AD47FD" w:rsidTr="006653EB">
        <w:trPr>
          <w:trHeight w:val="300"/>
        </w:trPr>
        <w:tc>
          <w:tcPr>
            <w:tcW w:w="1520" w:type="dxa"/>
            <w:vMerge w:val="restart"/>
            <w:tcBorders>
              <w:top w:val="nil"/>
              <w:left w:val="single" w:sz="8" w:space="0" w:color="auto"/>
              <w:bottom w:val="single" w:sz="8" w:space="0" w:color="000000"/>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Sex</w:t>
            </w:r>
          </w:p>
        </w:tc>
        <w:tc>
          <w:tcPr>
            <w:tcW w:w="1447"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p>
        </w:tc>
        <w:tc>
          <w:tcPr>
            <w:tcW w:w="1276"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i/>
                <w:iCs/>
                <w:color w:val="000000"/>
                <w:sz w:val="20"/>
                <w:szCs w:val="20"/>
                <w:lang w:eastAsia="en-GB"/>
              </w:rPr>
            </w:pPr>
            <w:r w:rsidRPr="00AD47FD">
              <w:rPr>
                <w:rFonts w:asciiTheme="majorBidi" w:eastAsia="Times New Roman" w:hAnsiTheme="majorBidi" w:cstheme="majorBidi"/>
                <w:i/>
                <w:iCs/>
                <w:color w:val="000000"/>
                <w:sz w:val="20"/>
                <w:szCs w:val="20"/>
                <w:lang w:eastAsia="en-GB"/>
              </w:rPr>
              <w:t>NS</w:t>
            </w:r>
          </w:p>
        </w:tc>
        <w:tc>
          <w:tcPr>
            <w:tcW w:w="1276" w:type="dxa"/>
            <w:tcBorders>
              <w:top w:val="nil"/>
              <w:left w:val="nil"/>
              <w:bottom w:val="nil"/>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i/>
                <w:iCs/>
                <w:color w:val="000000"/>
                <w:sz w:val="20"/>
                <w:szCs w:val="20"/>
                <w:lang w:eastAsia="en-GB"/>
              </w:rPr>
            </w:pPr>
            <w:r w:rsidRPr="00AD47FD">
              <w:rPr>
                <w:rFonts w:asciiTheme="majorBidi" w:eastAsia="Times New Roman" w:hAnsiTheme="majorBidi" w:cstheme="majorBidi"/>
                <w:i/>
                <w:iCs/>
                <w:color w:val="000000"/>
                <w:sz w:val="20"/>
                <w:szCs w:val="20"/>
                <w:lang w:eastAsia="en-GB"/>
              </w:rPr>
              <w:t>NS</w:t>
            </w:r>
          </w:p>
        </w:tc>
        <w:tc>
          <w:tcPr>
            <w:tcW w:w="1134"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i/>
                <w:iCs/>
                <w:color w:val="000000"/>
                <w:sz w:val="20"/>
                <w:szCs w:val="20"/>
                <w:lang w:eastAsia="en-GB"/>
              </w:rPr>
            </w:pPr>
            <w:r w:rsidRPr="00AD47FD">
              <w:rPr>
                <w:rFonts w:asciiTheme="majorBidi" w:eastAsia="Times New Roman" w:hAnsiTheme="majorBidi" w:cstheme="majorBidi"/>
                <w:i/>
                <w:iCs/>
                <w:color w:val="000000"/>
                <w:sz w:val="20"/>
                <w:szCs w:val="20"/>
                <w:lang w:eastAsia="en-GB"/>
              </w:rPr>
              <w:t>NS</w:t>
            </w:r>
          </w:p>
        </w:tc>
        <w:tc>
          <w:tcPr>
            <w:tcW w:w="1134" w:type="dxa"/>
            <w:tcBorders>
              <w:top w:val="nil"/>
              <w:left w:val="nil"/>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i/>
                <w:iCs/>
                <w:color w:val="000000"/>
                <w:sz w:val="20"/>
                <w:szCs w:val="20"/>
                <w:lang w:eastAsia="en-GB"/>
              </w:rPr>
            </w:pPr>
            <w:r w:rsidRPr="00AD47FD">
              <w:rPr>
                <w:rFonts w:asciiTheme="majorBidi" w:eastAsia="Times New Roman" w:hAnsiTheme="majorBidi" w:cstheme="majorBidi"/>
                <w:i/>
                <w:iCs/>
                <w:color w:val="000000"/>
                <w:sz w:val="20"/>
                <w:szCs w:val="20"/>
                <w:lang w:eastAsia="en-GB"/>
              </w:rPr>
              <w:t>NS</w:t>
            </w:r>
          </w:p>
        </w:tc>
      </w:tr>
      <w:tr w:rsidR="00692A01" w:rsidRPr="00AD47FD" w:rsidTr="006653EB">
        <w:trPr>
          <w:trHeight w:val="300"/>
        </w:trPr>
        <w:tc>
          <w:tcPr>
            <w:tcW w:w="1520" w:type="dxa"/>
            <w:vMerge/>
            <w:tcBorders>
              <w:top w:val="nil"/>
              <w:left w:val="single" w:sz="8" w:space="0" w:color="auto"/>
              <w:bottom w:val="single" w:sz="8" w:space="0" w:color="000000"/>
              <w:right w:val="nil"/>
            </w:tcBorders>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p>
        </w:tc>
        <w:tc>
          <w:tcPr>
            <w:tcW w:w="1447"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Male</w:t>
            </w:r>
          </w:p>
        </w:tc>
        <w:tc>
          <w:tcPr>
            <w:tcW w:w="1276"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84.6 (166)</w:t>
            </w:r>
          </w:p>
        </w:tc>
        <w:tc>
          <w:tcPr>
            <w:tcW w:w="1276" w:type="dxa"/>
            <w:tcBorders>
              <w:top w:val="nil"/>
              <w:left w:val="nil"/>
              <w:bottom w:val="nil"/>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81.2 (137)</w:t>
            </w:r>
          </w:p>
        </w:tc>
        <w:tc>
          <w:tcPr>
            <w:tcW w:w="1134"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90.5</w:t>
            </w:r>
          </w:p>
        </w:tc>
        <w:tc>
          <w:tcPr>
            <w:tcW w:w="1134" w:type="dxa"/>
            <w:tcBorders>
              <w:top w:val="nil"/>
              <w:left w:val="nil"/>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80.6 (109)</w:t>
            </w:r>
          </w:p>
        </w:tc>
      </w:tr>
      <w:tr w:rsidR="00692A01" w:rsidRPr="00AD47FD" w:rsidTr="006653EB">
        <w:trPr>
          <w:trHeight w:val="315"/>
        </w:trPr>
        <w:tc>
          <w:tcPr>
            <w:tcW w:w="1520" w:type="dxa"/>
            <w:vMerge/>
            <w:tcBorders>
              <w:top w:val="nil"/>
              <w:left w:val="single" w:sz="8" w:space="0" w:color="auto"/>
              <w:bottom w:val="single" w:sz="8" w:space="0" w:color="000000"/>
              <w:right w:val="nil"/>
            </w:tcBorders>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p>
        </w:tc>
        <w:tc>
          <w:tcPr>
            <w:tcW w:w="1447"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Female</w:t>
            </w:r>
          </w:p>
        </w:tc>
        <w:tc>
          <w:tcPr>
            <w:tcW w:w="1276"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89.9 (256)</w:t>
            </w:r>
          </w:p>
        </w:tc>
        <w:tc>
          <w:tcPr>
            <w:tcW w:w="1276" w:type="dxa"/>
            <w:tcBorders>
              <w:top w:val="nil"/>
              <w:left w:val="nil"/>
              <w:bottom w:val="single" w:sz="8" w:space="0" w:color="auto"/>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85.2 (118)</w:t>
            </w:r>
          </w:p>
        </w:tc>
        <w:tc>
          <w:tcPr>
            <w:tcW w:w="1134"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86.1</w:t>
            </w:r>
          </w:p>
        </w:tc>
        <w:tc>
          <w:tcPr>
            <w:tcW w:w="1134" w:type="dxa"/>
            <w:tcBorders>
              <w:top w:val="nil"/>
              <w:left w:val="nil"/>
              <w:bottom w:val="single" w:sz="8" w:space="0" w:color="auto"/>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76.3 (121)</w:t>
            </w:r>
          </w:p>
        </w:tc>
      </w:tr>
      <w:tr w:rsidR="00692A01" w:rsidRPr="00AD47FD" w:rsidTr="006653EB">
        <w:trPr>
          <w:trHeight w:val="300"/>
        </w:trPr>
        <w:tc>
          <w:tcPr>
            <w:tcW w:w="1520" w:type="dxa"/>
            <w:vMerge w:val="restart"/>
            <w:tcBorders>
              <w:top w:val="nil"/>
              <w:left w:val="single" w:sz="8" w:space="0" w:color="auto"/>
              <w:bottom w:val="single" w:sz="8" w:space="0" w:color="000000"/>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Nationality</w:t>
            </w:r>
          </w:p>
        </w:tc>
        <w:tc>
          <w:tcPr>
            <w:tcW w:w="1447"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p>
        </w:tc>
        <w:tc>
          <w:tcPr>
            <w:tcW w:w="1276"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i/>
                <w:iCs/>
                <w:color w:val="000000"/>
                <w:sz w:val="20"/>
                <w:szCs w:val="20"/>
                <w:lang w:eastAsia="en-GB"/>
              </w:rPr>
            </w:pPr>
            <w:r w:rsidRPr="00AD47FD">
              <w:rPr>
                <w:rFonts w:asciiTheme="majorBidi" w:eastAsia="Times New Roman" w:hAnsiTheme="majorBidi" w:cstheme="majorBidi"/>
                <w:i/>
                <w:iCs/>
                <w:color w:val="000000"/>
                <w:sz w:val="20"/>
                <w:szCs w:val="20"/>
                <w:lang w:eastAsia="en-GB"/>
              </w:rPr>
              <w:t>NS</w:t>
            </w:r>
          </w:p>
        </w:tc>
        <w:tc>
          <w:tcPr>
            <w:tcW w:w="1276" w:type="dxa"/>
            <w:tcBorders>
              <w:top w:val="nil"/>
              <w:left w:val="nil"/>
              <w:bottom w:val="nil"/>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i/>
                <w:iCs/>
                <w:color w:val="000000"/>
                <w:sz w:val="20"/>
                <w:szCs w:val="20"/>
                <w:lang w:eastAsia="en-GB"/>
              </w:rPr>
            </w:pPr>
            <w:r w:rsidRPr="00AD47FD">
              <w:rPr>
                <w:rFonts w:asciiTheme="majorBidi" w:eastAsia="Times New Roman" w:hAnsiTheme="majorBidi" w:cstheme="majorBidi"/>
                <w:i/>
                <w:iCs/>
                <w:color w:val="000000"/>
                <w:sz w:val="20"/>
                <w:szCs w:val="20"/>
                <w:lang w:eastAsia="en-GB"/>
              </w:rPr>
              <w:t>NS</w:t>
            </w:r>
          </w:p>
        </w:tc>
        <w:tc>
          <w:tcPr>
            <w:tcW w:w="1134"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i/>
                <w:iCs/>
                <w:color w:val="000000"/>
                <w:sz w:val="20"/>
                <w:szCs w:val="20"/>
                <w:lang w:eastAsia="en-GB"/>
              </w:rPr>
            </w:pPr>
            <w:r w:rsidRPr="00AD47FD">
              <w:rPr>
                <w:rFonts w:asciiTheme="majorBidi" w:eastAsia="Times New Roman" w:hAnsiTheme="majorBidi" w:cstheme="majorBidi"/>
                <w:i/>
                <w:iCs/>
                <w:color w:val="000000"/>
                <w:sz w:val="20"/>
                <w:szCs w:val="20"/>
                <w:lang w:eastAsia="en-GB"/>
              </w:rPr>
              <w:t>NS</w:t>
            </w:r>
          </w:p>
        </w:tc>
        <w:tc>
          <w:tcPr>
            <w:tcW w:w="1134" w:type="dxa"/>
            <w:tcBorders>
              <w:top w:val="nil"/>
              <w:left w:val="nil"/>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i/>
                <w:iCs/>
                <w:color w:val="000000"/>
                <w:sz w:val="20"/>
                <w:szCs w:val="20"/>
                <w:lang w:eastAsia="en-GB"/>
              </w:rPr>
            </w:pPr>
            <w:r w:rsidRPr="00AD47FD">
              <w:rPr>
                <w:rFonts w:asciiTheme="majorBidi" w:eastAsia="Times New Roman" w:hAnsiTheme="majorBidi" w:cstheme="majorBidi"/>
                <w:i/>
                <w:iCs/>
                <w:color w:val="000000"/>
                <w:sz w:val="20"/>
                <w:szCs w:val="20"/>
                <w:lang w:eastAsia="en-GB"/>
              </w:rPr>
              <w:t>***</w:t>
            </w:r>
          </w:p>
        </w:tc>
      </w:tr>
      <w:tr w:rsidR="00692A01" w:rsidRPr="00AD47FD" w:rsidTr="006653EB">
        <w:trPr>
          <w:trHeight w:val="300"/>
        </w:trPr>
        <w:tc>
          <w:tcPr>
            <w:tcW w:w="1520" w:type="dxa"/>
            <w:vMerge/>
            <w:tcBorders>
              <w:top w:val="nil"/>
              <w:left w:val="single" w:sz="8" w:space="0" w:color="auto"/>
              <w:bottom w:val="single" w:sz="8" w:space="0" w:color="000000"/>
              <w:right w:val="nil"/>
            </w:tcBorders>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p>
        </w:tc>
        <w:tc>
          <w:tcPr>
            <w:tcW w:w="1447"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National</w:t>
            </w:r>
          </w:p>
        </w:tc>
        <w:tc>
          <w:tcPr>
            <w:tcW w:w="1276"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88.6 (335)</w:t>
            </w:r>
          </w:p>
        </w:tc>
        <w:tc>
          <w:tcPr>
            <w:tcW w:w="1276" w:type="dxa"/>
            <w:tcBorders>
              <w:top w:val="nil"/>
              <w:left w:val="nil"/>
              <w:bottom w:val="nil"/>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84.1 (207)</w:t>
            </w:r>
          </w:p>
        </w:tc>
        <w:tc>
          <w:tcPr>
            <w:tcW w:w="1134"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88.6 (347)</w:t>
            </w:r>
          </w:p>
        </w:tc>
        <w:tc>
          <w:tcPr>
            <w:tcW w:w="1134" w:type="dxa"/>
            <w:tcBorders>
              <w:top w:val="nil"/>
              <w:left w:val="nil"/>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88.3 (155)</w:t>
            </w:r>
          </w:p>
        </w:tc>
      </w:tr>
      <w:tr w:rsidR="00692A01" w:rsidRPr="00AD47FD" w:rsidTr="006653EB">
        <w:trPr>
          <w:trHeight w:val="525"/>
        </w:trPr>
        <w:tc>
          <w:tcPr>
            <w:tcW w:w="1520" w:type="dxa"/>
            <w:vMerge/>
            <w:tcBorders>
              <w:top w:val="nil"/>
              <w:left w:val="single" w:sz="8" w:space="0" w:color="auto"/>
              <w:bottom w:val="single" w:sz="8" w:space="0" w:color="000000"/>
              <w:right w:val="nil"/>
            </w:tcBorders>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p>
        </w:tc>
        <w:tc>
          <w:tcPr>
            <w:tcW w:w="1447"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Non-national</w:t>
            </w:r>
          </w:p>
        </w:tc>
        <w:tc>
          <w:tcPr>
            <w:tcW w:w="1276"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84.7 (87)</w:t>
            </w:r>
          </w:p>
        </w:tc>
        <w:tc>
          <w:tcPr>
            <w:tcW w:w="1276" w:type="dxa"/>
            <w:tcBorders>
              <w:top w:val="nil"/>
              <w:left w:val="nil"/>
              <w:bottom w:val="single" w:sz="8" w:space="0" w:color="auto"/>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80.9 (48)</w:t>
            </w:r>
          </w:p>
        </w:tc>
        <w:tc>
          <w:tcPr>
            <w:tcW w:w="1134"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88.4 (269)</w:t>
            </w:r>
          </w:p>
        </w:tc>
        <w:tc>
          <w:tcPr>
            <w:tcW w:w="1134" w:type="dxa"/>
            <w:tcBorders>
              <w:top w:val="nil"/>
              <w:left w:val="nil"/>
              <w:bottom w:val="single" w:sz="8" w:space="0" w:color="auto"/>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57.8 (75)</w:t>
            </w:r>
          </w:p>
        </w:tc>
      </w:tr>
      <w:tr w:rsidR="00692A01" w:rsidRPr="00AD47FD" w:rsidTr="006653EB">
        <w:trPr>
          <w:trHeight w:val="300"/>
        </w:trPr>
        <w:tc>
          <w:tcPr>
            <w:tcW w:w="1520" w:type="dxa"/>
            <w:vMerge w:val="restart"/>
            <w:tcBorders>
              <w:top w:val="nil"/>
              <w:left w:val="single" w:sz="8" w:space="0" w:color="auto"/>
              <w:bottom w:val="single" w:sz="8" w:space="0" w:color="000000"/>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Wealth</w:t>
            </w:r>
          </w:p>
        </w:tc>
        <w:tc>
          <w:tcPr>
            <w:tcW w:w="1447"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p>
        </w:tc>
        <w:tc>
          <w:tcPr>
            <w:tcW w:w="1276"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i/>
                <w:iCs/>
                <w:color w:val="000000"/>
                <w:sz w:val="20"/>
                <w:szCs w:val="20"/>
                <w:lang w:eastAsia="en-GB"/>
              </w:rPr>
            </w:pPr>
            <w:r w:rsidRPr="00AD47FD">
              <w:rPr>
                <w:rFonts w:asciiTheme="majorBidi" w:eastAsia="Times New Roman" w:hAnsiTheme="majorBidi" w:cstheme="majorBidi"/>
                <w:i/>
                <w:iCs/>
                <w:color w:val="000000"/>
                <w:sz w:val="20"/>
                <w:szCs w:val="20"/>
                <w:lang w:eastAsia="en-GB"/>
              </w:rPr>
              <w:t>NS</w:t>
            </w:r>
          </w:p>
        </w:tc>
        <w:tc>
          <w:tcPr>
            <w:tcW w:w="1276" w:type="dxa"/>
            <w:tcBorders>
              <w:top w:val="nil"/>
              <w:left w:val="nil"/>
              <w:bottom w:val="nil"/>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i/>
                <w:iCs/>
                <w:color w:val="000000"/>
                <w:sz w:val="20"/>
                <w:szCs w:val="20"/>
                <w:lang w:eastAsia="en-GB"/>
              </w:rPr>
            </w:pPr>
            <w:r w:rsidRPr="00AD47FD">
              <w:rPr>
                <w:rFonts w:asciiTheme="majorBidi" w:eastAsia="Times New Roman" w:hAnsiTheme="majorBidi" w:cstheme="majorBidi"/>
                <w:i/>
                <w:iCs/>
                <w:color w:val="000000"/>
                <w:sz w:val="20"/>
                <w:szCs w:val="20"/>
                <w:lang w:eastAsia="en-GB"/>
              </w:rPr>
              <w:t>NS</w:t>
            </w:r>
          </w:p>
        </w:tc>
        <w:tc>
          <w:tcPr>
            <w:tcW w:w="1134"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i/>
                <w:iCs/>
                <w:color w:val="000000"/>
                <w:sz w:val="20"/>
                <w:szCs w:val="20"/>
                <w:lang w:eastAsia="en-GB"/>
              </w:rPr>
            </w:pPr>
            <w:r w:rsidRPr="00AD47FD">
              <w:rPr>
                <w:rFonts w:asciiTheme="majorBidi" w:eastAsia="Times New Roman" w:hAnsiTheme="majorBidi" w:cstheme="majorBidi"/>
                <w:i/>
                <w:iCs/>
                <w:color w:val="000000"/>
                <w:sz w:val="20"/>
                <w:szCs w:val="20"/>
                <w:lang w:eastAsia="en-GB"/>
              </w:rPr>
              <w:t>NS</w:t>
            </w:r>
          </w:p>
        </w:tc>
        <w:tc>
          <w:tcPr>
            <w:tcW w:w="1134" w:type="dxa"/>
            <w:tcBorders>
              <w:top w:val="nil"/>
              <w:left w:val="nil"/>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i/>
                <w:iCs/>
                <w:color w:val="000000"/>
                <w:sz w:val="20"/>
                <w:szCs w:val="20"/>
                <w:lang w:eastAsia="en-GB"/>
              </w:rPr>
            </w:pPr>
            <w:r w:rsidRPr="00AD47FD">
              <w:rPr>
                <w:rFonts w:asciiTheme="majorBidi" w:eastAsia="Times New Roman" w:hAnsiTheme="majorBidi" w:cstheme="majorBidi"/>
                <w:i/>
                <w:iCs/>
                <w:color w:val="000000"/>
                <w:sz w:val="20"/>
                <w:szCs w:val="20"/>
                <w:lang w:eastAsia="en-GB"/>
              </w:rPr>
              <w:t>**</w:t>
            </w:r>
          </w:p>
        </w:tc>
      </w:tr>
      <w:tr w:rsidR="00692A01" w:rsidRPr="00AD47FD" w:rsidTr="006653EB">
        <w:trPr>
          <w:trHeight w:val="300"/>
        </w:trPr>
        <w:tc>
          <w:tcPr>
            <w:tcW w:w="1520" w:type="dxa"/>
            <w:vMerge/>
            <w:tcBorders>
              <w:top w:val="nil"/>
              <w:left w:val="single" w:sz="8" w:space="0" w:color="auto"/>
              <w:bottom w:val="single" w:sz="8" w:space="0" w:color="000000"/>
              <w:right w:val="nil"/>
            </w:tcBorders>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p>
        </w:tc>
        <w:tc>
          <w:tcPr>
            <w:tcW w:w="1447"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Poorest</w:t>
            </w:r>
          </w:p>
        </w:tc>
        <w:tc>
          <w:tcPr>
            <w:tcW w:w="1276"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88.5 (1313)</w:t>
            </w:r>
          </w:p>
        </w:tc>
        <w:tc>
          <w:tcPr>
            <w:tcW w:w="1276" w:type="dxa"/>
            <w:tcBorders>
              <w:top w:val="nil"/>
              <w:left w:val="nil"/>
              <w:bottom w:val="nil"/>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90.5 (68)</w:t>
            </w:r>
          </w:p>
        </w:tc>
        <w:tc>
          <w:tcPr>
            <w:tcW w:w="1134"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84 (199)</w:t>
            </w:r>
          </w:p>
        </w:tc>
        <w:tc>
          <w:tcPr>
            <w:tcW w:w="1134" w:type="dxa"/>
            <w:tcBorders>
              <w:top w:val="nil"/>
              <w:left w:val="nil"/>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58.9 (43)</w:t>
            </w:r>
          </w:p>
        </w:tc>
      </w:tr>
      <w:tr w:rsidR="00692A01" w:rsidRPr="00AD47FD" w:rsidTr="006653EB">
        <w:trPr>
          <w:trHeight w:val="300"/>
        </w:trPr>
        <w:tc>
          <w:tcPr>
            <w:tcW w:w="1520" w:type="dxa"/>
            <w:vMerge/>
            <w:tcBorders>
              <w:top w:val="nil"/>
              <w:left w:val="single" w:sz="8" w:space="0" w:color="auto"/>
              <w:bottom w:val="single" w:sz="8" w:space="0" w:color="000000"/>
              <w:right w:val="nil"/>
            </w:tcBorders>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p>
        </w:tc>
        <w:tc>
          <w:tcPr>
            <w:tcW w:w="1447"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Average</w:t>
            </w:r>
          </w:p>
        </w:tc>
        <w:tc>
          <w:tcPr>
            <w:tcW w:w="1276"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88.7 (1230)</w:t>
            </w:r>
          </w:p>
        </w:tc>
        <w:tc>
          <w:tcPr>
            <w:tcW w:w="1276" w:type="dxa"/>
            <w:tcBorders>
              <w:top w:val="nil"/>
              <w:left w:val="nil"/>
              <w:bottom w:val="nil"/>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72.6  (90)</w:t>
            </w:r>
          </w:p>
        </w:tc>
        <w:tc>
          <w:tcPr>
            <w:tcW w:w="1134"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89.2 (290)</w:t>
            </w:r>
          </w:p>
        </w:tc>
        <w:tc>
          <w:tcPr>
            <w:tcW w:w="1134" w:type="dxa"/>
            <w:tcBorders>
              <w:top w:val="nil"/>
              <w:left w:val="nil"/>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76.4 (72)</w:t>
            </w:r>
          </w:p>
        </w:tc>
      </w:tr>
      <w:tr w:rsidR="00692A01" w:rsidRPr="00AD47FD" w:rsidTr="006653EB">
        <w:trPr>
          <w:trHeight w:val="315"/>
        </w:trPr>
        <w:tc>
          <w:tcPr>
            <w:tcW w:w="1520" w:type="dxa"/>
            <w:vMerge/>
            <w:tcBorders>
              <w:top w:val="nil"/>
              <w:left w:val="single" w:sz="8" w:space="0" w:color="auto"/>
              <w:bottom w:val="single" w:sz="8" w:space="0" w:color="000000"/>
              <w:right w:val="nil"/>
            </w:tcBorders>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p>
        </w:tc>
        <w:tc>
          <w:tcPr>
            <w:tcW w:w="1447"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Richest</w:t>
            </w:r>
          </w:p>
        </w:tc>
        <w:tc>
          <w:tcPr>
            <w:tcW w:w="1276"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86 (1253)</w:t>
            </w:r>
          </w:p>
        </w:tc>
        <w:tc>
          <w:tcPr>
            <w:tcW w:w="1276" w:type="dxa"/>
            <w:tcBorders>
              <w:top w:val="nil"/>
              <w:left w:val="nil"/>
              <w:bottom w:val="single" w:sz="8" w:space="0" w:color="auto"/>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86.2 (97)</w:t>
            </w:r>
          </w:p>
        </w:tc>
        <w:tc>
          <w:tcPr>
            <w:tcW w:w="1134"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90.8 (127)</w:t>
            </w:r>
          </w:p>
        </w:tc>
        <w:tc>
          <w:tcPr>
            <w:tcW w:w="1134" w:type="dxa"/>
            <w:tcBorders>
              <w:top w:val="nil"/>
              <w:left w:val="nil"/>
              <w:bottom w:val="single" w:sz="8" w:space="0" w:color="auto"/>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88.3 (115)</w:t>
            </w:r>
          </w:p>
        </w:tc>
      </w:tr>
      <w:tr w:rsidR="00692A01" w:rsidRPr="00AD47FD" w:rsidTr="006653EB">
        <w:trPr>
          <w:trHeight w:val="300"/>
        </w:trPr>
        <w:tc>
          <w:tcPr>
            <w:tcW w:w="1520" w:type="dxa"/>
            <w:vMerge w:val="restart"/>
            <w:tcBorders>
              <w:top w:val="nil"/>
              <w:left w:val="single" w:sz="8" w:space="0" w:color="auto"/>
              <w:bottom w:val="single" w:sz="8" w:space="0" w:color="000000"/>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Education</w:t>
            </w:r>
          </w:p>
        </w:tc>
        <w:tc>
          <w:tcPr>
            <w:tcW w:w="1447"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p>
        </w:tc>
        <w:tc>
          <w:tcPr>
            <w:tcW w:w="1276"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i/>
                <w:iCs/>
                <w:color w:val="000000"/>
                <w:sz w:val="20"/>
                <w:szCs w:val="20"/>
                <w:lang w:eastAsia="en-GB"/>
              </w:rPr>
            </w:pPr>
            <w:r w:rsidRPr="00AD47FD">
              <w:rPr>
                <w:rFonts w:asciiTheme="majorBidi" w:eastAsia="Times New Roman" w:hAnsiTheme="majorBidi" w:cstheme="majorBidi"/>
                <w:i/>
                <w:iCs/>
                <w:color w:val="000000"/>
                <w:sz w:val="20"/>
                <w:szCs w:val="20"/>
                <w:lang w:eastAsia="en-GB"/>
              </w:rPr>
              <w:t>NS</w:t>
            </w:r>
          </w:p>
        </w:tc>
        <w:tc>
          <w:tcPr>
            <w:tcW w:w="1276" w:type="dxa"/>
            <w:tcBorders>
              <w:top w:val="nil"/>
              <w:left w:val="nil"/>
              <w:bottom w:val="nil"/>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i/>
                <w:iCs/>
                <w:color w:val="000000"/>
                <w:sz w:val="20"/>
                <w:szCs w:val="20"/>
                <w:lang w:eastAsia="en-GB"/>
              </w:rPr>
            </w:pPr>
            <w:r w:rsidRPr="00AD47FD">
              <w:rPr>
                <w:rFonts w:asciiTheme="majorBidi" w:eastAsia="Times New Roman" w:hAnsiTheme="majorBidi" w:cstheme="majorBidi"/>
                <w:i/>
                <w:iCs/>
                <w:color w:val="000000"/>
                <w:sz w:val="20"/>
                <w:szCs w:val="20"/>
                <w:lang w:eastAsia="en-GB"/>
              </w:rPr>
              <w:t>NS</w:t>
            </w:r>
          </w:p>
        </w:tc>
        <w:tc>
          <w:tcPr>
            <w:tcW w:w="1134"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i/>
                <w:iCs/>
                <w:color w:val="000000"/>
                <w:sz w:val="20"/>
                <w:szCs w:val="20"/>
                <w:lang w:eastAsia="en-GB"/>
              </w:rPr>
            </w:pPr>
            <w:r w:rsidRPr="00AD47FD">
              <w:rPr>
                <w:rFonts w:asciiTheme="majorBidi" w:eastAsia="Times New Roman" w:hAnsiTheme="majorBidi" w:cstheme="majorBidi"/>
                <w:i/>
                <w:iCs/>
                <w:color w:val="000000"/>
                <w:sz w:val="20"/>
                <w:szCs w:val="20"/>
                <w:lang w:eastAsia="en-GB"/>
              </w:rPr>
              <w:t>NS</w:t>
            </w:r>
          </w:p>
        </w:tc>
        <w:tc>
          <w:tcPr>
            <w:tcW w:w="1134" w:type="dxa"/>
            <w:tcBorders>
              <w:top w:val="nil"/>
              <w:left w:val="nil"/>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i/>
                <w:iCs/>
                <w:color w:val="000000"/>
                <w:sz w:val="20"/>
                <w:szCs w:val="20"/>
                <w:lang w:eastAsia="en-GB"/>
              </w:rPr>
            </w:pPr>
            <w:r w:rsidRPr="00AD47FD">
              <w:rPr>
                <w:rFonts w:asciiTheme="majorBidi" w:eastAsia="Times New Roman" w:hAnsiTheme="majorBidi" w:cstheme="majorBidi"/>
                <w:i/>
                <w:iCs/>
                <w:color w:val="000000"/>
                <w:sz w:val="20"/>
                <w:szCs w:val="20"/>
                <w:lang w:eastAsia="en-GB"/>
              </w:rPr>
              <w:t>***</w:t>
            </w:r>
          </w:p>
        </w:tc>
      </w:tr>
      <w:tr w:rsidR="00692A01" w:rsidRPr="00AD47FD" w:rsidTr="006653EB">
        <w:trPr>
          <w:trHeight w:val="510"/>
        </w:trPr>
        <w:tc>
          <w:tcPr>
            <w:tcW w:w="1520" w:type="dxa"/>
            <w:vMerge/>
            <w:tcBorders>
              <w:top w:val="nil"/>
              <w:left w:val="single" w:sz="8" w:space="0" w:color="auto"/>
              <w:bottom w:val="single" w:sz="8" w:space="0" w:color="000000"/>
              <w:right w:val="nil"/>
            </w:tcBorders>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p>
        </w:tc>
        <w:tc>
          <w:tcPr>
            <w:tcW w:w="1447"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Primary or less</w:t>
            </w:r>
          </w:p>
        </w:tc>
        <w:tc>
          <w:tcPr>
            <w:tcW w:w="1276"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93.4 (148)</w:t>
            </w:r>
          </w:p>
        </w:tc>
        <w:tc>
          <w:tcPr>
            <w:tcW w:w="1276" w:type="dxa"/>
            <w:tcBorders>
              <w:top w:val="nil"/>
              <w:left w:val="nil"/>
              <w:bottom w:val="nil"/>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84.5 (187)</w:t>
            </w:r>
          </w:p>
        </w:tc>
        <w:tc>
          <w:tcPr>
            <w:tcW w:w="1134"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89 (399)</w:t>
            </w:r>
          </w:p>
        </w:tc>
        <w:tc>
          <w:tcPr>
            <w:tcW w:w="1134" w:type="dxa"/>
            <w:tcBorders>
              <w:top w:val="nil"/>
              <w:left w:val="nil"/>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87.4 (120)</w:t>
            </w:r>
          </w:p>
        </w:tc>
      </w:tr>
      <w:tr w:rsidR="00692A01" w:rsidRPr="00AD47FD" w:rsidTr="006653EB">
        <w:trPr>
          <w:trHeight w:val="300"/>
        </w:trPr>
        <w:tc>
          <w:tcPr>
            <w:tcW w:w="1520" w:type="dxa"/>
            <w:vMerge/>
            <w:tcBorders>
              <w:top w:val="nil"/>
              <w:left w:val="single" w:sz="8" w:space="0" w:color="auto"/>
              <w:bottom w:val="single" w:sz="8" w:space="0" w:color="000000"/>
              <w:right w:val="nil"/>
            </w:tcBorders>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p>
        </w:tc>
        <w:tc>
          <w:tcPr>
            <w:tcW w:w="1447"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Secondary</w:t>
            </w:r>
          </w:p>
        </w:tc>
        <w:tc>
          <w:tcPr>
            <w:tcW w:w="1276"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83.1 (179)</w:t>
            </w:r>
          </w:p>
        </w:tc>
        <w:tc>
          <w:tcPr>
            <w:tcW w:w="1276" w:type="dxa"/>
            <w:tcBorders>
              <w:top w:val="nil"/>
              <w:left w:val="nil"/>
              <w:bottom w:val="nil"/>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83.9 (40)</w:t>
            </w:r>
          </w:p>
        </w:tc>
        <w:tc>
          <w:tcPr>
            <w:tcW w:w="1134"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85.8 (135)</w:t>
            </w:r>
          </w:p>
        </w:tc>
        <w:tc>
          <w:tcPr>
            <w:tcW w:w="1134" w:type="dxa"/>
            <w:tcBorders>
              <w:top w:val="nil"/>
              <w:left w:val="nil"/>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88.6 (54)</w:t>
            </w:r>
          </w:p>
        </w:tc>
      </w:tr>
      <w:tr w:rsidR="00692A01" w:rsidRPr="00AD47FD" w:rsidTr="006653EB">
        <w:trPr>
          <w:trHeight w:val="780"/>
        </w:trPr>
        <w:tc>
          <w:tcPr>
            <w:tcW w:w="1520" w:type="dxa"/>
            <w:vMerge/>
            <w:tcBorders>
              <w:top w:val="nil"/>
              <w:left w:val="single" w:sz="8" w:space="0" w:color="auto"/>
              <w:bottom w:val="single" w:sz="8" w:space="0" w:color="000000"/>
              <w:right w:val="nil"/>
            </w:tcBorders>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p>
        </w:tc>
        <w:tc>
          <w:tcPr>
            <w:tcW w:w="1447"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Higher than secondary</w:t>
            </w:r>
          </w:p>
        </w:tc>
        <w:tc>
          <w:tcPr>
            <w:tcW w:w="1276"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87.4 (95)</w:t>
            </w:r>
          </w:p>
        </w:tc>
        <w:tc>
          <w:tcPr>
            <w:tcW w:w="1276" w:type="dxa"/>
            <w:tcBorders>
              <w:top w:val="nil"/>
              <w:left w:val="nil"/>
              <w:bottom w:val="single" w:sz="8" w:space="0" w:color="auto"/>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76.4 (28)</w:t>
            </w:r>
          </w:p>
        </w:tc>
        <w:tc>
          <w:tcPr>
            <w:tcW w:w="1134"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91.2 (82)</w:t>
            </w:r>
          </w:p>
        </w:tc>
        <w:tc>
          <w:tcPr>
            <w:tcW w:w="1134" w:type="dxa"/>
            <w:tcBorders>
              <w:top w:val="nil"/>
              <w:left w:val="nil"/>
              <w:bottom w:val="single" w:sz="8" w:space="0" w:color="auto"/>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51.1 (56)</w:t>
            </w:r>
          </w:p>
        </w:tc>
      </w:tr>
      <w:tr w:rsidR="00692A01" w:rsidRPr="00AD47FD" w:rsidTr="006653EB">
        <w:trPr>
          <w:trHeight w:val="300"/>
        </w:trPr>
        <w:tc>
          <w:tcPr>
            <w:tcW w:w="1520" w:type="dxa"/>
            <w:vMerge w:val="restart"/>
            <w:tcBorders>
              <w:top w:val="nil"/>
              <w:left w:val="single" w:sz="8" w:space="0" w:color="auto"/>
              <w:bottom w:val="single" w:sz="8" w:space="0" w:color="000000"/>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Marital Status</w:t>
            </w:r>
          </w:p>
        </w:tc>
        <w:tc>
          <w:tcPr>
            <w:tcW w:w="1447"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p>
        </w:tc>
        <w:tc>
          <w:tcPr>
            <w:tcW w:w="1276"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i/>
                <w:iCs/>
                <w:color w:val="000000"/>
                <w:sz w:val="20"/>
                <w:szCs w:val="20"/>
                <w:lang w:eastAsia="en-GB"/>
              </w:rPr>
            </w:pPr>
            <w:r w:rsidRPr="00AD47FD">
              <w:rPr>
                <w:rFonts w:asciiTheme="majorBidi" w:eastAsia="Times New Roman" w:hAnsiTheme="majorBidi" w:cstheme="majorBidi"/>
                <w:i/>
                <w:iCs/>
                <w:color w:val="000000"/>
                <w:sz w:val="20"/>
                <w:szCs w:val="20"/>
                <w:lang w:eastAsia="en-GB"/>
              </w:rPr>
              <w:t>**</w:t>
            </w:r>
          </w:p>
        </w:tc>
        <w:tc>
          <w:tcPr>
            <w:tcW w:w="1276" w:type="dxa"/>
            <w:tcBorders>
              <w:top w:val="nil"/>
              <w:left w:val="nil"/>
              <w:bottom w:val="nil"/>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i/>
                <w:iCs/>
                <w:color w:val="000000"/>
                <w:sz w:val="20"/>
                <w:szCs w:val="20"/>
                <w:lang w:eastAsia="en-GB"/>
              </w:rPr>
            </w:pPr>
            <w:r w:rsidRPr="00AD47FD">
              <w:rPr>
                <w:rFonts w:asciiTheme="majorBidi" w:eastAsia="Times New Roman" w:hAnsiTheme="majorBidi" w:cstheme="majorBidi"/>
                <w:i/>
                <w:iCs/>
                <w:color w:val="000000"/>
                <w:sz w:val="20"/>
                <w:szCs w:val="20"/>
                <w:lang w:eastAsia="en-GB"/>
              </w:rPr>
              <w:t>NS</w:t>
            </w:r>
          </w:p>
        </w:tc>
        <w:tc>
          <w:tcPr>
            <w:tcW w:w="1134"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i/>
                <w:iCs/>
                <w:color w:val="000000"/>
                <w:sz w:val="20"/>
                <w:szCs w:val="20"/>
                <w:lang w:eastAsia="en-GB"/>
              </w:rPr>
            </w:pPr>
            <w:r w:rsidRPr="00AD47FD">
              <w:rPr>
                <w:rFonts w:asciiTheme="majorBidi" w:eastAsia="Times New Roman" w:hAnsiTheme="majorBidi" w:cstheme="majorBidi"/>
                <w:i/>
                <w:iCs/>
                <w:color w:val="000000"/>
                <w:sz w:val="20"/>
                <w:szCs w:val="20"/>
                <w:lang w:eastAsia="en-GB"/>
              </w:rPr>
              <w:t>NS</w:t>
            </w:r>
          </w:p>
        </w:tc>
        <w:tc>
          <w:tcPr>
            <w:tcW w:w="1134" w:type="dxa"/>
            <w:tcBorders>
              <w:top w:val="nil"/>
              <w:left w:val="nil"/>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i/>
                <w:iCs/>
                <w:color w:val="000000"/>
                <w:sz w:val="20"/>
                <w:szCs w:val="20"/>
                <w:lang w:eastAsia="en-GB"/>
              </w:rPr>
            </w:pPr>
            <w:r w:rsidRPr="00AD47FD">
              <w:rPr>
                <w:rFonts w:asciiTheme="majorBidi" w:eastAsia="Times New Roman" w:hAnsiTheme="majorBidi" w:cstheme="majorBidi"/>
                <w:i/>
                <w:iCs/>
                <w:color w:val="000000"/>
                <w:sz w:val="20"/>
                <w:szCs w:val="20"/>
                <w:lang w:eastAsia="en-GB"/>
              </w:rPr>
              <w:t>NS</w:t>
            </w:r>
          </w:p>
        </w:tc>
      </w:tr>
      <w:tr w:rsidR="00692A01" w:rsidRPr="00AD47FD" w:rsidTr="006653EB">
        <w:trPr>
          <w:trHeight w:val="510"/>
        </w:trPr>
        <w:tc>
          <w:tcPr>
            <w:tcW w:w="1520" w:type="dxa"/>
            <w:vMerge/>
            <w:tcBorders>
              <w:top w:val="nil"/>
              <w:left w:val="single" w:sz="8" w:space="0" w:color="auto"/>
              <w:bottom w:val="single" w:sz="8" w:space="0" w:color="000000"/>
              <w:right w:val="nil"/>
            </w:tcBorders>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p>
        </w:tc>
        <w:tc>
          <w:tcPr>
            <w:tcW w:w="1447"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Currently married</w:t>
            </w:r>
          </w:p>
        </w:tc>
        <w:tc>
          <w:tcPr>
            <w:tcW w:w="1276"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96.1 (117)</w:t>
            </w:r>
          </w:p>
        </w:tc>
        <w:tc>
          <w:tcPr>
            <w:tcW w:w="1276" w:type="dxa"/>
            <w:tcBorders>
              <w:top w:val="nil"/>
              <w:left w:val="nil"/>
              <w:bottom w:val="nil"/>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79 (186)</w:t>
            </w:r>
          </w:p>
        </w:tc>
        <w:tc>
          <w:tcPr>
            <w:tcW w:w="1134"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89 (117)</w:t>
            </w:r>
          </w:p>
        </w:tc>
        <w:tc>
          <w:tcPr>
            <w:tcW w:w="1134" w:type="dxa"/>
            <w:tcBorders>
              <w:top w:val="nil"/>
              <w:left w:val="nil"/>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83.1 (177)</w:t>
            </w:r>
          </w:p>
        </w:tc>
      </w:tr>
      <w:tr w:rsidR="00692A01" w:rsidRPr="00AD47FD" w:rsidTr="006653EB">
        <w:trPr>
          <w:trHeight w:val="780"/>
        </w:trPr>
        <w:tc>
          <w:tcPr>
            <w:tcW w:w="1520" w:type="dxa"/>
            <w:vMerge/>
            <w:tcBorders>
              <w:top w:val="nil"/>
              <w:left w:val="single" w:sz="8" w:space="0" w:color="auto"/>
              <w:bottom w:val="single" w:sz="8" w:space="0" w:color="000000"/>
              <w:right w:val="nil"/>
            </w:tcBorders>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p>
        </w:tc>
        <w:tc>
          <w:tcPr>
            <w:tcW w:w="1447"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Not currently married</w:t>
            </w:r>
          </w:p>
        </w:tc>
        <w:tc>
          <w:tcPr>
            <w:tcW w:w="1276"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85 (305)</w:t>
            </w:r>
          </w:p>
        </w:tc>
        <w:tc>
          <w:tcPr>
            <w:tcW w:w="1276" w:type="dxa"/>
            <w:tcBorders>
              <w:top w:val="nil"/>
              <w:left w:val="nil"/>
              <w:bottom w:val="single" w:sz="8" w:space="0" w:color="auto"/>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84.8 (69)</w:t>
            </w:r>
          </w:p>
        </w:tc>
        <w:tc>
          <w:tcPr>
            <w:tcW w:w="1134"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88.5 (499)</w:t>
            </w:r>
          </w:p>
        </w:tc>
        <w:tc>
          <w:tcPr>
            <w:tcW w:w="1134" w:type="dxa"/>
            <w:tcBorders>
              <w:top w:val="nil"/>
              <w:left w:val="nil"/>
              <w:bottom w:val="single" w:sz="8" w:space="0" w:color="auto"/>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77 (53)</w:t>
            </w:r>
          </w:p>
        </w:tc>
      </w:tr>
      <w:tr w:rsidR="00692A01" w:rsidRPr="00AD47FD" w:rsidTr="006653EB">
        <w:trPr>
          <w:trHeight w:val="300"/>
        </w:trPr>
        <w:tc>
          <w:tcPr>
            <w:tcW w:w="1520" w:type="dxa"/>
            <w:vMerge w:val="restart"/>
            <w:tcBorders>
              <w:top w:val="nil"/>
              <w:left w:val="single" w:sz="8" w:space="0" w:color="auto"/>
              <w:bottom w:val="single" w:sz="8" w:space="0" w:color="000000"/>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Residence</w:t>
            </w:r>
          </w:p>
        </w:tc>
        <w:tc>
          <w:tcPr>
            <w:tcW w:w="1447"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p>
        </w:tc>
        <w:tc>
          <w:tcPr>
            <w:tcW w:w="1276"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sz w:val="20"/>
                <w:szCs w:val="20"/>
                <w:lang w:eastAsia="en-GB"/>
              </w:rPr>
            </w:pPr>
          </w:p>
        </w:tc>
        <w:tc>
          <w:tcPr>
            <w:tcW w:w="1276" w:type="dxa"/>
            <w:tcBorders>
              <w:top w:val="nil"/>
              <w:left w:val="nil"/>
              <w:bottom w:val="nil"/>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i/>
                <w:iCs/>
                <w:color w:val="000000"/>
                <w:sz w:val="20"/>
                <w:szCs w:val="20"/>
                <w:lang w:eastAsia="en-GB"/>
              </w:rPr>
            </w:pPr>
            <w:r w:rsidRPr="00AD47FD">
              <w:rPr>
                <w:rFonts w:asciiTheme="majorBidi" w:eastAsia="Times New Roman" w:hAnsiTheme="majorBidi" w:cstheme="majorBidi"/>
                <w:i/>
                <w:iCs/>
                <w:color w:val="000000"/>
                <w:sz w:val="20"/>
                <w:szCs w:val="20"/>
                <w:lang w:eastAsia="en-GB"/>
              </w:rPr>
              <w:t>NS</w:t>
            </w:r>
          </w:p>
        </w:tc>
        <w:tc>
          <w:tcPr>
            <w:tcW w:w="1134"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i/>
                <w:iCs/>
                <w:color w:val="000000"/>
                <w:sz w:val="20"/>
                <w:szCs w:val="20"/>
                <w:lang w:eastAsia="en-GB"/>
              </w:rPr>
            </w:pPr>
            <w:r w:rsidRPr="00AD47FD">
              <w:rPr>
                <w:rFonts w:asciiTheme="majorBidi" w:eastAsia="Times New Roman" w:hAnsiTheme="majorBidi" w:cstheme="majorBidi"/>
                <w:i/>
                <w:iCs/>
                <w:color w:val="000000"/>
                <w:sz w:val="20"/>
                <w:szCs w:val="20"/>
                <w:lang w:eastAsia="en-GB"/>
              </w:rPr>
              <w:t>NS</w:t>
            </w:r>
          </w:p>
        </w:tc>
        <w:tc>
          <w:tcPr>
            <w:tcW w:w="1134" w:type="dxa"/>
            <w:tcBorders>
              <w:top w:val="nil"/>
              <w:left w:val="nil"/>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i/>
                <w:iCs/>
                <w:color w:val="000000"/>
                <w:sz w:val="20"/>
                <w:szCs w:val="20"/>
                <w:lang w:eastAsia="en-GB"/>
              </w:rPr>
            </w:pPr>
            <w:r w:rsidRPr="00AD47FD">
              <w:rPr>
                <w:rFonts w:asciiTheme="majorBidi" w:eastAsia="Times New Roman" w:hAnsiTheme="majorBidi" w:cstheme="majorBidi"/>
                <w:i/>
                <w:iCs/>
                <w:color w:val="000000"/>
                <w:sz w:val="20"/>
                <w:szCs w:val="20"/>
                <w:lang w:eastAsia="en-GB"/>
              </w:rPr>
              <w:t>NS</w:t>
            </w:r>
          </w:p>
        </w:tc>
      </w:tr>
      <w:tr w:rsidR="00692A01" w:rsidRPr="00AD47FD" w:rsidTr="006653EB">
        <w:trPr>
          <w:trHeight w:val="300"/>
        </w:trPr>
        <w:tc>
          <w:tcPr>
            <w:tcW w:w="1520" w:type="dxa"/>
            <w:vMerge/>
            <w:tcBorders>
              <w:top w:val="nil"/>
              <w:left w:val="single" w:sz="8" w:space="0" w:color="auto"/>
              <w:bottom w:val="single" w:sz="8" w:space="0" w:color="000000"/>
              <w:right w:val="nil"/>
            </w:tcBorders>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p>
        </w:tc>
        <w:tc>
          <w:tcPr>
            <w:tcW w:w="1447"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Urban</w:t>
            </w:r>
          </w:p>
        </w:tc>
        <w:tc>
          <w:tcPr>
            <w:tcW w:w="1276"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N/A $</w:t>
            </w:r>
          </w:p>
        </w:tc>
        <w:tc>
          <w:tcPr>
            <w:tcW w:w="1276" w:type="dxa"/>
            <w:tcBorders>
              <w:top w:val="nil"/>
              <w:left w:val="nil"/>
              <w:bottom w:val="nil"/>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83.6 (170)</w:t>
            </w:r>
          </w:p>
        </w:tc>
        <w:tc>
          <w:tcPr>
            <w:tcW w:w="1134" w:type="dxa"/>
            <w:tcBorders>
              <w:top w:val="nil"/>
              <w:left w:val="nil"/>
              <w:bottom w:val="nil"/>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89.3 (505)</w:t>
            </w:r>
          </w:p>
        </w:tc>
        <w:tc>
          <w:tcPr>
            <w:tcW w:w="1134" w:type="dxa"/>
            <w:tcBorders>
              <w:top w:val="nil"/>
              <w:left w:val="nil"/>
              <w:bottom w:val="nil"/>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71.2 (97)</w:t>
            </w:r>
          </w:p>
        </w:tc>
      </w:tr>
      <w:tr w:rsidR="00692A01" w:rsidRPr="00AD47FD" w:rsidTr="006653EB">
        <w:trPr>
          <w:trHeight w:val="315"/>
        </w:trPr>
        <w:tc>
          <w:tcPr>
            <w:tcW w:w="1520" w:type="dxa"/>
            <w:vMerge/>
            <w:tcBorders>
              <w:top w:val="nil"/>
              <w:left w:val="single" w:sz="8" w:space="0" w:color="auto"/>
              <w:bottom w:val="single" w:sz="8" w:space="0" w:color="000000"/>
              <w:right w:val="nil"/>
            </w:tcBorders>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lang w:eastAsia="en-GB"/>
              </w:rPr>
            </w:pPr>
          </w:p>
        </w:tc>
        <w:tc>
          <w:tcPr>
            <w:tcW w:w="1447"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Rural</w:t>
            </w:r>
          </w:p>
        </w:tc>
        <w:tc>
          <w:tcPr>
            <w:tcW w:w="1276"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N/A</w:t>
            </w:r>
          </w:p>
        </w:tc>
        <w:tc>
          <w:tcPr>
            <w:tcW w:w="1276" w:type="dxa"/>
            <w:tcBorders>
              <w:top w:val="nil"/>
              <w:left w:val="nil"/>
              <w:bottom w:val="single" w:sz="8" w:space="0" w:color="auto"/>
              <w:right w:val="nil"/>
            </w:tcBorders>
            <w:shd w:val="clear" w:color="auto" w:fill="auto"/>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81 (85)</w:t>
            </w:r>
          </w:p>
        </w:tc>
        <w:tc>
          <w:tcPr>
            <w:tcW w:w="1134" w:type="dxa"/>
            <w:tcBorders>
              <w:top w:val="nil"/>
              <w:left w:val="nil"/>
              <w:bottom w:val="single" w:sz="8" w:space="0" w:color="auto"/>
              <w:right w:val="nil"/>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85.7 (111)</w:t>
            </w:r>
          </w:p>
        </w:tc>
        <w:tc>
          <w:tcPr>
            <w:tcW w:w="1134" w:type="dxa"/>
            <w:tcBorders>
              <w:top w:val="nil"/>
              <w:left w:val="nil"/>
              <w:bottom w:val="single" w:sz="8" w:space="0" w:color="auto"/>
              <w:right w:val="single" w:sz="8" w:space="0" w:color="auto"/>
            </w:tcBorders>
            <w:shd w:val="clear" w:color="auto" w:fill="auto"/>
            <w:noWrap/>
            <w:vAlign w:val="center"/>
            <w:hideMark/>
          </w:tcPr>
          <w:p w:rsidR="00692A01" w:rsidRPr="00AD47FD" w:rsidRDefault="00692A01" w:rsidP="006653EB">
            <w:pPr>
              <w:spacing w:after="0" w:line="240" w:lineRule="auto"/>
              <w:jc w:val="both"/>
              <w:rPr>
                <w:rFonts w:asciiTheme="majorBidi" w:eastAsia="Times New Roman" w:hAnsiTheme="majorBidi" w:cstheme="majorBidi"/>
                <w:color w:val="000000"/>
                <w:sz w:val="20"/>
                <w:szCs w:val="20"/>
                <w:lang w:eastAsia="en-GB"/>
              </w:rPr>
            </w:pPr>
            <w:r w:rsidRPr="00AD47FD">
              <w:rPr>
                <w:rFonts w:asciiTheme="majorBidi" w:eastAsia="Times New Roman" w:hAnsiTheme="majorBidi" w:cstheme="majorBidi"/>
                <w:color w:val="000000"/>
                <w:sz w:val="20"/>
                <w:szCs w:val="20"/>
                <w:lang w:eastAsia="en-GB"/>
              </w:rPr>
              <w:t>83.1 (133)</w:t>
            </w:r>
          </w:p>
        </w:tc>
      </w:tr>
    </w:tbl>
    <w:p w:rsidR="00692A01" w:rsidRPr="00AD47FD" w:rsidRDefault="00692A01" w:rsidP="00692A01">
      <w:pPr>
        <w:spacing w:after="0" w:line="240" w:lineRule="auto"/>
        <w:rPr>
          <w:rFonts w:asciiTheme="majorBidi" w:eastAsia="Times New Roman" w:hAnsiTheme="majorBidi" w:cstheme="majorBidi"/>
          <w:b/>
          <w:bCs/>
          <w:color w:val="000000"/>
          <w:sz w:val="20"/>
          <w:szCs w:val="20"/>
          <w:lang w:eastAsia="en-GB"/>
        </w:rPr>
      </w:pPr>
    </w:p>
    <w:p w:rsidR="00692A01" w:rsidRPr="00AD47FD" w:rsidRDefault="00692A01" w:rsidP="00692A01">
      <w:pPr>
        <w:spacing w:after="0" w:line="240" w:lineRule="auto"/>
        <w:rPr>
          <w:rFonts w:asciiTheme="majorBidi" w:eastAsia="Times New Roman" w:hAnsiTheme="majorBidi" w:cstheme="majorBidi"/>
          <w:b/>
          <w:bCs/>
          <w:color w:val="000000"/>
          <w:sz w:val="20"/>
          <w:szCs w:val="20"/>
          <w:lang w:eastAsia="en-GB"/>
        </w:rPr>
      </w:pPr>
    </w:p>
    <w:p w:rsidR="00692A01" w:rsidRPr="00AD47FD" w:rsidRDefault="00692A01" w:rsidP="00692A01">
      <w:pPr>
        <w:spacing w:after="0" w:line="240" w:lineRule="auto"/>
        <w:rPr>
          <w:rFonts w:asciiTheme="majorBidi" w:eastAsia="Times New Roman" w:hAnsiTheme="majorBidi" w:cstheme="majorBidi"/>
          <w:b/>
          <w:bCs/>
          <w:color w:val="000000"/>
          <w:sz w:val="20"/>
          <w:szCs w:val="20"/>
          <w:lang w:eastAsia="en-GB"/>
        </w:rPr>
      </w:pPr>
    </w:p>
    <w:p w:rsidR="00692A01" w:rsidRDefault="00692A01" w:rsidP="00692A01">
      <w:pPr>
        <w:rPr>
          <w:rFonts w:asciiTheme="majorBidi" w:eastAsia="Times New Roman" w:hAnsiTheme="majorBidi" w:cstheme="majorBidi"/>
          <w:b/>
          <w:bCs/>
          <w:color w:val="000000"/>
          <w:sz w:val="20"/>
          <w:szCs w:val="20"/>
          <w:lang w:eastAsia="en-GB"/>
        </w:rPr>
      </w:pPr>
      <w:r>
        <w:rPr>
          <w:rFonts w:asciiTheme="majorBidi" w:eastAsia="Times New Roman" w:hAnsiTheme="majorBidi" w:cstheme="majorBidi"/>
          <w:b/>
          <w:bCs/>
          <w:color w:val="000000"/>
          <w:sz w:val="20"/>
          <w:szCs w:val="20"/>
          <w:lang w:eastAsia="en-GB"/>
        </w:rPr>
        <w:t>$ - Footnote: ‘NS’ – not significant</w:t>
      </w:r>
    </w:p>
    <w:p w:rsidR="00692A01" w:rsidRDefault="00692A01" w:rsidP="00692A01">
      <w:pPr>
        <w:spacing w:after="0" w:line="240" w:lineRule="auto"/>
        <w:rPr>
          <w:rFonts w:asciiTheme="majorBidi" w:eastAsia="Times New Roman" w:hAnsiTheme="majorBidi" w:cstheme="majorBidi"/>
          <w:b/>
          <w:bCs/>
          <w:color w:val="000000"/>
          <w:sz w:val="20"/>
          <w:szCs w:val="20"/>
          <w:lang w:eastAsia="en-GB"/>
        </w:rPr>
        <w:sectPr w:rsidR="00692A01" w:rsidSect="00F013CC">
          <w:pgSz w:w="11906" w:h="16838"/>
          <w:pgMar w:top="1440" w:right="1440" w:bottom="1440" w:left="1440" w:header="709" w:footer="709" w:gutter="0"/>
          <w:cols w:space="708"/>
          <w:docGrid w:linePitch="360"/>
        </w:sectPr>
      </w:pPr>
    </w:p>
    <w:p w:rsidR="00692A01" w:rsidRPr="00F013CC" w:rsidRDefault="00692A01" w:rsidP="00692A01">
      <w:pPr>
        <w:spacing w:after="0" w:line="240" w:lineRule="auto"/>
        <w:rPr>
          <w:rFonts w:asciiTheme="majorBidi" w:eastAsia="Times New Roman" w:hAnsiTheme="majorBidi" w:cstheme="majorBidi"/>
          <w:b/>
          <w:bCs/>
          <w:color w:val="000000"/>
          <w:sz w:val="24"/>
          <w:szCs w:val="20"/>
          <w:lang w:eastAsia="en-GB"/>
        </w:rPr>
      </w:pPr>
      <w:r w:rsidRPr="00F013CC">
        <w:rPr>
          <w:rFonts w:asciiTheme="majorBidi" w:eastAsia="Times New Roman" w:hAnsiTheme="majorBidi" w:cstheme="majorBidi"/>
          <w:b/>
          <w:bCs/>
          <w:color w:val="000000"/>
          <w:sz w:val="24"/>
          <w:szCs w:val="20"/>
          <w:lang w:eastAsia="en-GB"/>
        </w:rPr>
        <w:lastRenderedPageBreak/>
        <w:t>Table 4: Presence of self-reported non-communicable disease by diabetic status</w:t>
      </w:r>
    </w:p>
    <w:p w:rsidR="00692A01" w:rsidRPr="00AD47FD" w:rsidRDefault="00692A01" w:rsidP="00692A01">
      <w:pPr>
        <w:spacing w:after="0" w:line="240" w:lineRule="auto"/>
        <w:rPr>
          <w:rFonts w:asciiTheme="majorBidi" w:eastAsia="Times New Roman" w:hAnsiTheme="majorBidi" w:cstheme="majorBidi"/>
          <w:b/>
          <w:bCs/>
          <w:color w:val="000000"/>
          <w:sz w:val="20"/>
          <w:szCs w:val="20"/>
          <w:lang w:eastAsia="en-GB"/>
        </w:rPr>
      </w:pPr>
    </w:p>
    <w:p w:rsidR="00692A01" w:rsidRPr="00AD47FD" w:rsidRDefault="00692A01" w:rsidP="00692A01">
      <w:pPr>
        <w:spacing w:after="0" w:line="240" w:lineRule="auto"/>
        <w:rPr>
          <w:rFonts w:asciiTheme="majorBidi" w:eastAsia="Times New Roman" w:hAnsiTheme="majorBidi" w:cstheme="majorBidi"/>
          <w:b/>
          <w:bCs/>
          <w:color w:val="000000"/>
          <w:sz w:val="20"/>
          <w:szCs w:val="20"/>
          <w:lang w:eastAsia="en-GB"/>
        </w:rPr>
      </w:pPr>
      <w:r w:rsidRPr="00C81F2F">
        <w:rPr>
          <w:rFonts w:asciiTheme="majorBidi" w:hAnsiTheme="majorBidi" w:cstheme="majorBidi"/>
          <w:noProof/>
          <w:sz w:val="20"/>
          <w:szCs w:val="20"/>
          <w:lang w:eastAsia="en-GB"/>
        </w:rPr>
        <w:drawing>
          <wp:inline distT="0" distB="0" distL="0" distR="0" wp14:anchorId="1BCC60D3" wp14:editId="0AAB3E1F">
            <wp:extent cx="8863330" cy="412910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63330" cy="4129102"/>
                    </a:xfrm>
                    <a:prstGeom prst="rect">
                      <a:avLst/>
                    </a:prstGeom>
                    <a:noFill/>
                    <a:ln>
                      <a:noFill/>
                    </a:ln>
                  </pic:spPr>
                </pic:pic>
              </a:graphicData>
            </a:graphic>
          </wp:inline>
        </w:drawing>
      </w:r>
    </w:p>
    <w:p w:rsidR="00692A01" w:rsidRPr="00AD47FD" w:rsidRDefault="00692A01" w:rsidP="00692A01">
      <w:pPr>
        <w:spacing w:after="0" w:line="240" w:lineRule="auto"/>
        <w:rPr>
          <w:rFonts w:asciiTheme="majorBidi" w:eastAsia="Times New Roman" w:hAnsiTheme="majorBidi" w:cstheme="majorBidi"/>
          <w:b/>
          <w:bCs/>
          <w:color w:val="000000"/>
          <w:sz w:val="20"/>
          <w:szCs w:val="20"/>
          <w:lang w:eastAsia="en-GB"/>
        </w:rPr>
      </w:pPr>
    </w:p>
    <w:p w:rsidR="00692A01" w:rsidRPr="00AD47FD" w:rsidRDefault="00692A01" w:rsidP="00692A01">
      <w:pPr>
        <w:rPr>
          <w:rFonts w:asciiTheme="majorBidi" w:eastAsia="Times New Roman" w:hAnsiTheme="majorBidi" w:cstheme="majorBidi"/>
          <w:b/>
          <w:bCs/>
          <w:color w:val="000000"/>
          <w:sz w:val="20"/>
          <w:szCs w:val="20"/>
          <w:lang w:eastAsia="en-GB"/>
        </w:rPr>
      </w:pPr>
      <w:r w:rsidRPr="00AD47FD">
        <w:rPr>
          <w:rFonts w:asciiTheme="majorBidi" w:eastAsia="Times New Roman" w:hAnsiTheme="majorBidi" w:cstheme="majorBidi"/>
          <w:b/>
          <w:bCs/>
          <w:color w:val="000000"/>
          <w:sz w:val="20"/>
          <w:szCs w:val="20"/>
          <w:lang w:eastAsia="en-GB"/>
        </w:rPr>
        <w:br w:type="page"/>
      </w:r>
    </w:p>
    <w:p w:rsidR="00692A01" w:rsidRPr="00F013CC" w:rsidRDefault="00692A01" w:rsidP="00692A01">
      <w:pPr>
        <w:spacing w:after="0" w:line="240" w:lineRule="auto"/>
        <w:rPr>
          <w:rFonts w:asciiTheme="majorBidi" w:eastAsia="Times New Roman" w:hAnsiTheme="majorBidi" w:cstheme="majorBidi"/>
          <w:b/>
          <w:bCs/>
          <w:color w:val="000000"/>
          <w:sz w:val="24"/>
          <w:szCs w:val="20"/>
          <w:lang w:eastAsia="en-GB"/>
        </w:rPr>
      </w:pPr>
      <w:r w:rsidRPr="00F013CC">
        <w:rPr>
          <w:rFonts w:asciiTheme="majorBidi" w:eastAsia="Times New Roman" w:hAnsiTheme="majorBidi" w:cstheme="majorBidi"/>
          <w:b/>
          <w:bCs/>
          <w:color w:val="000000"/>
          <w:sz w:val="24"/>
          <w:szCs w:val="20"/>
          <w:lang w:eastAsia="en-GB"/>
        </w:rPr>
        <w:lastRenderedPageBreak/>
        <w:t>Table 5:  Incident Rate Ratios (IRR) for the number of co-morbidities by socioeconomic and demographic factors</w:t>
      </w:r>
    </w:p>
    <w:p w:rsidR="00692A01" w:rsidRPr="00AD47FD" w:rsidRDefault="00692A01" w:rsidP="00692A01">
      <w:pPr>
        <w:spacing w:after="0" w:line="240" w:lineRule="auto"/>
        <w:rPr>
          <w:rFonts w:asciiTheme="majorBidi" w:eastAsia="Times New Roman" w:hAnsiTheme="majorBidi" w:cstheme="majorBidi"/>
          <w:b/>
          <w:bCs/>
          <w:color w:val="000000"/>
          <w:sz w:val="20"/>
          <w:szCs w:val="20"/>
          <w:lang w:eastAsia="en-GB"/>
        </w:rPr>
      </w:pPr>
    </w:p>
    <w:tbl>
      <w:tblPr>
        <w:tblW w:w="12959" w:type="dxa"/>
        <w:tblInd w:w="93" w:type="dxa"/>
        <w:tblLook w:val="04A0" w:firstRow="1" w:lastRow="0" w:firstColumn="1" w:lastColumn="0" w:noHBand="0" w:noVBand="1"/>
      </w:tblPr>
      <w:tblGrid>
        <w:gridCol w:w="305"/>
        <w:gridCol w:w="1795"/>
        <w:gridCol w:w="979"/>
        <w:gridCol w:w="805"/>
        <w:gridCol w:w="808"/>
        <w:gridCol w:w="305"/>
        <w:gridCol w:w="864"/>
        <w:gridCol w:w="805"/>
        <w:gridCol w:w="847"/>
        <w:gridCol w:w="305"/>
        <w:gridCol w:w="805"/>
        <w:gridCol w:w="808"/>
        <w:gridCol w:w="805"/>
        <w:gridCol w:w="305"/>
        <w:gridCol w:w="805"/>
        <w:gridCol w:w="805"/>
        <w:gridCol w:w="808"/>
      </w:tblGrid>
      <w:tr w:rsidR="00692A01" w:rsidRPr="00AD47FD" w:rsidTr="006653EB">
        <w:trPr>
          <w:trHeight w:val="135"/>
        </w:trPr>
        <w:tc>
          <w:tcPr>
            <w:tcW w:w="2100" w:type="dxa"/>
            <w:gridSpan w:val="2"/>
            <w:vMerge w:val="restart"/>
            <w:tcBorders>
              <w:top w:val="single" w:sz="4" w:space="0" w:color="auto"/>
              <w:left w:val="nil"/>
              <w:bottom w:val="single" w:sz="4" w:space="0" w:color="000000"/>
              <w:right w:val="nil"/>
            </w:tcBorders>
            <w:shd w:val="clear" w:color="auto" w:fill="auto"/>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Number of comorbidity</w:t>
            </w:r>
          </w:p>
        </w:tc>
        <w:tc>
          <w:tcPr>
            <w:tcW w:w="979" w:type="dxa"/>
            <w:tcBorders>
              <w:top w:val="single" w:sz="4" w:space="0" w:color="auto"/>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r w:rsidRPr="00AD47FD">
              <w:rPr>
                <w:rFonts w:asciiTheme="majorBidi" w:eastAsia="Times New Roman" w:hAnsiTheme="majorBidi" w:cstheme="majorBidi"/>
                <w:b/>
                <w:bCs/>
                <w:color w:val="000000"/>
                <w:sz w:val="20"/>
                <w:szCs w:val="20"/>
              </w:rPr>
              <w:t>Kuwait</w:t>
            </w:r>
          </w:p>
        </w:tc>
        <w:tc>
          <w:tcPr>
            <w:tcW w:w="805" w:type="dxa"/>
            <w:tcBorders>
              <w:top w:val="single" w:sz="4" w:space="0" w:color="auto"/>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r w:rsidRPr="00AD47FD">
              <w:rPr>
                <w:rFonts w:asciiTheme="majorBidi" w:eastAsia="Times New Roman" w:hAnsiTheme="majorBidi" w:cstheme="majorBidi"/>
                <w:b/>
                <w:bCs/>
                <w:color w:val="000000"/>
                <w:sz w:val="20"/>
                <w:szCs w:val="20"/>
              </w:rPr>
              <w:t> </w:t>
            </w:r>
          </w:p>
        </w:tc>
        <w:tc>
          <w:tcPr>
            <w:tcW w:w="808" w:type="dxa"/>
            <w:tcBorders>
              <w:top w:val="single" w:sz="4" w:space="0" w:color="auto"/>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r w:rsidRPr="00AD47FD">
              <w:rPr>
                <w:rFonts w:asciiTheme="majorBidi" w:eastAsia="Times New Roman" w:hAnsiTheme="majorBidi" w:cstheme="majorBidi"/>
                <w:b/>
                <w:bCs/>
                <w:color w:val="000000"/>
                <w:sz w:val="20"/>
                <w:szCs w:val="20"/>
              </w:rPr>
              <w:t> </w:t>
            </w:r>
          </w:p>
        </w:tc>
        <w:tc>
          <w:tcPr>
            <w:tcW w:w="305" w:type="dxa"/>
            <w:tcBorders>
              <w:top w:val="single" w:sz="4" w:space="0" w:color="auto"/>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p>
        </w:tc>
        <w:tc>
          <w:tcPr>
            <w:tcW w:w="864" w:type="dxa"/>
            <w:tcBorders>
              <w:top w:val="single" w:sz="4" w:space="0" w:color="auto"/>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b/>
                <w:bCs/>
                <w:color w:val="000000"/>
                <w:sz w:val="20"/>
                <w:szCs w:val="20"/>
              </w:rPr>
            </w:pPr>
            <w:r w:rsidRPr="00AD47FD">
              <w:rPr>
                <w:rFonts w:asciiTheme="majorBidi" w:eastAsia="Times New Roman" w:hAnsiTheme="majorBidi" w:cstheme="majorBidi"/>
                <w:b/>
                <w:bCs/>
                <w:color w:val="000000"/>
                <w:sz w:val="20"/>
                <w:szCs w:val="20"/>
              </w:rPr>
              <w:t>Oman</w:t>
            </w:r>
          </w:p>
        </w:tc>
        <w:tc>
          <w:tcPr>
            <w:tcW w:w="805" w:type="dxa"/>
            <w:tcBorders>
              <w:top w:val="single" w:sz="4" w:space="0" w:color="auto"/>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b/>
                <w:bCs/>
                <w:color w:val="000000"/>
                <w:sz w:val="20"/>
                <w:szCs w:val="20"/>
              </w:rPr>
            </w:pPr>
            <w:r w:rsidRPr="00AD47FD">
              <w:rPr>
                <w:rFonts w:asciiTheme="majorBidi" w:eastAsia="Times New Roman" w:hAnsiTheme="majorBidi" w:cstheme="majorBidi"/>
                <w:b/>
                <w:bCs/>
                <w:color w:val="000000"/>
                <w:sz w:val="20"/>
                <w:szCs w:val="20"/>
              </w:rPr>
              <w:t> </w:t>
            </w:r>
          </w:p>
        </w:tc>
        <w:tc>
          <w:tcPr>
            <w:tcW w:w="847" w:type="dxa"/>
            <w:tcBorders>
              <w:top w:val="single" w:sz="4" w:space="0" w:color="auto"/>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b/>
                <w:bCs/>
                <w:color w:val="000000"/>
                <w:sz w:val="20"/>
                <w:szCs w:val="20"/>
              </w:rPr>
            </w:pPr>
            <w:r w:rsidRPr="00AD47FD">
              <w:rPr>
                <w:rFonts w:asciiTheme="majorBidi" w:eastAsia="Times New Roman" w:hAnsiTheme="majorBidi" w:cstheme="majorBidi"/>
                <w:b/>
                <w:bCs/>
                <w:color w:val="000000"/>
                <w:sz w:val="20"/>
                <w:szCs w:val="20"/>
              </w:rPr>
              <w:t> </w:t>
            </w:r>
          </w:p>
        </w:tc>
        <w:tc>
          <w:tcPr>
            <w:tcW w:w="305" w:type="dxa"/>
            <w:tcBorders>
              <w:top w:val="single" w:sz="4" w:space="0" w:color="auto"/>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p>
        </w:tc>
        <w:tc>
          <w:tcPr>
            <w:tcW w:w="1613" w:type="dxa"/>
            <w:gridSpan w:val="2"/>
            <w:tcBorders>
              <w:top w:val="single" w:sz="4" w:space="0" w:color="auto"/>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r w:rsidRPr="00AD47FD">
              <w:rPr>
                <w:rFonts w:asciiTheme="majorBidi" w:eastAsia="Times New Roman" w:hAnsiTheme="majorBidi" w:cstheme="majorBidi"/>
                <w:b/>
                <w:bCs/>
                <w:color w:val="000000"/>
                <w:sz w:val="20"/>
                <w:szCs w:val="20"/>
              </w:rPr>
              <w:t>Saudi Arabia</w:t>
            </w:r>
          </w:p>
        </w:tc>
        <w:tc>
          <w:tcPr>
            <w:tcW w:w="805" w:type="dxa"/>
            <w:tcBorders>
              <w:top w:val="single" w:sz="4" w:space="0" w:color="auto"/>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r w:rsidRPr="00AD47FD">
              <w:rPr>
                <w:rFonts w:asciiTheme="majorBidi" w:eastAsia="Times New Roman" w:hAnsiTheme="majorBidi" w:cstheme="majorBidi"/>
                <w:b/>
                <w:bCs/>
                <w:color w:val="000000"/>
                <w:sz w:val="20"/>
                <w:szCs w:val="20"/>
              </w:rPr>
              <w:t> </w:t>
            </w:r>
          </w:p>
        </w:tc>
        <w:tc>
          <w:tcPr>
            <w:tcW w:w="305" w:type="dxa"/>
            <w:tcBorders>
              <w:top w:val="single" w:sz="4" w:space="0" w:color="auto"/>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p>
        </w:tc>
        <w:tc>
          <w:tcPr>
            <w:tcW w:w="805" w:type="dxa"/>
            <w:tcBorders>
              <w:top w:val="single" w:sz="4" w:space="0" w:color="auto"/>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r w:rsidRPr="00AD47FD">
              <w:rPr>
                <w:rFonts w:asciiTheme="majorBidi" w:eastAsia="Times New Roman" w:hAnsiTheme="majorBidi" w:cstheme="majorBidi"/>
                <w:b/>
                <w:bCs/>
                <w:color w:val="000000"/>
                <w:sz w:val="20"/>
                <w:szCs w:val="20"/>
              </w:rPr>
              <w:t>UAE</w:t>
            </w:r>
          </w:p>
        </w:tc>
        <w:tc>
          <w:tcPr>
            <w:tcW w:w="805" w:type="dxa"/>
            <w:tcBorders>
              <w:top w:val="single" w:sz="4" w:space="0" w:color="auto"/>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c>
          <w:tcPr>
            <w:tcW w:w="808" w:type="dxa"/>
            <w:tcBorders>
              <w:top w:val="single" w:sz="4" w:space="0" w:color="auto"/>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r>
      <w:tr w:rsidR="00692A01" w:rsidRPr="00AD47FD" w:rsidTr="006653EB">
        <w:trPr>
          <w:trHeight w:val="135"/>
        </w:trPr>
        <w:tc>
          <w:tcPr>
            <w:tcW w:w="2100" w:type="dxa"/>
            <w:gridSpan w:val="2"/>
            <w:vMerge/>
            <w:tcBorders>
              <w:top w:val="single" w:sz="4" w:space="0" w:color="auto"/>
              <w:left w:val="nil"/>
              <w:bottom w:val="single" w:sz="4" w:space="0" w:color="000000"/>
              <w:right w:val="nil"/>
            </w:tcBorders>
            <w:vAlign w:val="center"/>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979"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IRR</w:t>
            </w:r>
          </w:p>
        </w:tc>
        <w:tc>
          <w:tcPr>
            <w:tcW w:w="1613" w:type="dxa"/>
            <w:gridSpan w:val="2"/>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95%CI</w:t>
            </w:r>
          </w:p>
        </w:tc>
        <w:tc>
          <w:tcPr>
            <w:tcW w:w="305"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c>
          <w:tcPr>
            <w:tcW w:w="864"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IRR</w:t>
            </w:r>
          </w:p>
        </w:tc>
        <w:tc>
          <w:tcPr>
            <w:tcW w:w="1652" w:type="dxa"/>
            <w:gridSpan w:val="2"/>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95%CI</w:t>
            </w:r>
          </w:p>
        </w:tc>
        <w:tc>
          <w:tcPr>
            <w:tcW w:w="305"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c>
          <w:tcPr>
            <w:tcW w:w="805"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IRR</w:t>
            </w:r>
          </w:p>
        </w:tc>
        <w:tc>
          <w:tcPr>
            <w:tcW w:w="1613" w:type="dxa"/>
            <w:gridSpan w:val="2"/>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95%CI</w:t>
            </w:r>
          </w:p>
        </w:tc>
        <w:tc>
          <w:tcPr>
            <w:tcW w:w="305"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c>
          <w:tcPr>
            <w:tcW w:w="805"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IRR</w:t>
            </w:r>
          </w:p>
        </w:tc>
        <w:tc>
          <w:tcPr>
            <w:tcW w:w="1613" w:type="dxa"/>
            <w:gridSpan w:val="2"/>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95%CI</w:t>
            </w:r>
          </w:p>
        </w:tc>
      </w:tr>
      <w:tr w:rsidR="00692A01" w:rsidRPr="00AD47FD" w:rsidTr="006653EB">
        <w:trPr>
          <w:trHeight w:val="135"/>
        </w:trPr>
        <w:tc>
          <w:tcPr>
            <w:tcW w:w="2100" w:type="dxa"/>
            <w:gridSpan w:val="2"/>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r w:rsidRPr="00AD47FD">
              <w:rPr>
                <w:rFonts w:asciiTheme="majorBidi" w:eastAsia="Times New Roman" w:hAnsiTheme="majorBidi" w:cstheme="majorBidi"/>
                <w:b/>
                <w:bCs/>
                <w:color w:val="000000"/>
                <w:sz w:val="20"/>
                <w:szCs w:val="20"/>
              </w:rPr>
              <w:t>Age group (years)</w:t>
            </w:r>
          </w:p>
        </w:tc>
        <w:tc>
          <w:tcPr>
            <w:tcW w:w="979"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864"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847"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r>
      <w:tr w:rsidR="00692A01" w:rsidRPr="00AD47FD" w:rsidTr="006653EB">
        <w:trPr>
          <w:trHeight w:val="135"/>
        </w:trPr>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p>
        </w:tc>
        <w:tc>
          <w:tcPr>
            <w:tcW w:w="179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30-39</w:t>
            </w:r>
          </w:p>
        </w:tc>
        <w:tc>
          <w:tcPr>
            <w:tcW w:w="979"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1.45</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(1.06</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1.97)</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64"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1.71</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(1.11</w:t>
            </w:r>
          </w:p>
        </w:tc>
        <w:tc>
          <w:tcPr>
            <w:tcW w:w="847"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2.65)</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1.37</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(1.19</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1.59)</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1.70</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(1.07</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2.72)</w:t>
            </w:r>
          </w:p>
        </w:tc>
      </w:tr>
      <w:tr w:rsidR="00692A01" w:rsidRPr="00AD47FD" w:rsidTr="006653EB">
        <w:trPr>
          <w:trHeight w:val="135"/>
        </w:trPr>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p>
        </w:tc>
        <w:tc>
          <w:tcPr>
            <w:tcW w:w="179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40-49</w:t>
            </w:r>
          </w:p>
        </w:tc>
        <w:tc>
          <w:tcPr>
            <w:tcW w:w="979"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1.80</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(1.38</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2.37)</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64"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4.26</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(3.00</w:t>
            </w:r>
          </w:p>
        </w:tc>
        <w:tc>
          <w:tcPr>
            <w:tcW w:w="847"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6.06)</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1.85</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(1.59</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2.15)</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1.89</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(1.14</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3.11)</w:t>
            </w:r>
          </w:p>
        </w:tc>
      </w:tr>
      <w:tr w:rsidR="00692A01" w:rsidRPr="00AD47FD" w:rsidTr="006653EB">
        <w:trPr>
          <w:trHeight w:val="135"/>
        </w:trPr>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p>
        </w:tc>
        <w:tc>
          <w:tcPr>
            <w:tcW w:w="179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50-59</w:t>
            </w:r>
          </w:p>
        </w:tc>
        <w:tc>
          <w:tcPr>
            <w:tcW w:w="979"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2.80</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(2.14</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3.67)</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64"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5.68</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(3.95</w:t>
            </w:r>
          </w:p>
        </w:tc>
        <w:tc>
          <w:tcPr>
            <w:tcW w:w="847"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8.17)</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3.22</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(2.76</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3.76)</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2.21</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(1.32</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3.70)</w:t>
            </w:r>
          </w:p>
        </w:tc>
      </w:tr>
      <w:tr w:rsidR="00692A01" w:rsidRPr="00AD47FD" w:rsidTr="006653EB">
        <w:trPr>
          <w:trHeight w:val="135"/>
        </w:trPr>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p>
        </w:tc>
        <w:tc>
          <w:tcPr>
            <w:tcW w:w="179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60+</w:t>
            </w:r>
          </w:p>
        </w:tc>
        <w:tc>
          <w:tcPr>
            <w:tcW w:w="979"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3.23</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(2.44</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4.27)</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64"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9.75</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(6.97</w:t>
            </w:r>
          </w:p>
        </w:tc>
        <w:tc>
          <w:tcPr>
            <w:tcW w:w="847"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13.64)</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4.33</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(3.71</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5.05)</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4.50</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(2.76</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7.32)</w:t>
            </w:r>
          </w:p>
        </w:tc>
      </w:tr>
      <w:tr w:rsidR="00692A01" w:rsidRPr="00AD47FD" w:rsidTr="006653EB">
        <w:trPr>
          <w:trHeight w:val="135"/>
        </w:trPr>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p>
        </w:tc>
        <w:tc>
          <w:tcPr>
            <w:tcW w:w="179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979"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64"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47"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r>
      <w:tr w:rsidR="00692A01" w:rsidRPr="00AD47FD" w:rsidTr="006653EB">
        <w:trPr>
          <w:trHeight w:val="135"/>
        </w:trPr>
        <w:tc>
          <w:tcPr>
            <w:tcW w:w="2100" w:type="dxa"/>
            <w:gridSpan w:val="2"/>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r w:rsidRPr="00AD47FD">
              <w:rPr>
                <w:rFonts w:asciiTheme="majorBidi" w:eastAsia="Times New Roman" w:hAnsiTheme="majorBidi" w:cstheme="majorBidi"/>
                <w:b/>
                <w:bCs/>
                <w:color w:val="000000"/>
                <w:sz w:val="20"/>
                <w:szCs w:val="20"/>
              </w:rPr>
              <w:t>BMI</w:t>
            </w:r>
          </w:p>
        </w:tc>
        <w:tc>
          <w:tcPr>
            <w:tcW w:w="979"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64"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47"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r>
      <w:tr w:rsidR="00692A01" w:rsidRPr="00AD47FD" w:rsidTr="006653EB">
        <w:trPr>
          <w:trHeight w:val="135"/>
        </w:trPr>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p>
        </w:tc>
        <w:tc>
          <w:tcPr>
            <w:tcW w:w="179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O</w:t>
            </w:r>
            <w:r>
              <w:rPr>
                <w:rFonts w:asciiTheme="majorBidi" w:eastAsia="Times New Roman" w:hAnsiTheme="majorBidi" w:cstheme="majorBidi"/>
                <w:color w:val="000000"/>
                <w:sz w:val="20"/>
                <w:szCs w:val="20"/>
              </w:rPr>
              <w:t>v</w:t>
            </w:r>
            <w:r w:rsidRPr="00AD47FD">
              <w:rPr>
                <w:rFonts w:asciiTheme="majorBidi" w:eastAsia="Times New Roman" w:hAnsiTheme="majorBidi" w:cstheme="majorBidi"/>
                <w:color w:val="000000"/>
                <w:sz w:val="20"/>
                <w:szCs w:val="20"/>
              </w:rPr>
              <w:t>erweight</w:t>
            </w:r>
          </w:p>
        </w:tc>
        <w:tc>
          <w:tcPr>
            <w:tcW w:w="979"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1.13</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(0.87</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1.46)</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64"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1.22</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(0.97</w:t>
            </w:r>
          </w:p>
        </w:tc>
        <w:tc>
          <w:tcPr>
            <w:tcW w:w="847"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1.52)</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1.04</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(0.93</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1.16)</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1.09</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(0.75</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1.60)</w:t>
            </w:r>
          </w:p>
        </w:tc>
      </w:tr>
      <w:tr w:rsidR="00692A01" w:rsidRPr="00AD47FD" w:rsidTr="006653EB">
        <w:trPr>
          <w:trHeight w:val="135"/>
        </w:trPr>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p>
        </w:tc>
        <w:tc>
          <w:tcPr>
            <w:tcW w:w="179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Obese</w:t>
            </w:r>
          </w:p>
        </w:tc>
        <w:tc>
          <w:tcPr>
            <w:tcW w:w="979"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1.41</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(1.10</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1.80)</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64"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1.47</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(1.10</w:t>
            </w:r>
          </w:p>
        </w:tc>
        <w:tc>
          <w:tcPr>
            <w:tcW w:w="847"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1.96)</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1.54</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(1.38</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1.71)</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1.79</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(1.20</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2.69)</w:t>
            </w:r>
          </w:p>
        </w:tc>
      </w:tr>
      <w:tr w:rsidR="00692A01" w:rsidRPr="00AD47FD" w:rsidTr="006653EB">
        <w:trPr>
          <w:trHeight w:val="135"/>
        </w:trPr>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p>
        </w:tc>
        <w:tc>
          <w:tcPr>
            <w:tcW w:w="179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979"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64"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47"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r>
      <w:tr w:rsidR="00692A01" w:rsidRPr="00AD47FD" w:rsidTr="006653EB">
        <w:trPr>
          <w:trHeight w:val="135"/>
        </w:trPr>
        <w:tc>
          <w:tcPr>
            <w:tcW w:w="2100" w:type="dxa"/>
            <w:gridSpan w:val="2"/>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S</w:t>
            </w:r>
            <w:r w:rsidRPr="00AD47FD">
              <w:rPr>
                <w:rFonts w:asciiTheme="majorBidi" w:eastAsia="Times New Roman" w:hAnsiTheme="majorBidi" w:cstheme="majorBidi"/>
                <w:b/>
                <w:bCs/>
                <w:color w:val="000000"/>
                <w:sz w:val="20"/>
                <w:szCs w:val="20"/>
              </w:rPr>
              <w:t>ex</w:t>
            </w:r>
          </w:p>
        </w:tc>
        <w:tc>
          <w:tcPr>
            <w:tcW w:w="979"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64"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47"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r>
      <w:tr w:rsidR="00692A01" w:rsidRPr="00AD47FD" w:rsidTr="006653EB">
        <w:trPr>
          <w:trHeight w:val="135"/>
        </w:trPr>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p>
        </w:tc>
        <w:tc>
          <w:tcPr>
            <w:tcW w:w="179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Female</w:t>
            </w:r>
          </w:p>
        </w:tc>
        <w:tc>
          <w:tcPr>
            <w:tcW w:w="979"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1.35</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(1.16</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1.58)</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64"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1.31</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(1.07</w:t>
            </w:r>
          </w:p>
        </w:tc>
        <w:tc>
          <w:tcPr>
            <w:tcW w:w="847"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1.61)</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1.18</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(1.08</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1.29)</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1.32</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(1.00</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1.75)</w:t>
            </w:r>
          </w:p>
        </w:tc>
      </w:tr>
      <w:tr w:rsidR="00692A01" w:rsidRPr="00AD47FD" w:rsidTr="006653EB">
        <w:trPr>
          <w:trHeight w:val="135"/>
        </w:trPr>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p>
        </w:tc>
        <w:tc>
          <w:tcPr>
            <w:tcW w:w="179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979"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64"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47"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r>
      <w:tr w:rsidR="00692A01" w:rsidRPr="00AD47FD" w:rsidTr="006653EB">
        <w:trPr>
          <w:trHeight w:val="135"/>
        </w:trPr>
        <w:tc>
          <w:tcPr>
            <w:tcW w:w="2100" w:type="dxa"/>
            <w:gridSpan w:val="2"/>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r w:rsidRPr="00AD47FD">
              <w:rPr>
                <w:rFonts w:asciiTheme="majorBidi" w:eastAsia="Times New Roman" w:hAnsiTheme="majorBidi" w:cstheme="majorBidi"/>
                <w:b/>
                <w:bCs/>
                <w:color w:val="000000"/>
                <w:sz w:val="20"/>
                <w:szCs w:val="20"/>
              </w:rPr>
              <w:t>Nationality</w:t>
            </w:r>
          </w:p>
        </w:tc>
        <w:tc>
          <w:tcPr>
            <w:tcW w:w="979"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64"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47"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r>
      <w:tr w:rsidR="00692A01" w:rsidRPr="00AD47FD" w:rsidTr="006653EB">
        <w:trPr>
          <w:trHeight w:val="135"/>
        </w:trPr>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p>
        </w:tc>
        <w:tc>
          <w:tcPr>
            <w:tcW w:w="179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Non-national</w:t>
            </w:r>
          </w:p>
        </w:tc>
        <w:tc>
          <w:tcPr>
            <w:tcW w:w="979"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0.58</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(0.44</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0.76)</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64"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0.43</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(0.32</w:t>
            </w:r>
          </w:p>
        </w:tc>
        <w:tc>
          <w:tcPr>
            <w:tcW w:w="847"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0.59)</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0.75</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(0.67</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0.83)</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0.81</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(0.56</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1.17)</w:t>
            </w:r>
          </w:p>
        </w:tc>
      </w:tr>
      <w:tr w:rsidR="00692A01" w:rsidRPr="00AD47FD" w:rsidTr="006653EB">
        <w:trPr>
          <w:trHeight w:val="135"/>
        </w:trPr>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p>
        </w:tc>
        <w:tc>
          <w:tcPr>
            <w:tcW w:w="179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979"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64"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47"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r>
      <w:tr w:rsidR="00692A01" w:rsidRPr="00AD47FD" w:rsidTr="006653EB">
        <w:trPr>
          <w:trHeight w:val="135"/>
        </w:trPr>
        <w:tc>
          <w:tcPr>
            <w:tcW w:w="2100" w:type="dxa"/>
            <w:gridSpan w:val="2"/>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Education</w:t>
            </w:r>
          </w:p>
        </w:tc>
        <w:tc>
          <w:tcPr>
            <w:tcW w:w="979"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64"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47"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r>
      <w:tr w:rsidR="00692A01" w:rsidRPr="00AD47FD" w:rsidTr="006653EB">
        <w:trPr>
          <w:trHeight w:val="135"/>
        </w:trPr>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p>
        </w:tc>
        <w:tc>
          <w:tcPr>
            <w:tcW w:w="179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Secondary/High</w:t>
            </w:r>
          </w:p>
        </w:tc>
        <w:tc>
          <w:tcPr>
            <w:tcW w:w="979"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1.01</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(0.85</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1.20)</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64"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0.87</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(0.62</w:t>
            </w:r>
          </w:p>
        </w:tc>
        <w:tc>
          <w:tcPr>
            <w:tcW w:w="847"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1.23)</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0.81</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(0.72</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0.90)</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0.78</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(0.55</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1.11)</w:t>
            </w:r>
          </w:p>
        </w:tc>
      </w:tr>
      <w:tr w:rsidR="00692A01" w:rsidRPr="00AD47FD" w:rsidTr="006653EB">
        <w:trPr>
          <w:trHeight w:val="135"/>
        </w:trPr>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p>
        </w:tc>
        <w:tc>
          <w:tcPr>
            <w:tcW w:w="179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College+</w:t>
            </w:r>
          </w:p>
        </w:tc>
        <w:tc>
          <w:tcPr>
            <w:tcW w:w="979"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0.75</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(0.61</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0.92)</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64"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0.89</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(0.66</w:t>
            </w:r>
          </w:p>
        </w:tc>
        <w:tc>
          <w:tcPr>
            <w:tcW w:w="847"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1.22)</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0.69</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(0.61</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0.79)</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0.86</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(0.57</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1.30)</w:t>
            </w:r>
          </w:p>
        </w:tc>
      </w:tr>
      <w:tr w:rsidR="00692A01" w:rsidRPr="00AD47FD" w:rsidTr="006653EB">
        <w:trPr>
          <w:trHeight w:val="135"/>
        </w:trPr>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p>
        </w:tc>
        <w:tc>
          <w:tcPr>
            <w:tcW w:w="179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979"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64"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47"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r>
      <w:tr w:rsidR="00692A01" w:rsidRPr="00AD47FD" w:rsidTr="006653EB">
        <w:trPr>
          <w:trHeight w:val="135"/>
        </w:trPr>
        <w:tc>
          <w:tcPr>
            <w:tcW w:w="2100" w:type="dxa"/>
            <w:gridSpan w:val="2"/>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r w:rsidRPr="00AD47FD">
              <w:rPr>
                <w:rFonts w:asciiTheme="majorBidi" w:eastAsia="Times New Roman" w:hAnsiTheme="majorBidi" w:cstheme="majorBidi"/>
                <w:b/>
                <w:bCs/>
                <w:color w:val="000000"/>
                <w:sz w:val="20"/>
                <w:szCs w:val="20"/>
              </w:rPr>
              <w:t>Marital Status</w:t>
            </w:r>
          </w:p>
        </w:tc>
        <w:tc>
          <w:tcPr>
            <w:tcW w:w="979"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64"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47"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r>
      <w:tr w:rsidR="00692A01" w:rsidRPr="00AD47FD" w:rsidTr="006653EB">
        <w:trPr>
          <w:trHeight w:val="135"/>
        </w:trPr>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p>
        </w:tc>
        <w:tc>
          <w:tcPr>
            <w:tcW w:w="179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Currently married</w:t>
            </w:r>
          </w:p>
        </w:tc>
        <w:tc>
          <w:tcPr>
            <w:tcW w:w="979"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1.04</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(0.87</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1.24)</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64"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0.89</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(0.71</w:t>
            </w:r>
          </w:p>
        </w:tc>
        <w:tc>
          <w:tcPr>
            <w:tcW w:w="847"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1.12)</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0.94</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(0.85</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1.04)</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0.95</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(0.71</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1.27)</w:t>
            </w:r>
          </w:p>
        </w:tc>
      </w:tr>
      <w:tr w:rsidR="00692A01" w:rsidRPr="00AD47FD" w:rsidTr="006653EB">
        <w:trPr>
          <w:trHeight w:val="135"/>
        </w:trPr>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p>
        </w:tc>
        <w:tc>
          <w:tcPr>
            <w:tcW w:w="179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979"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64"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47"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r>
      <w:tr w:rsidR="00692A01" w:rsidRPr="00AD47FD" w:rsidTr="006653EB">
        <w:trPr>
          <w:trHeight w:val="135"/>
        </w:trPr>
        <w:tc>
          <w:tcPr>
            <w:tcW w:w="2100" w:type="dxa"/>
            <w:gridSpan w:val="2"/>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Wealth</w:t>
            </w:r>
          </w:p>
        </w:tc>
        <w:tc>
          <w:tcPr>
            <w:tcW w:w="979"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64"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47"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r>
      <w:tr w:rsidR="00692A01" w:rsidRPr="00AD47FD" w:rsidTr="006653EB">
        <w:trPr>
          <w:trHeight w:val="135"/>
        </w:trPr>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p>
        </w:tc>
        <w:tc>
          <w:tcPr>
            <w:tcW w:w="179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Pr>
                <w:rFonts w:asciiTheme="majorBidi" w:eastAsia="Times New Roman" w:hAnsiTheme="majorBidi" w:cstheme="majorBidi"/>
                <w:color w:val="000000"/>
                <w:sz w:val="20"/>
                <w:szCs w:val="20"/>
              </w:rPr>
              <w:t>Aver</w:t>
            </w:r>
            <w:r w:rsidRPr="00AD47FD">
              <w:rPr>
                <w:rFonts w:asciiTheme="majorBidi" w:eastAsia="Times New Roman" w:hAnsiTheme="majorBidi" w:cstheme="majorBidi"/>
                <w:color w:val="000000"/>
                <w:sz w:val="20"/>
                <w:szCs w:val="20"/>
              </w:rPr>
              <w:t>a</w:t>
            </w:r>
            <w:r>
              <w:rPr>
                <w:rFonts w:asciiTheme="majorBidi" w:eastAsia="Times New Roman" w:hAnsiTheme="majorBidi" w:cstheme="majorBidi"/>
                <w:color w:val="000000"/>
                <w:sz w:val="20"/>
                <w:szCs w:val="20"/>
              </w:rPr>
              <w:t>g</w:t>
            </w:r>
            <w:r w:rsidRPr="00AD47FD">
              <w:rPr>
                <w:rFonts w:asciiTheme="majorBidi" w:eastAsia="Times New Roman" w:hAnsiTheme="majorBidi" w:cstheme="majorBidi"/>
                <w:color w:val="000000"/>
                <w:sz w:val="20"/>
                <w:szCs w:val="20"/>
              </w:rPr>
              <w:t>e</w:t>
            </w:r>
          </w:p>
        </w:tc>
        <w:tc>
          <w:tcPr>
            <w:tcW w:w="979"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0.99</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(0.81</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1.21)</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64"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1.27</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(1.03</w:t>
            </w:r>
          </w:p>
        </w:tc>
        <w:tc>
          <w:tcPr>
            <w:tcW w:w="847"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1.57)</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1.15</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(1.02</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1.30)</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1.20</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(0.81</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1.79)</w:t>
            </w:r>
          </w:p>
        </w:tc>
      </w:tr>
      <w:tr w:rsidR="00692A01" w:rsidRPr="00AD47FD" w:rsidTr="006653EB">
        <w:trPr>
          <w:trHeight w:val="135"/>
        </w:trPr>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p>
        </w:tc>
        <w:tc>
          <w:tcPr>
            <w:tcW w:w="179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Richest</w:t>
            </w:r>
          </w:p>
        </w:tc>
        <w:tc>
          <w:tcPr>
            <w:tcW w:w="979"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1.04</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(0.83</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1.30)</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64"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1.10</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(0.87</w:t>
            </w:r>
          </w:p>
        </w:tc>
        <w:tc>
          <w:tcPr>
            <w:tcW w:w="847"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1.39)</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1.30</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(1.13</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1.48)</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1.12</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(0.72</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1.75)</w:t>
            </w:r>
          </w:p>
        </w:tc>
      </w:tr>
      <w:tr w:rsidR="00692A01" w:rsidRPr="00AD47FD" w:rsidTr="006653EB">
        <w:trPr>
          <w:trHeight w:val="135"/>
        </w:trPr>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p>
        </w:tc>
        <w:tc>
          <w:tcPr>
            <w:tcW w:w="179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979"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64"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47"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r>
      <w:tr w:rsidR="00692A01" w:rsidRPr="00AD47FD" w:rsidTr="006653EB">
        <w:trPr>
          <w:trHeight w:val="135"/>
        </w:trPr>
        <w:tc>
          <w:tcPr>
            <w:tcW w:w="2100" w:type="dxa"/>
            <w:gridSpan w:val="2"/>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r w:rsidRPr="00AD47FD">
              <w:rPr>
                <w:rFonts w:asciiTheme="majorBidi" w:eastAsia="Times New Roman" w:hAnsiTheme="majorBidi" w:cstheme="majorBidi"/>
                <w:b/>
                <w:bCs/>
                <w:color w:val="000000"/>
                <w:sz w:val="20"/>
                <w:szCs w:val="20"/>
              </w:rPr>
              <w:t>Constant</w:t>
            </w:r>
          </w:p>
        </w:tc>
        <w:tc>
          <w:tcPr>
            <w:tcW w:w="979"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0.31</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(0.21</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0.45)</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64"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0.07</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(0.05</w:t>
            </w:r>
          </w:p>
        </w:tc>
        <w:tc>
          <w:tcPr>
            <w:tcW w:w="847"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0.11)</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0.18</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(0.15</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0.22)</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0.18</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(0.08</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0.40)</w:t>
            </w:r>
          </w:p>
        </w:tc>
      </w:tr>
      <w:tr w:rsidR="00692A01" w:rsidRPr="00AD47FD" w:rsidTr="006653EB">
        <w:trPr>
          <w:trHeight w:val="135"/>
        </w:trPr>
        <w:tc>
          <w:tcPr>
            <w:tcW w:w="305"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r w:rsidRPr="00AD47FD">
              <w:rPr>
                <w:rFonts w:asciiTheme="majorBidi" w:eastAsia="Times New Roman" w:hAnsiTheme="majorBidi" w:cstheme="majorBidi"/>
                <w:b/>
                <w:bCs/>
                <w:color w:val="000000"/>
                <w:sz w:val="20"/>
                <w:szCs w:val="20"/>
              </w:rPr>
              <w:t> </w:t>
            </w:r>
          </w:p>
        </w:tc>
        <w:tc>
          <w:tcPr>
            <w:tcW w:w="1795"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c>
          <w:tcPr>
            <w:tcW w:w="979"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c>
          <w:tcPr>
            <w:tcW w:w="805"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c>
          <w:tcPr>
            <w:tcW w:w="808"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c>
          <w:tcPr>
            <w:tcW w:w="305"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c>
          <w:tcPr>
            <w:tcW w:w="864"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c>
          <w:tcPr>
            <w:tcW w:w="805"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c>
          <w:tcPr>
            <w:tcW w:w="847"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c>
          <w:tcPr>
            <w:tcW w:w="305"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c>
          <w:tcPr>
            <w:tcW w:w="805"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c>
          <w:tcPr>
            <w:tcW w:w="808"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c>
          <w:tcPr>
            <w:tcW w:w="805"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c>
          <w:tcPr>
            <w:tcW w:w="305"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c>
          <w:tcPr>
            <w:tcW w:w="805"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c>
          <w:tcPr>
            <w:tcW w:w="805"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c>
          <w:tcPr>
            <w:tcW w:w="808"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r>
      <w:tr w:rsidR="00692A01" w:rsidRPr="00AD47FD" w:rsidTr="006653EB">
        <w:trPr>
          <w:trHeight w:val="135"/>
        </w:trPr>
        <w:tc>
          <w:tcPr>
            <w:tcW w:w="2100" w:type="dxa"/>
            <w:gridSpan w:val="2"/>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b/>
                <w:bCs/>
                <w:color w:val="000000"/>
                <w:sz w:val="20"/>
                <w:szCs w:val="20"/>
              </w:rPr>
            </w:pPr>
            <w:r w:rsidRPr="00AD47FD">
              <w:rPr>
                <w:rFonts w:asciiTheme="majorBidi" w:eastAsia="Times New Roman" w:hAnsiTheme="majorBidi" w:cstheme="majorBidi"/>
                <w:b/>
                <w:bCs/>
                <w:color w:val="000000"/>
                <w:sz w:val="20"/>
                <w:szCs w:val="20"/>
              </w:rPr>
              <w:t>inflate</w:t>
            </w:r>
          </w:p>
        </w:tc>
        <w:tc>
          <w:tcPr>
            <w:tcW w:w="979"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64"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47"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r>
      <w:tr w:rsidR="00692A01" w:rsidRPr="00AD47FD" w:rsidTr="006653EB">
        <w:trPr>
          <w:trHeight w:val="135"/>
        </w:trPr>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179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Diabetic</w:t>
            </w:r>
          </w:p>
        </w:tc>
        <w:tc>
          <w:tcPr>
            <w:tcW w:w="979"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-28.32</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-29.06</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-27.57</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64"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-35.59</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-36.6</w:t>
            </w:r>
          </w:p>
        </w:tc>
        <w:tc>
          <w:tcPr>
            <w:tcW w:w="847"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-34.56</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-21.84</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-23.01</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-20.67</w:t>
            </w:r>
          </w:p>
        </w:tc>
      </w:tr>
      <w:tr w:rsidR="00692A01" w:rsidRPr="00AD47FD" w:rsidTr="006653EB">
        <w:trPr>
          <w:trHeight w:val="135"/>
        </w:trPr>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p>
        </w:tc>
        <w:tc>
          <w:tcPr>
            <w:tcW w:w="179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Constant</w:t>
            </w:r>
          </w:p>
        </w:tc>
        <w:tc>
          <w:tcPr>
            <w:tcW w:w="979"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-0.38</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-0.69</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-0.08</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64"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-1.23</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-2.0</w:t>
            </w:r>
          </w:p>
        </w:tc>
        <w:tc>
          <w:tcPr>
            <w:tcW w:w="847"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-0.47</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-1.27</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-1.56</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-0.97</w:t>
            </w:r>
          </w:p>
        </w:tc>
        <w:tc>
          <w:tcPr>
            <w:tcW w:w="3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center"/>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-0.64</w:t>
            </w:r>
          </w:p>
        </w:tc>
        <w:tc>
          <w:tcPr>
            <w:tcW w:w="805"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jc w:val="right"/>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-1.32</w:t>
            </w:r>
          </w:p>
        </w:tc>
        <w:tc>
          <w:tcPr>
            <w:tcW w:w="808" w:type="dxa"/>
            <w:tcBorders>
              <w:top w:val="nil"/>
              <w:left w:val="nil"/>
              <w:bottom w:val="nil"/>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0.05</w:t>
            </w:r>
          </w:p>
        </w:tc>
      </w:tr>
      <w:tr w:rsidR="00692A01" w:rsidRPr="00AD47FD" w:rsidTr="006653EB">
        <w:trPr>
          <w:trHeight w:val="135"/>
        </w:trPr>
        <w:tc>
          <w:tcPr>
            <w:tcW w:w="305"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c>
          <w:tcPr>
            <w:tcW w:w="1795"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c>
          <w:tcPr>
            <w:tcW w:w="979"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c>
          <w:tcPr>
            <w:tcW w:w="805"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c>
          <w:tcPr>
            <w:tcW w:w="808"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c>
          <w:tcPr>
            <w:tcW w:w="305"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c>
          <w:tcPr>
            <w:tcW w:w="864"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c>
          <w:tcPr>
            <w:tcW w:w="805"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c>
          <w:tcPr>
            <w:tcW w:w="847"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c>
          <w:tcPr>
            <w:tcW w:w="305"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c>
          <w:tcPr>
            <w:tcW w:w="805"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c>
          <w:tcPr>
            <w:tcW w:w="808"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c>
          <w:tcPr>
            <w:tcW w:w="805"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c>
          <w:tcPr>
            <w:tcW w:w="305"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c>
          <w:tcPr>
            <w:tcW w:w="805"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c>
          <w:tcPr>
            <w:tcW w:w="805"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c>
          <w:tcPr>
            <w:tcW w:w="808" w:type="dxa"/>
            <w:tcBorders>
              <w:top w:val="nil"/>
              <w:left w:val="nil"/>
              <w:bottom w:val="single" w:sz="4" w:space="0" w:color="auto"/>
              <w:right w:val="nil"/>
            </w:tcBorders>
            <w:shd w:val="clear" w:color="auto" w:fill="auto"/>
            <w:noWrap/>
            <w:vAlign w:val="bottom"/>
            <w:hideMark/>
          </w:tcPr>
          <w:p w:rsidR="00692A01" w:rsidRPr="00AD47FD" w:rsidRDefault="00692A01" w:rsidP="006653EB">
            <w:pPr>
              <w:spacing w:after="0" w:line="240" w:lineRule="auto"/>
              <w:rPr>
                <w:rFonts w:asciiTheme="majorBidi" w:eastAsia="Times New Roman" w:hAnsiTheme="majorBidi" w:cstheme="majorBidi"/>
                <w:color w:val="000000"/>
                <w:sz w:val="20"/>
                <w:szCs w:val="20"/>
              </w:rPr>
            </w:pPr>
            <w:r w:rsidRPr="00AD47FD">
              <w:rPr>
                <w:rFonts w:asciiTheme="majorBidi" w:eastAsia="Times New Roman" w:hAnsiTheme="majorBidi" w:cstheme="majorBidi"/>
                <w:color w:val="000000"/>
                <w:sz w:val="20"/>
                <w:szCs w:val="20"/>
              </w:rPr>
              <w:t> </w:t>
            </w:r>
          </w:p>
        </w:tc>
      </w:tr>
    </w:tbl>
    <w:p w:rsidR="003603FB" w:rsidRPr="00692A01" w:rsidRDefault="00692A01">
      <w:pPr>
        <w:rPr>
          <w:rFonts w:asciiTheme="majorBidi" w:hAnsiTheme="majorBidi" w:cstheme="majorBidi"/>
        </w:rPr>
      </w:pPr>
      <w:r w:rsidRPr="004C3CDA">
        <w:rPr>
          <w:rFonts w:asciiTheme="majorBidi" w:hAnsiTheme="majorBidi" w:cstheme="majorBidi"/>
        </w:rPr>
        <w:t xml:space="preserve">Footnote: ‘--‘ the ZIP results for Saudi produced wider CIs due to  </w:t>
      </w:r>
      <w:r w:rsidRPr="00DA0533">
        <w:rPr>
          <w:rFonts w:asciiTheme="majorBidi" w:hAnsiTheme="majorBidi" w:cstheme="majorBidi"/>
        </w:rPr>
        <w:t>model instability; Missing BMI were excluded from the model</w:t>
      </w:r>
    </w:p>
    <w:sectPr w:rsidR="003603FB" w:rsidRPr="00692A01" w:rsidSect="00692A01">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348830"/>
      <w:docPartObj>
        <w:docPartGallery w:val="Page Numbers (Bottom of Page)"/>
        <w:docPartUnique/>
      </w:docPartObj>
    </w:sdtPr>
    <w:sdtEndPr>
      <w:rPr>
        <w:noProof/>
      </w:rPr>
    </w:sdtEndPr>
    <w:sdtContent>
      <w:p w:rsidR="002058AC" w:rsidRDefault="004577EE">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rsidR="002058AC" w:rsidRDefault="004577E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A31A2"/>
    <w:multiLevelType w:val="hybridMultilevel"/>
    <w:tmpl w:val="1D68A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D48A6"/>
    <w:multiLevelType w:val="hybridMultilevel"/>
    <w:tmpl w:val="17AC75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E80356"/>
    <w:multiLevelType w:val="hybridMultilevel"/>
    <w:tmpl w:val="23EEEC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986AA7"/>
    <w:multiLevelType w:val="hybridMultilevel"/>
    <w:tmpl w:val="88F4756A"/>
    <w:lvl w:ilvl="0" w:tplc="6F245B14">
      <w:start w:val="7"/>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6C1DEB"/>
    <w:multiLevelType w:val="hybridMultilevel"/>
    <w:tmpl w:val="E2C0988C"/>
    <w:lvl w:ilvl="0" w:tplc="23E089D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D4F66D4"/>
    <w:multiLevelType w:val="hybridMultilevel"/>
    <w:tmpl w:val="48380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1ED0571"/>
    <w:multiLevelType w:val="hybridMultilevel"/>
    <w:tmpl w:val="473E6D7E"/>
    <w:lvl w:ilvl="0" w:tplc="8C540424">
      <w:numFmt w:val="bullet"/>
      <w:lvlText w:val="-"/>
      <w:lvlJc w:val="left"/>
      <w:pPr>
        <w:ind w:left="720" w:hanging="360"/>
      </w:pPr>
      <w:rPr>
        <w:rFonts w:ascii="Calibri" w:eastAsia="SimSu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2F031E0"/>
    <w:multiLevelType w:val="hybridMultilevel"/>
    <w:tmpl w:val="4FD2C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4791D9C"/>
    <w:multiLevelType w:val="hybridMultilevel"/>
    <w:tmpl w:val="5CC0B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03698F"/>
    <w:multiLevelType w:val="hybridMultilevel"/>
    <w:tmpl w:val="DA5C883C"/>
    <w:lvl w:ilvl="0" w:tplc="22B84F8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AD65F3"/>
    <w:multiLevelType w:val="hybridMultilevel"/>
    <w:tmpl w:val="E984EF8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6278503E"/>
    <w:multiLevelType w:val="hybridMultilevel"/>
    <w:tmpl w:val="5D307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C63B80"/>
    <w:multiLevelType w:val="hybridMultilevel"/>
    <w:tmpl w:val="17F0B2AC"/>
    <w:lvl w:ilvl="0" w:tplc="D7EE5E24">
      <w:numFmt w:val="bullet"/>
      <w:lvlText w:val="-"/>
      <w:lvlJc w:val="left"/>
      <w:pPr>
        <w:ind w:left="720" w:hanging="360"/>
      </w:pPr>
      <w:rPr>
        <w:rFonts w:ascii="Calibri" w:eastAsiaTheme="minorEastAsia"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C4E3C7C"/>
    <w:multiLevelType w:val="hybridMultilevel"/>
    <w:tmpl w:val="A1163710"/>
    <w:lvl w:ilvl="0" w:tplc="8D9C030E">
      <w:start w:val="3"/>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0"/>
  </w:num>
  <w:num w:numId="4">
    <w:abstractNumId w:val="10"/>
  </w:num>
  <w:num w:numId="5">
    <w:abstractNumId w:val="1"/>
  </w:num>
  <w:num w:numId="6">
    <w:abstractNumId w:val="8"/>
  </w:num>
  <w:num w:numId="7">
    <w:abstractNumId w:val="6"/>
  </w:num>
  <w:num w:numId="8">
    <w:abstractNumId w:val="5"/>
  </w:num>
  <w:num w:numId="9">
    <w:abstractNumId w:val="7"/>
  </w:num>
  <w:num w:numId="10">
    <w:abstractNumId w:val="11"/>
  </w:num>
  <w:num w:numId="11">
    <w:abstractNumId w:val="2"/>
  </w:num>
  <w:num w:numId="12">
    <w:abstractNumId w:val="3"/>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A01"/>
    <w:rsid w:val="003603FB"/>
    <w:rsid w:val="004577EE"/>
    <w:rsid w:val="00692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13B30-108C-4DA0-8B29-BC643C09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A01"/>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A01"/>
    <w:pPr>
      <w:spacing w:line="256" w:lineRule="auto"/>
      <w:ind w:left="720"/>
      <w:contextualSpacing/>
    </w:pPr>
  </w:style>
  <w:style w:type="paragraph" w:customStyle="1" w:styleId="EndNoteBibliographyTitle">
    <w:name w:val="EndNote Bibliography Title"/>
    <w:basedOn w:val="Normal"/>
    <w:link w:val="EndNoteBibliographyTitleChar"/>
    <w:rsid w:val="00692A01"/>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692A01"/>
    <w:rPr>
      <w:rFonts w:ascii="Calibri" w:eastAsiaTheme="minorEastAsia" w:hAnsi="Calibri"/>
      <w:noProof/>
      <w:lang w:eastAsia="zh-CN"/>
    </w:rPr>
  </w:style>
  <w:style w:type="paragraph" w:customStyle="1" w:styleId="EndNoteBibliography">
    <w:name w:val="EndNote Bibliography"/>
    <w:basedOn w:val="Normal"/>
    <w:link w:val="EndNoteBibliographyChar"/>
    <w:rsid w:val="00692A01"/>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692A01"/>
    <w:rPr>
      <w:rFonts w:ascii="Calibri" w:eastAsiaTheme="minorEastAsia" w:hAnsi="Calibri"/>
      <w:noProof/>
      <w:lang w:eastAsia="zh-CN"/>
    </w:rPr>
  </w:style>
  <w:style w:type="character" w:styleId="Hyperlink">
    <w:name w:val="Hyperlink"/>
    <w:basedOn w:val="DefaultParagraphFont"/>
    <w:uiPriority w:val="99"/>
    <w:unhideWhenUsed/>
    <w:rsid w:val="00692A01"/>
    <w:rPr>
      <w:color w:val="0563C1" w:themeColor="hyperlink"/>
      <w:u w:val="single"/>
    </w:rPr>
  </w:style>
  <w:style w:type="paragraph" w:styleId="BalloonText">
    <w:name w:val="Balloon Text"/>
    <w:basedOn w:val="Normal"/>
    <w:link w:val="BalloonTextChar"/>
    <w:uiPriority w:val="99"/>
    <w:semiHidden/>
    <w:unhideWhenUsed/>
    <w:rsid w:val="00692A0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692A01"/>
    <w:rPr>
      <w:rFonts w:ascii="Segoe UI" w:eastAsiaTheme="minorEastAsia" w:hAnsi="Segoe UI"/>
      <w:sz w:val="18"/>
      <w:szCs w:val="18"/>
      <w:lang w:eastAsia="zh-CN"/>
    </w:rPr>
  </w:style>
  <w:style w:type="character" w:styleId="CommentReference">
    <w:name w:val="annotation reference"/>
    <w:basedOn w:val="DefaultParagraphFont"/>
    <w:uiPriority w:val="99"/>
    <w:semiHidden/>
    <w:unhideWhenUsed/>
    <w:rsid w:val="00692A01"/>
    <w:rPr>
      <w:sz w:val="16"/>
      <w:szCs w:val="16"/>
    </w:rPr>
  </w:style>
  <w:style w:type="paragraph" w:styleId="CommentText">
    <w:name w:val="annotation text"/>
    <w:basedOn w:val="Normal"/>
    <w:link w:val="CommentTextChar"/>
    <w:uiPriority w:val="99"/>
    <w:semiHidden/>
    <w:unhideWhenUsed/>
    <w:rsid w:val="00692A01"/>
    <w:pPr>
      <w:spacing w:line="240" w:lineRule="auto"/>
    </w:pPr>
    <w:rPr>
      <w:sz w:val="20"/>
      <w:szCs w:val="20"/>
    </w:rPr>
  </w:style>
  <w:style w:type="character" w:customStyle="1" w:styleId="CommentTextChar">
    <w:name w:val="Comment Text Char"/>
    <w:basedOn w:val="DefaultParagraphFont"/>
    <w:link w:val="CommentText"/>
    <w:uiPriority w:val="99"/>
    <w:semiHidden/>
    <w:rsid w:val="00692A01"/>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692A01"/>
    <w:rPr>
      <w:b/>
      <w:bCs/>
    </w:rPr>
  </w:style>
  <w:style w:type="character" w:customStyle="1" w:styleId="CommentSubjectChar">
    <w:name w:val="Comment Subject Char"/>
    <w:basedOn w:val="CommentTextChar"/>
    <w:link w:val="CommentSubject"/>
    <w:uiPriority w:val="99"/>
    <w:semiHidden/>
    <w:rsid w:val="00692A01"/>
    <w:rPr>
      <w:rFonts w:eastAsiaTheme="minorEastAsia"/>
      <w:b/>
      <w:bCs/>
      <w:sz w:val="20"/>
      <w:szCs w:val="20"/>
      <w:lang w:eastAsia="zh-CN"/>
    </w:rPr>
  </w:style>
  <w:style w:type="table" w:styleId="TableGrid">
    <w:name w:val="Table Grid"/>
    <w:basedOn w:val="TableNormal"/>
    <w:uiPriority w:val="39"/>
    <w:rsid w:val="00692A01"/>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2A01"/>
    <w:pPr>
      <w:spacing w:after="0" w:line="240" w:lineRule="auto"/>
    </w:pPr>
    <w:rPr>
      <w:rFonts w:eastAsiaTheme="minorEastAsia"/>
      <w:lang w:eastAsia="zh-CN"/>
    </w:rPr>
  </w:style>
  <w:style w:type="paragraph" w:styleId="Header">
    <w:name w:val="header"/>
    <w:basedOn w:val="Normal"/>
    <w:link w:val="HeaderChar"/>
    <w:uiPriority w:val="99"/>
    <w:unhideWhenUsed/>
    <w:rsid w:val="00692A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A01"/>
    <w:rPr>
      <w:rFonts w:eastAsiaTheme="minorEastAsia"/>
      <w:lang w:eastAsia="zh-CN"/>
    </w:rPr>
  </w:style>
  <w:style w:type="paragraph" w:styleId="Footer">
    <w:name w:val="footer"/>
    <w:basedOn w:val="Normal"/>
    <w:link w:val="FooterChar"/>
    <w:uiPriority w:val="99"/>
    <w:unhideWhenUsed/>
    <w:rsid w:val="00692A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A01"/>
    <w:rPr>
      <w:rFonts w:eastAsiaTheme="minorEastAsia"/>
      <w:lang w:eastAsia="zh-CN"/>
    </w:rPr>
  </w:style>
  <w:style w:type="paragraph" w:styleId="PlainText">
    <w:name w:val="Plain Text"/>
    <w:basedOn w:val="Normal"/>
    <w:link w:val="PlainTextChar"/>
    <w:uiPriority w:val="99"/>
    <w:unhideWhenUsed/>
    <w:rsid w:val="00692A01"/>
    <w:pPr>
      <w:spacing w:after="0" w:line="240" w:lineRule="auto"/>
    </w:pPr>
    <w:rPr>
      <w:rFonts w:ascii="Calibri" w:eastAsia="Times New Roman" w:hAnsi="Calibri" w:cs="Consolas"/>
      <w:szCs w:val="21"/>
      <w:lang w:eastAsia="en-US"/>
    </w:rPr>
  </w:style>
  <w:style w:type="character" w:customStyle="1" w:styleId="PlainTextChar">
    <w:name w:val="Plain Text Char"/>
    <w:basedOn w:val="DefaultParagraphFont"/>
    <w:link w:val="PlainText"/>
    <w:uiPriority w:val="99"/>
    <w:rsid w:val="00692A01"/>
    <w:rPr>
      <w:rFonts w:ascii="Calibri" w:eastAsia="Times New Roman"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Kent%20DM%5BAuthor%5D&amp;cauthor=true&amp;cauthor_uid=25880265" TargetMode="External"/><Relationship Id="rId13" Type="http://schemas.openxmlformats.org/officeDocument/2006/relationships/hyperlink" Target="https://www.ncbi.nlm.nih.gov/pubmed/?term=Li%20C%5BAuthor%5D&amp;cauthor=true&amp;cauthor_uid=1895753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ata.worldbank.org/indicator/ny.gdp.mktp.cd" TargetMode="External"/><Relationship Id="rId12" Type="http://schemas.openxmlformats.org/officeDocument/2006/relationships/hyperlink" Target="https://www.ncbi.nlm.nih.gov/pubmed/?term=Joseph%20Howie%20P%5BAuthor%5D&amp;cauthor=true&amp;cauthor_uid=26986190" TargetMode="External"/><Relationship Id="rId1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www.bmj.com/" TargetMode="External"/><Relationship Id="rId11" Type="http://schemas.openxmlformats.org/officeDocument/2006/relationships/hyperlink" Target="https://www.ncbi.nlm.nih.gov/pubmed/?term=Hannachi%20H%5BAuthor%5D&amp;cauthor=true&amp;cauthor_uid=26986190" TargetMode="External"/><Relationship Id="rId5" Type="http://schemas.openxmlformats.org/officeDocument/2006/relationships/hyperlink" Target="mailto:alim@who.int" TargetMode="External"/><Relationship Id="rId15" Type="http://schemas.openxmlformats.org/officeDocument/2006/relationships/hyperlink" Target="https://www.ncbi.nlm.nih.gov/pubmed/?term=Zhao%20G%5BAuthor%5D&amp;cauthor=true&amp;cauthor_uid=18957533" TargetMode="External"/><Relationship Id="rId10" Type="http://schemas.openxmlformats.org/officeDocument/2006/relationships/hyperlink" Target="https://www.ncbi.nlm.nih.gov/pubmed/?term=Iglay%20K%5BAuthor%5D&amp;cauthor=true&amp;cauthor_uid=2698619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cbi.nlm.nih.gov/pubmed/?term=Winn%20A%5BAuthor%5D&amp;cauthor=true&amp;cauthor_uid=25880265" TargetMode="External"/><Relationship Id="rId14" Type="http://schemas.openxmlformats.org/officeDocument/2006/relationships/hyperlink" Target="https://www.ncbi.nlm.nih.gov/pubmed/?term=Ford%20ES%5BAuthor%5D&amp;cauthor=true&amp;cauthor_uid=18957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6073</Words>
  <Characters>34621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40613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S.A.</dc:creator>
  <cp:keywords/>
  <dc:description/>
  <cp:lastModifiedBy>Morgan S.A.</cp:lastModifiedBy>
  <cp:revision>2</cp:revision>
  <dcterms:created xsi:type="dcterms:W3CDTF">2019-01-31T13:48:00Z</dcterms:created>
  <dcterms:modified xsi:type="dcterms:W3CDTF">2019-01-31T13:51:00Z</dcterms:modified>
</cp:coreProperties>
</file>